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4035E">
      <w:pPr>
        <w:shd w:val="solid" w:color="FFFFFF" w:fill="auto"/>
        <w:autoSpaceDN w:val="0"/>
        <w:spacing w:after="100" w:afterAutospacing="1"/>
        <w:jc w:val="center"/>
        <w:rPr>
          <w:rFonts w:ascii="宋体" w:hAnsi="宋体"/>
          <w:color w:val="auto"/>
          <w:sz w:val="19"/>
          <w:shd w:val="clear" w:color="auto" w:fill="FFFFFF"/>
        </w:rPr>
      </w:pPr>
      <w:r>
        <w:rPr>
          <w:rFonts w:hint="eastAsia" w:ascii="宋体" w:hAnsi="宋体" w:cs="宋体"/>
          <w:b/>
          <w:color w:val="auto"/>
          <w:sz w:val="44"/>
          <w:shd w:val="clear" w:color="auto" w:fill="FFFFFF"/>
          <w:lang w:eastAsia="zh-CN"/>
        </w:rPr>
        <w:t>吉</w:t>
      </w:r>
      <w:r>
        <w:rPr>
          <w:rFonts w:hint="eastAsia" w:ascii="宋体" w:hAnsi="宋体" w:cs="宋体"/>
          <w:b/>
          <w:color w:val="auto"/>
          <w:sz w:val="44"/>
          <w:shd w:val="clear" w:color="auto" w:fill="FFFFFF"/>
        </w:rPr>
        <w:t>林市生态环境局永吉县分局</w:t>
      </w:r>
    </w:p>
    <w:p w14:paraId="5DE0DB25">
      <w:pPr>
        <w:shd w:val="solid" w:color="FFFFFF" w:fill="auto"/>
        <w:autoSpaceDN w:val="0"/>
        <w:spacing w:before="100" w:beforeAutospacing="1" w:after="100" w:afterAutospacing="1"/>
        <w:jc w:val="center"/>
        <w:rPr>
          <w:rFonts w:ascii="宋体" w:hAnsi="宋体"/>
          <w:color w:val="auto"/>
          <w:sz w:val="19"/>
          <w:shd w:val="clear" w:color="auto" w:fill="FFFFFF"/>
        </w:rPr>
      </w:pPr>
      <w:r>
        <w:rPr>
          <w:rFonts w:hint="eastAsia" w:ascii="宋体" w:hAnsi="宋体" w:cs="宋体"/>
          <w:b/>
          <w:color w:val="auto"/>
          <w:sz w:val="44"/>
          <w:shd w:val="clear" w:color="auto" w:fill="FFFFFF"/>
        </w:rPr>
        <w:t>关于建设项目环境影响评价文件受理情况的公示</w:t>
      </w:r>
    </w:p>
    <w:p w14:paraId="54DD2821">
      <w:pPr>
        <w:pStyle w:val="8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firstLine="600" w:firstLineChars="200"/>
        <w:jc w:val="both"/>
        <w:textAlignment w:val="auto"/>
        <w:rPr>
          <w:rFonts w:ascii="宋体" w:hAnsi="宋体"/>
          <w:color w:val="auto"/>
          <w:sz w:val="30"/>
          <w:szCs w:val="30"/>
          <w:u w:val="single"/>
          <w:shd w:val="clear" w:color="auto" w:fill="FFFFFF"/>
        </w:rPr>
      </w:pPr>
      <w:r>
        <w:rPr>
          <w:rFonts w:hint="eastAsia" w:ascii="宋体" w:hAnsi="宋体" w:cs="宋体"/>
          <w:color w:val="auto"/>
          <w:sz w:val="30"/>
          <w:szCs w:val="30"/>
          <w:shd w:val="clear" w:color="auto" w:fill="FFFFFF"/>
        </w:rPr>
        <w:t>根据建设项目环境影响评价审批程序的有关规定，</w:t>
      </w:r>
      <w:r>
        <w:rPr>
          <w:rFonts w:hint="eastAsia" w:ascii="宋体" w:hAnsi="宋体"/>
          <w:color w:val="auto"/>
          <w:sz w:val="30"/>
          <w:szCs w:val="30"/>
          <w:highlight w:val="none"/>
          <w:u w:val="single"/>
          <w:shd w:val="clear" w:color="auto" w:fill="FFFFFF"/>
        </w:rPr>
        <w:t>202</w:t>
      </w:r>
      <w:r>
        <w:rPr>
          <w:rFonts w:hint="eastAsia" w:ascii="宋体" w:hAnsi="宋体"/>
          <w:color w:val="auto"/>
          <w:sz w:val="30"/>
          <w:szCs w:val="30"/>
          <w:highlight w:val="none"/>
          <w:u w:val="single"/>
          <w:shd w:val="clear" w:color="auto" w:fill="FFFFFF"/>
          <w:lang w:val="en-US" w:eastAsia="zh-CN"/>
        </w:rPr>
        <w:t>6</w:t>
      </w:r>
      <w:r>
        <w:rPr>
          <w:rFonts w:hint="eastAsia" w:ascii="宋体" w:hAnsi="宋体" w:cs="宋体"/>
          <w:color w:val="auto"/>
          <w:sz w:val="30"/>
          <w:szCs w:val="30"/>
          <w:highlight w:val="none"/>
          <w:u w:val="single"/>
          <w:shd w:val="clear" w:color="auto" w:fill="FFFFFF"/>
        </w:rPr>
        <w:t>年</w:t>
      </w:r>
      <w:r>
        <w:rPr>
          <w:rFonts w:hint="eastAsia" w:ascii="宋体" w:hAnsi="宋体" w:cs="宋体"/>
          <w:color w:val="auto"/>
          <w:sz w:val="30"/>
          <w:szCs w:val="30"/>
          <w:highlight w:val="none"/>
          <w:u w:val="single"/>
          <w:shd w:val="clear" w:color="auto" w:fill="FFFFFF"/>
          <w:lang w:val="en-US" w:eastAsia="zh-CN"/>
        </w:rPr>
        <w:t>4</w:t>
      </w:r>
      <w:r>
        <w:rPr>
          <w:rFonts w:hint="eastAsia" w:ascii="宋体" w:hAnsi="宋体" w:cs="宋体"/>
          <w:color w:val="auto"/>
          <w:sz w:val="30"/>
          <w:szCs w:val="30"/>
          <w:highlight w:val="none"/>
          <w:u w:val="single"/>
          <w:shd w:val="clear" w:color="auto" w:fill="FFFFFF"/>
        </w:rPr>
        <w:t>月</w:t>
      </w:r>
      <w:r>
        <w:rPr>
          <w:rFonts w:hint="eastAsia" w:ascii="宋体" w:hAnsi="宋体" w:cs="宋体"/>
          <w:color w:val="auto"/>
          <w:sz w:val="30"/>
          <w:szCs w:val="30"/>
          <w:highlight w:val="none"/>
          <w:u w:val="single"/>
          <w:shd w:val="clear" w:color="auto" w:fill="FFFFFF"/>
          <w:lang w:val="en-US" w:eastAsia="zh-CN"/>
        </w:rPr>
        <w:t>1</w:t>
      </w:r>
      <w:r>
        <w:rPr>
          <w:rFonts w:hint="eastAsia" w:ascii="宋体" w:hAnsi="宋体" w:cs="宋体"/>
          <w:color w:val="auto"/>
          <w:sz w:val="30"/>
          <w:szCs w:val="30"/>
          <w:highlight w:val="none"/>
          <w:u w:val="single"/>
          <w:shd w:val="clear" w:color="auto" w:fill="FFFFFF"/>
        </w:rPr>
        <w:t>日</w:t>
      </w:r>
      <w:r>
        <w:rPr>
          <w:rFonts w:hint="eastAsia" w:ascii="宋体" w:hAnsi="宋体" w:cs="宋体"/>
          <w:color w:val="auto"/>
          <w:sz w:val="30"/>
          <w:szCs w:val="30"/>
          <w:shd w:val="clear" w:color="auto" w:fill="FFFFFF"/>
        </w:rPr>
        <w:t>我局受理</w:t>
      </w:r>
      <w:r>
        <w:rPr>
          <w:rFonts w:hint="eastAsia" w:ascii="仿宋_GB2312" w:hAnsi="Times New Roman" w:eastAsia="仿宋_GB2312" w:cs="Times New Roman"/>
          <w:sz w:val="32"/>
          <w:szCs w:val="32"/>
          <w:u w:val="single"/>
          <w:lang w:val="en-US" w:eastAsia="zh-CN"/>
        </w:rPr>
        <w:t>吉林市永盛粮业有限责任公司粮食烘干项目</w:t>
      </w:r>
      <w:r>
        <w:rPr>
          <w:rFonts w:hint="eastAsia" w:ascii="宋体" w:hAnsi="宋体" w:cs="宋体"/>
          <w:color w:val="auto"/>
          <w:sz w:val="30"/>
          <w:szCs w:val="30"/>
          <w:shd w:val="clear" w:color="auto" w:fill="FFFFFF"/>
        </w:rPr>
        <w:t>环境影响评价文件</w:t>
      </w:r>
      <w:r>
        <w:rPr>
          <w:rFonts w:hint="eastAsia" w:ascii="宋体" w:hAnsi="宋体" w:cs="宋体"/>
          <w:color w:val="auto"/>
          <w:sz w:val="30"/>
          <w:szCs w:val="30"/>
          <w:shd w:val="clear" w:color="auto" w:fill="FFFFFF"/>
          <w:lang w:eastAsia="zh-CN"/>
        </w:rPr>
        <w:t>。</w:t>
      </w:r>
      <w:r>
        <w:rPr>
          <w:rFonts w:hint="eastAsia" w:ascii="宋体" w:hAnsi="宋体" w:cs="宋体"/>
          <w:color w:val="auto"/>
          <w:sz w:val="30"/>
          <w:szCs w:val="30"/>
          <w:shd w:val="clear" w:color="auto" w:fill="FFFFFF"/>
        </w:rPr>
        <w:t>现将受理情况予以公示，公示期为</w:t>
      </w:r>
      <w:r>
        <w:rPr>
          <w:rFonts w:hint="eastAsia" w:ascii="宋体" w:hAnsi="宋体"/>
          <w:color w:val="auto"/>
          <w:sz w:val="30"/>
          <w:szCs w:val="30"/>
          <w:u w:val="single"/>
          <w:shd w:val="clear" w:color="auto" w:fill="FFFFFF"/>
        </w:rPr>
        <w:t>202</w:t>
      </w:r>
      <w:r>
        <w:rPr>
          <w:rFonts w:hint="eastAsia" w:ascii="宋体" w:hAnsi="宋体"/>
          <w:color w:val="auto"/>
          <w:sz w:val="30"/>
          <w:szCs w:val="30"/>
          <w:u w:val="single"/>
          <w:shd w:val="clear" w:color="auto" w:fill="FFFFFF"/>
          <w:lang w:val="en-US" w:eastAsia="zh-CN"/>
        </w:rPr>
        <w:t>6</w:t>
      </w:r>
      <w:r>
        <w:rPr>
          <w:rFonts w:hint="eastAsia" w:ascii="宋体" w:hAnsi="宋体" w:cs="宋体"/>
          <w:color w:val="auto"/>
          <w:sz w:val="30"/>
          <w:szCs w:val="30"/>
          <w:u w:val="single"/>
          <w:shd w:val="clear" w:color="auto" w:fill="FFFFFF"/>
        </w:rPr>
        <w:t>年</w:t>
      </w:r>
      <w:r>
        <w:rPr>
          <w:rFonts w:hint="eastAsia" w:ascii="宋体" w:hAnsi="宋体" w:cs="宋体"/>
          <w:color w:val="auto"/>
          <w:sz w:val="30"/>
          <w:szCs w:val="30"/>
          <w:u w:val="single"/>
          <w:shd w:val="clear" w:color="auto" w:fill="FFFFFF"/>
          <w:lang w:val="en-US" w:eastAsia="zh-CN"/>
        </w:rPr>
        <w:t>4</w:t>
      </w:r>
      <w:r>
        <w:rPr>
          <w:rFonts w:hint="eastAsia" w:ascii="宋体" w:hAnsi="宋体" w:eastAsia="宋体" w:cs="宋体"/>
          <w:color w:val="auto"/>
          <w:sz w:val="30"/>
          <w:szCs w:val="30"/>
          <w:u w:val="single"/>
          <w:shd w:val="clear" w:color="auto" w:fill="FFFFFF"/>
        </w:rPr>
        <w:t>月</w:t>
      </w:r>
      <w:r>
        <w:rPr>
          <w:rFonts w:hint="eastAsia" w:ascii="宋体" w:hAnsi="宋体" w:eastAsia="宋体" w:cs="宋体"/>
          <w:color w:val="auto"/>
          <w:sz w:val="30"/>
          <w:szCs w:val="30"/>
          <w:u w:val="single"/>
          <w:shd w:val="clear" w:color="auto" w:fill="FFFFFF"/>
          <w:lang w:val="en-US" w:eastAsia="zh-CN"/>
        </w:rPr>
        <w:t>1</w:t>
      </w:r>
      <w:r>
        <w:rPr>
          <w:rFonts w:hint="eastAsia" w:ascii="宋体" w:hAnsi="宋体" w:eastAsia="宋体" w:cs="宋体"/>
          <w:color w:val="auto"/>
          <w:sz w:val="30"/>
          <w:szCs w:val="30"/>
          <w:u w:val="single"/>
          <w:shd w:val="clear" w:color="auto" w:fill="FFFFFF"/>
        </w:rPr>
        <w:t>日－202</w:t>
      </w:r>
      <w:r>
        <w:rPr>
          <w:rFonts w:hint="eastAsia" w:ascii="宋体" w:hAnsi="宋体" w:eastAsia="宋体" w:cs="宋体"/>
          <w:color w:val="auto"/>
          <w:sz w:val="30"/>
          <w:szCs w:val="30"/>
          <w:u w:val="single"/>
          <w:shd w:val="clear" w:color="auto" w:fill="FFFFFF"/>
          <w:lang w:val="en-US" w:eastAsia="zh-CN"/>
        </w:rPr>
        <w:t>6</w:t>
      </w:r>
      <w:r>
        <w:rPr>
          <w:rFonts w:hint="eastAsia" w:ascii="宋体" w:hAnsi="宋体" w:eastAsia="宋体" w:cs="宋体"/>
          <w:color w:val="auto"/>
          <w:sz w:val="30"/>
          <w:szCs w:val="30"/>
          <w:u w:val="single"/>
          <w:shd w:val="clear" w:color="auto" w:fill="FFFFFF"/>
        </w:rPr>
        <w:t>年</w:t>
      </w:r>
      <w:r>
        <w:rPr>
          <w:rFonts w:hint="eastAsia" w:ascii="宋体" w:hAnsi="宋体" w:cs="宋体"/>
          <w:color w:val="auto"/>
          <w:sz w:val="30"/>
          <w:szCs w:val="30"/>
          <w:u w:val="single"/>
          <w:shd w:val="clear" w:color="auto" w:fill="FFFFFF"/>
          <w:lang w:val="en-US" w:eastAsia="zh-CN"/>
        </w:rPr>
        <w:t>4</w:t>
      </w:r>
      <w:r>
        <w:rPr>
          <w:rFonts w:hint="eastAsia" w:ascii="宋体" w:hAnsi="宋体" w:eastAsia="宋体" w:cs="宋体"/>
          <w:color w:val="auto"/>
          <w:sz w:val="30"/>
          <w:szCs w:val="30"/>
          <w:u w:val="single"/>
          <w:shd w:val="clear" w:color="auto" w:fill="FFFFFF"/>
          <w:lang w:val="en-US" w:eastAsia="zh-CN"/>
        </w:rPr>
        <w:t>月</w:t>
      </w:r>
      <w:r>
        <w:rPr>
          <w:rFonts w:hint="eastAsia" w:ascii="宋体" w:hAnsi="宋体" w:cs="宋体"/>
          <w:color w:val="auto"/>
          <w:sz w:val="30"/>
          <w:szCs w:val="30"/>
          <w:u w:val="single"/>
          <w:shd w:val="clear" w:color="auto" w:fill="FFFFFF"/>
          <w:lang w:val="en-US" w:eastAsia="zh-CN"/>
        </w:rPr>
        <w:t>3</w:t>
      </w:r>
      <w:r>
        <w:rPr>
          <w:rFonts w:hint="eastAsia" w:ascii="宋体" w:hAnsi="宋体" w:cs="宋体"/>
          <w:color w:val="auto"/>
          <w:sz w:val="30"/>
          <w:szCs w:val="30"/>
          <w:u w:val="single"/>
          <w:shd w:val="clear" w:color="auto" w:fill="FFFFFF"/>
        </w:rPr>
        <w:t>日</w:t>
      </w:r>
      <w:r>
        <w:rPr>
          <w:rFonts w:hint="eastAsia" w:ascii="宋体" w:hAnsi="宋体" w:cs="宋体"/>
          <w:color w:val="auto"/>
          <w:sz w:val="30"/>
          <w:szCs w:val="30"/>
          <w:shd w:val="clear" w:color="auto" w:fill="FFFFFF"/>
        </w:rPr>
        <w:t>（</w:t>
      </w:r>
      <w:r>
        <w:rPr>
          <w:rFonts w:hint="eastAsia" w:ascii="宋体" w:hAnsi="宋体"/>
          <w:color w:val="auto"/>
          <w:sz w:val="30"/>
          <w:szCs w:val="30"/>
          <w:shd w:val="clear" w:color="auto" w:fill="FFFFFF"/>
          <w:lang w:val="en-US" w:eastAsia="zh-CN"/>
        </w:rPr>
        <w:t>3</w:t>
      </w:r>
      <w:r>
        <w:rPr>
          <w:rFonts w:hint="eastAsia" w:ascii="宋体" w:hAnsi="宋体" w:cs="宋体"/>
          <w:color w:val="auto"/>
          <w:sz w:val="30"/>
          <w:szCs w:val="30"/>
          <w:shd w:val="clear" w:color="auto" w:fill="FFFFFF"/>
        </w:rPr>
        <w:t>个工作日）。</w:t>
      </w:r>
      <w:bookmarkStart w:id="2" w:name="_GoBack"/>
      <w:bookmarkEnd w:id="2"/>
    </w:p>
    <w:p w14:paraId="57E3C2B5">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firstLine="600" w:firstLineChars="200"/>
        <w:textAlignment w:val="auto"/>
        <w:rPr>
          <w:rFonts w:ascii="宋体" w:hAnsi="宋体"/>
          <w:color w:val="auto"/>
          <w:sz w:val="30"/>
          <w:szCs w:val="30"/>
          <w:shd w:val="clear" w:color="auto" w:fill="FFFFFF"/>
        </w:rPr>
      </w:pPr>
      <w:r>
        <w:rPr>
          <w:rFonts w:hint="eastAsia" w:ascii="宋体" w:hAnsi="宋体" w:cs="宋体"/>
          <w:color w:val="auto"/>
          <w:sz w:val="30"/>
          <w:szCs w:val="30"/>
          <w:shd w:val="clear" w:color="auto" w:fill="FFFFFF"/>
        </w:rPr>
        <w:t>联系电话：</w:t>
      </w:r>
      <w:r>
        <w:rPr>
          <w:rFonts w:hint="eastAsia" w:ascii="宋体" w:hAnsi="宋体"/>
          <w:color w:val="auto"/>
          <w:sz w:val="30"/>
          <w:szCs w:val="30"/>
          <w:shd w:val="clear" w:color="auto" w:fill="FFFFFF"/>
        </w:rPr>
        <w:t>0432-</w:t>
      </w:r>
      <w:r>
        <w:rPr>
          <w:rFonts w:hint="eastAsia" w:ascii="宋体" w:hAnsi="宋体"/>
          <w:color w:val="auto"/>
          <w:sz w:val="30"/>
          <w:szCs w:val="30"/>
          <w:u w:val="single"/>
          <w:shd w:val="clear" w:color="auto" w:fill="FFFFFF"/>
        </w:rPr>
        <w:t>64227687</w:t>
      </w:r>
    </w:p>
    <w:p w14:paraId="237C9DF7">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firstLine="600" w:firstLineChars="200"/>
        <w:textAlignment w:val="auto"/>
        <w:rPr>
          <w:rFonts w:ascii="宋体" w:hAnsi="宋体"/>
          <w:color w:val="auto"/>
          <w:sz w:val="30"/>
          <w:szCs w:val="30"/>
          <w:shd w:val="clear" w:color="auto" w:fill="FFFFFF"/>
        </w:rPr>
      </w:pPr>
      <w:r>
        <w:rPr>
          <w:rFonts w:hint="eastAsia" w:ascii="宋体" w:hAnsi="宋体" w:cs="宋体"/>
          <w:color w:val="auto"/>
          <w:sz w:val="30"/>
          <w:szCs w:val="30"/>
          <w:shd w:val="clear" w:color="auto" w:fill="FFFFFF"/>
        </w:rPr>
        <w:t>通讯地址：永吉县永吉大街</w:t>
      </w:r>
      <w:r>
        <w:rPr>
          <w:rFonts w:hint="eastAsia" w:ascii="宋体" w:hAnsi="宋体"/>
          <w:color w:val="auto"/>
          <w:sz w:val="30"/>
          <w:szCs w:val="30"/>
          <w:highlight w:val="none"/>
          <w:shd w:val="clear" w:color="auto" w:fill="FFFFFF"/>
          <w:lang w:val="en-US" w:eastAsia="zh-CN"/>
        </w:rPr>
        <w:t>1229</w:t>
      </w:r>
      <w:r>
        <w:rPr>
          <w:rFonts w:hint="eastAsia" w:ascii="宋体" w:hAnsi="宋体" w:cs="宋体"/>
          <w:color w:val="auto"/>
          <w:sz w:val="30"/>
          <w:szCs w:val="30"/>
          <w:shd w:val="clear" w:color="auto" w:fill="FFFFFF"/>
        </w:rPr>
        <w:t>号</w:t>
      </w:r>
    </w:p>
    <w:p w14:paraId="001A2A2B">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firstLine="600" w:firstLineChars="200"/>
        <w:textAlignment w:val="auto"/>
        <w:rPr>
          <w:rFonts w:ascii="宋体" w:hAnsi="宋体"/>
          <w:color w:val="auto"/>
          <w:sz w:val="30"/>
          <w:szCs w:val="30"/>
          <w:shd w:val="clear" w:color="auto" w:fill="FFFFFF"/>
        </w:rPr>
      </w:pPr>
      <w:r>
        <w:rPr>
          <w:rFonts w:hint="eastAsia" w:ascii="宋体" w:hAnsi="宋体" w:cs="宋体"/>
          <w:color w:val="auto"/>
          <w:sz w:val="30"/>
          <w:szCs w:val="30"/>
          <w:shd w:val="clear" w:color="auto" w:fill="FFFFFF"/>
        </w:rPr>
        <w:t>邮</w:t>
      </w:r>
      <w:r>
        <w:rPr>
          <w:rFonts w:hint="eastAsia" w:ascii="宋体" w:hAnsi="宋体"/>
          <w:color w:val="auto"/>
          <w:sz w:val="30"/>
          <w:szCs w:val="30"/>
          <w:shd w:val="clear" w:color="auto" w:fill="FFFFFF"/>
        </w:rPr>
        <w:t xml:space="preserve">    </w:t>
      </w:r>
      <w:r>
        <w:rPr>
          <w:rFonts w:hint="eastAsia" w:ascii="宋体" w:hAnsi="宋体" w:cs="宋体"/>
          <w:color w:val="auto"/>
          <w:sz w:val="30"/>
          <w:szCs w:val="30"/>
          <w:shd w:val="clear" w:color="auto" w:fill="FFFFFF"/>
        </w:rPr>
        <w:t>编：</w:t>
      </w:r>
      <w:r>
        <w:rPr>
          <w:rFonts w:hint="eastAsia" w:ascii="宋体" w:hAnsi="宋体"/>
          <w:color w:val="auto"/>
          <w:sz w:val="30"/>
          <w:szCs w:val="30"/>
          <w:shd w:val="clear" w:color="auto" w:fill="FFFFFF"/>
        </w:rPr>
        <w:t>132200</w:t>
      </w:r>
    </w:p>
    <w:tbl>
      <w:tblPr>
        <w:tblStyle w:val="28"/>
        <w:tblpPr w:leftFromText="180" w:rightFromText="180" w:vertAnchor="page" w:horzAnchor="page" w:tblpX="2159" w:tblpY="7395"/>
        <w:tblOverlap w:val="never"/>
        <w:tblW w:w="0" w:type="auto"/>
        <w:tblInd w:w="0" w:type="dxa"/>
        <w:tblLayout w:type="fixed"/>
        <w:tblCellMar>
          <w:top w:w="0" w:type="dxa"/>
          <w:left w:w="0" w:type="dxa"/>
          <w:bottom w:w="0" w:type="dxa"/>
          <w:right w:w="0" w:type="dxa"/>
        </w:tblCellMar>
      </w:tblPr>
      <w:tblGrid>
        <w:gridCol w:w="744"/>
        <w:gridCol w:w="3231"/>
        <w:gridCol w:w="2359"/>
        <w:gridCol w:w="1862"/>
        <w:gridCol w:w="2236"/>
        <w:gridCol w:w="2073"/>
      </w:tblGrid>
      <w:tr w14:paraId="65E56B85">
        <w:tblPrEx>
          <w:tblCellMar>
            <w:top w:w="0" w:type="dxa"/>
            <w:left w:w="0" w:type="dxa"/>
            <w:bottom w:w="0" w:type="dxa"/>
            <w:right w:w="0" w:type="dxa"/>
          </w:tblCellMar>
        </w:tblPrEx>
        <w:tc>
          <w:tcPr>
            <w:tcW w:w="744"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0D91C302">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宋体" w:hAnsi="宋体" w:eastAsia="Calibri"/>
                <w:color w:val="auto"/>
                <w:szCs w:val="21"/>
                <w:shd w:val="clear" w:color="auto" w:fill="FFFFFF"/>
              </w:rPr>
            </w:pPr>
            <w:r>
              <w:rPr>
                <w:rFonts w:hint="eastAsia" w:ascii="宋体" w:hAnsi="宋体" w:cs="宋体"/>
                <w:b/>
                <w:color w:val="auto"/>
                <w:shd w:val="clear" w:color="auto" w:fill="FFFFFF"/>
              </w:rPr>
              <w:t>序号</w:t>
            </w:r>
          </w:p>
        </w:tc>
        <w:tc>
          <w:tcPr>
            <w:tcW w:w="3231"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79B45490">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宋体" w:hAnsi="宋体" w:eastAsia="Calibri"/>
                <w:color w:val="auto"/>
                <w:szCs w:val="21"/>
                <w:shd w:val="clear" w:color="auto" w:fill="FFFFFF"/>
              </w:rPr>
            </w:pPr>
            <w:r>
              <w:rPr>
                <w:rFonts w:hint="eastAsia" w:ascii="宋体" w:hAnsi="宋体" w:cs="宋体"/>
                <w:b/>
                <w:color w:val="auto"/>
                <w:shd w:val="clear" w:color="auto" w:fill="FFFFFF"/>
              </w:rPr>
              <w:t>项目名称</w:t>
            </w:r>
          </w:p>
        </w:tc>
        <w:tc>
          <w:tcPr>
            <w:tcW w:w="2359"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515A11AC">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宋体" w:hAnsi="宋体" w:eastAsia="Calibri"/>
                <w:color w:val="auto"/>
                <w:szCs w:val="21"/>
                <w:shd w:val="clear" w:color="auto" w:fill="FFFFFF"/>
              </w:rPr>
            </w:pPr>
            <w:r>
              <w:rPr>
                <w:rFonts w:hint="eastAsia" w:ascii="宋体" w:hAnsi="宋体" w:cs="宋体"/>
                <w:b/>
                <w:color w:val="auto"/>
                <w:shd w:val="clear" w:color="auto" w:fill="FFFFFF"/>
              </w:rPr>
              <w:t>建设地点</w:t>
            </w:r>
          </w:p>
        </w:tc>
        <w:tc>
          <w:tcPr>
            <w:tcW w:w="1862"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0176ED87">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宋体" w:hAnsi="宋体" w:eastAsia="Calibri"/>
                <w:color w:val="auto"/>
                <w:szCs w:val="21"/>
                <w:shd w:val="clear" w:color="auto" w:fill="FFFFFF"/>
              </w:rPr>
            </w:pPr>
            <w:r>
              <w:rPr>
                <w:rFonts w:hint="eastAsia" w:ascii="宋体" w:hAnsi="宋体" w:cs="宋体"/>
                <w:b/>
                <w:color w:val="auto"/>
                <w:shd w:val="clear" w:color="auto" w:fill="FFFFFF"/>
              </w:rPr>
              <w:t>建设单位</w:t>
            </w:r>
          </w:p>
        </w:tc>
        <w:tc>
          <w:tcPr>
            <w:tcW w:w="2236"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3647AAA3">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宋体" w:hAnsi="宋体" w:eastAsia="Calibri"/>
                <w:color w:val="auto"/>
                <w:szCs w:val="21"/>
                <w:shd w:val="clear" w:color="auto" w:fill="FFFFFF"/>
              </w:rPr>
            </w:pPr>
            <w:r>
              <w:rPr>
                <w:rFonts w:hint="eastAsia" w:ascii="宋体" w:hAnsi="宋体" w:cs="宋体"/>
                <w:b/>
                <w:color w:val="auto"/>
                <w:shd w:val="clear" w:color="auto" w:fill="FFFFFF"/>
              </w:rPr>
              <w:t>环境影响评价机构</w:t>
            </w:r>
          </w:p>
        </w:tc>
        <w:tc>
          <w:tcPr>
            <w:tcW w:w="2073"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36995A41">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宋体" w:hAnsi="宋体" w:eastAsia="Calibri"/>
                <w:color w:val="auto"/>
                <w:szCs w:val="21"/>
                <w:shd w:val="clear" w:color="auto" w:fill="FFFFFF"/>
              </w:rPr>
            </w:pPr>
            <w:r>
              <w:rPr>
                <w:rFonts w:hint="eastAsia" w:ascii="宋体" w:hAnsi="宋体" w:cs="宋体"/>
                <w:b/>
                <w:color w:val="auto"/>
                <w:shd w:val="clear" w:color="auto" w:fill="FFFFFF"/>
              </w:rPr>
              <w:t>受理日期</w:t>
            </w:r>
          </w:p>
        </w:tc>
      </w:tr>
      <w:tr w14:paraId="642E7035">
        <w:tblPrEx>
          <w:tblCellMar>
            <w:top w:w="0" w:type="dxa"/>
            <w:left w:w="0" w:type="dxa"/>
            <w:bottom w:w="0" w:type="dxa"/>
            <w:right w:w="0" w:type="dxa"/>
          </w:tblCellMar>
        </w:tblPrEx>
        <w:trPr>
          <w:trHeight w:val="90" w:hRule="atLeast"/>
        </w:trPr>
        <w:tc>
          <w:tcPr>
            <w:tcW w:w="744"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02D9505A">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Calibri" w:hAnsi="Calibri" w:eastAsia="Calibri"/>
                <w:color w:val="auto"/>
                <w:szCs w:val="21"/>
                <w:lang w:val="zh-CN"/>
              </w:rPr>
            </w:pPr>
            <w:r>
              <w:rPr>
                <w:rFonts w:hint="default"/>
                <w:color w:val="auto"/>
                <w:lang w:val="zh-CN"/>
              </w:rPr>
              <w:t>1</w:t>
            </w:r>
          </w:p>
        </w:tc>
        <w:tc>
          <w:tcPr>
            <w:tcW w:w="3231"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241A4CF0">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eastAsia" w:ascii="Times New Roman" w:hAnsi="Times New Roman" w:eastAsia="宋体" w:cs="Times New Roman"/>
                <w:sz w:val="24"/>
                <w:u w:val="none"/>
                <w:lang w:val="zh-CN" w:eastAsia="zh-CN"/>
              </w:rPr>
            </w:pPr>
            <w:r>
              <w:rPr>
                <w:rFonts w:hint="eastAsia" w:ascii="Times New Roman" w:hAnsi="Times New Roman" w:eastAsia="宋体" w:cs="Times New Roman"/>
                <w:sz w:val="24"/>
                <w:u w:val="none"/>
                <w:lang w:eastAsia="zh-CN"/>
              </w:rPr>
              <w:t>吉林市永盛粮业有限责任公司粮食烘干项目</w:t>
            </w:r>
          </w:p>
        </w:tc>
        <w:tc>
          <w:tcPr>
            <w:tcW w:w="2359"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5C458D52">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Times New Roman" w:hAnsi="Times New Roman" w:eastAsia="宋体" w:cs="Times New Roman"/>
                <w:sz w:val="24"/>
                <w:u w:val="none"/>
                <w:lang w:val="en-US" w:eastAsia="zh-CN"/>
              </w:rPr>
            </w:pPr>
            <w:r>
              <w:rPr>
                <w:rFonts w:hint="default" w:ascii="Times New Roman" w:hAnsi="Times New Roman" w:eastAsia="宋体" w:cs="Times New Roman"/>
                <w:sz w:val="24"/>
                <w:u w:val="none"/>
                <w:lang w:val="en-US" w:eastAsia="zh-CN"/>
              </w:rPr>
              <w:t>吉林市永吉县双河镇铁南路南侧</w:t>
            </w:r>
          </w:p>
        </w:tc>
        <w:tc>
          <w:tcPr>
            <w:tcW w:w="1862"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742807F2">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Times New Roman" w:hAnsi="Times New Roman" w:eastAsia="宋体" w:cs="Times New Roman"/>
                <w:sz w:val="24"/>
                <w:u w:val="none"/>
                <w:lang w:val="en-US" w:eastAsia="zh-CN"/>
              </w:rPr>
            </w:pPr>
            <w:r>
              <w:rPr>
                <w:rFonts w:hint="eastAsia" w:ascii="Times New Roman" w:hAnsi="Times New Roman" w:eastAsia="宋体" w:cs="Times New Roman"/>
                <w:sz w:val="24"/>
                <w:u w:val="none"/>
                <w:lang w:eastAsia="zh-CN"/>
              </w:rPr>
              <w:t>吉林市永盛粮业有限责任公司</w:t>
            </w:r>
          </w:p>
        </w:tc>
        <w:tc>
          <w:tcPr>
            <w:tcW w:w="2236"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7D79467B">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Times New Roman" w:hAnsi="Times New Roman" w:eastAsia="宋体" w:cs="Times New Roman"/>
                <w:sz w:val="24"/>
                <w:u w:val="none"/>
                <w:lang w:val="en-US" w:eastAsia="zh-CN"/>
              </w:rPr>
            </w:pPr>
            <w:r>
              <w:rPr>
                <w:rFonts w:hint="eastAsia" w:ascii="Times New Roman" w:hAnsi="Times New Roman" w:eastAsia="宋体" w:cs="Times New Roman"/>
                <w:sz w:val="24"/>
                <w:u w:val="none"/>
                <w:lang w:val="en-US" w:eastAsia="zh-CN"/>
              </w:rPr>
              <w:t>吉林博环环境技术有限公司</w:t>
            </w:r>
          </w:p>
        </w:tc>
        <w:tc>
          <w:tcPr>
            <w:tcW w:w="2073" w:type="dxa"/>
            <w:tcBorders>
              <w:top w:val="single" w:color="000000" w:sz="8" w:space="0"/>
              <w:left w:val="single" w:color="000000" w:sz="8" w:space="0"/>
              <w:bottom w:val="single" w:color="000000" w:sz="8" w:space="0"/>
              <w:right w:val="single" w:color="000000" w:sz="8" w:space="0"/>
            </w:tcBorders>
            <w:shd w:val="solid" w:color="FFFFFF" w:fill="auto"/>
            <w:noWrap/>
            <w:vAlign w:val="center"/>
          </w:tcPr>
          <w:p w14:paraId="408B56B8">
            <w:pPr>
              <w:keepNext w:val="0"/>
              <w:keepLines w:val="0"/>
              <w:suppressLineNumbers w:val="0"/>
              <w:shd w:val="solid" w:color="FFFFFF" w:fill="auto"/>
              <w:autoSpaceDN w:val="0"/>
              <w:spacing w:before="0" w:beforeAutospacing="0" w:after="0" w:afterAutospacing="0"/>
              <w:ind w:left="0" w:leftChars="0" w:right="0" w:firstLine="0" w:firstLineChars="0"/>
              <w:jc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2026.</w:t>
            </w:r>
            <w:r>
              <w:rPr>
                <w:rFonts w:hint="eastAsia" w:ascii="宋体" w:hAnsi="宋体" w:cs="宋体"/>
                <w:color w:val="auto"/>
                <w:sz w:val="24"/>
                <w:highlight w:val="none"/>
                <w:lang w:val="en-US" w:eastAsia="zh-CN"/>
              </w:rPr>
              <w:t>4.1</w:t>
            </w:r>
          </w:p>
        </w:tc>
      </w:tr>
    </w:tbl>
    <w:p w14:paraId="27A239A2">
      <w:pPr>
        <w:jc w:val="right"/>
        <w:rPr>
          <w:rFonts w:hint="default" w:ascii="Times New Roman" w:hAnsi="Times New Roman" w:cs="Times New Roman"/>
          <w:sz w:val="32"/>
          <w:szCs w:val="32"/>
        </w:rPr>
      </w:pPr>
    </w:p>
    <w:p w14:paraId="1FC44159">
      <w:pPr>
        <w:bidi w:val="0"/>
        <w:rPr>
          <w:rFonts w:hint="default"/>
        </w:rPr>
      </w:pPr>
    </w:p>
    <w:p w14:paraId="3ED14984">
      <w:pPr>
        <w:adjustRightInd w:val="0"/>
        <w:snapToGrid w:val="0"/>
        <w:jc w:val="right"/>
        <w:outlineLvl w:val="0"/>
        <w:rPr>
          <w:rFonts w:hint="eastAsia" w:ascii="Times New Roman" w:hAnsi="Times New Roman" w:eastAsia="仿宋_GB2312"/>
          <w:sz w:val="36"/>
          <w:szCs w:val="36"/>
        </w:rPr>
        <w:sectPr>
          <w:pgSz w:w="16838" w:h="11906" w:orient="landscape"/>
          <w:pgMar w:top="1531" w:right="1702" w:bottom="1531" w:left="1702" w:header="851" w:footer="1077" w:gutter="0"/>
          <w:pgBorders w:offsetFrom="page">
            <w:top w:val="none" w:sz="0" w:space="0"/>
            <w:left w:val="none" w:sz="0" w:space="0"/>
            <w:bottom w:val="none" w:sz="0" w:space="0"/>
            <w:right w:val="none" w:sz="0" w:space="0"/>
          </w:pgBorders>
          <w:pgNumType w:start="3"/>
          <w:cols w:space="720" w:num="1"/>
          <w:docGrid w:type="lines" w:linePitch="312" w:charSpace="0"/>
        </w:sectPr>
      </w:pPr>
    </w:p>
    <w:p w14:paraId="40883A3F">
      <w:pPr>
        <w:rPr>
          <w:rFonts w:ascii="仿宋_GB2312" w:hAnsi="仿宋_GB2312" w:eastAsia="仿宋_GB2312" w:cs="仿宋_GB2312"/>
          <w:color w:val="auto"/>
          <w:sz w:val="36"/>
          <w:szCs w:val="36"/>
          <w:highlight w:val="none"/>
          <w:u w:val="none" w:color="auto"/>
        </w:rPr>
      </w:pPr>
    </w:p>
    <w:p w14:paraId="3C5119EF">
      <w:pPr>
        <w:rPr>
          <w:rFonts w:ascii="仿宋_GB2312" w:hAnsi="仿宋_GB2312" w:eastAsia="仿宋_GB2312" w:cs="仿宋_GB2312"/>
          <w:color w:val="auto"/>
          <w:sz w:val="36"/>
          <w:szCs w:val="36"/>
          <w:highlight w:val="none"/>
          <w:u w:val="none" w:color="auto"/>
        </w:rPr>
      </w:pPr>
    </w:p>
    <w:p w14:paraId="4311E1D6">
      <w:pPr>
        <w:rPr>
          <w:rFonts w:ascii="仿宋_GB2312" w:hAnsi="仿宋_GB2312" w:eastAsia="仿宋_GB2312" w:cs="仿宋_GB2312"/>
          <w:color w:val="auto"/>
          <w:sz w:val="36"/>
          <w:szCs w:val="36"/>
          <w:highlight w:val="none"/>
          <w:u w:val="none" w:color="auto"/>
        </w:rPr>
      </w:pPr>
    </w:p>
    <w:p w14:paraId="49ACFCB4">
      <w:pPr>
        <w:rPr>
          <w:rFonts w:ascii="仿宋_GB2312" w:hAnsi="仿宋_GB2312" w:eastAsia="仿宋_GB2312" w:cs="仿宋_GB2312"/>
          <w:color w:val="auto"/>
          <w:sz w:val="36"/>
          <w:szCs w:val="36"/>
          <w:highlight w:val="none"/>
          <w:u w:val="none" w:color="auto"/>
        </w:rPr>
      </w:pPr>
    </w:p>
    <w:p w14:paraId="1563EB6F">
      <w:pPr>
        <w:rPr>
          <w:rFonts w:ascii="仿宋_GB2312" w:hAnsi="仿宋_GB2312" w:eastAsia="仿宋_GB2312" w:cs="仿宋_GB2312"/>
          <w:color w:val="auto"/>
          <w:sz w:val="36"/>
          <w:szCs w:val="36"/>
          <w:highlight w:val="none"/>
          <w:u w:val="none" w:color="auto"/>
        </w:rPr>
      </w:pPr>
    </w:p>
    <w:p w14:paraId="753C7E9C">
      <w:pPr>
        <w:adjustRightInd w:val="0"/>
        <w:snapToGrid w:val="0"/>
        <w:jc w:val="center"/>
        <w:outlineLvl w:val="0"/>
        <w:rPr>
          <w:rFonts w:ascii="方正小标宋_GBK" w:eastAsia="方正小标宋_GBK"/>
          <w:bCs/>
          <w:color w:val="auto"/>
          <w:sz w:val="72"/>
          <w:szCs w:val="72"/>
          <w:highlight w:val="none"/>
          <w:u w:val="none" w:color="auto"/>
        </w:rPr>
      </w:pPr>
      <w:r>
        <w:rPr>
          <w:rFonts w:hint="eastAsia" w:ascii="方正小标宋_GBK" w:eastAsia="方正小标宋_GBK"/>
          <w:bCs/>
          <w:color w:val="auto"/>
          <w:sz w:val="72"/>
          <w:szCs w:val="72"/>
          <w:highlight w:val="none"/>
          <w:u w:val="none" w:color="auto"/>
        </w:rPr>
        <w:t>建设项目环境影响报告表</w:t>
      </w:r>
    </w:p>
    <w:p w14:paraId="25C81F58">
      <w:pPr>
        <w:adjustRightInd w:val="0"/>
        <w:snapToGrid w:val="0"/>
        <w:spacing w:before="192" w:beforeLines="80"/>
        <w:jc w:val="center"/>
        <w:rPr>
          <w:rFonts w:ascii="楷体_GB2312" w:eastAsia="楷体_GB2312"/>
          <w:bCs/>
          <w:color w:val="auto"/>
          <w:sz w:val="48"/>
          <w:szCs w:val="48"/>
          <w:highlight w:val="none"/>
          <w:u w:val="none" w:color="auto"/>
        </w:rPr>
      </w:pPr>
      <w:r>
        <w:rPr>
          <w:rFonts w:hint="eastAsia" w:ascii="楷体_GB2312" w:eastAsia="楷体_GB2312"/>
          <w:bCs/>
          <w:color w:val="auto"/>
          <w:sz w:val="48"/>
          <w:szCs w:val="48"/>
          <w:highlight w:val="none"/>
          <w:u w:val="none" w:color="auto"/>
        </w:rPr>
        <w:t>（污染影响类）</w:t>
      </w:r>
    </w:p>
    <w:p w14:paraId="40D6FB94">
      <w:pPr>
        <w:adjustRightInd w:val="0"/>
        <w:snapToGrid w:val="0"/>
        <w:spacing w:line="288" w:lineRule="auto"/>
        <w:jc w:val="center"/>
        <w:outlineLvl w:val="9"/>
        <w:rPr>
          <w:rFonts w:ascii="华文仿宋" w:hAnsi="华文仿宋" w:eastAsia="华文仿宋" w:cs="华文仿宋"/>
          <w:color w:val="auto"/>
          <w:kern w:val="44"/>
          <w:sz w:val="44"/>
          <w:szCs w:val="44"/>
          <w:highlight w:val="none"/>
          <w:u w:val="none" w:color="auto"/>
        </w:rPr>
      </w:pPr>
    </w:p>
    <w:p w14:paraId="7EFBFFC8">
      <w:pPr>
        <w:jc w:val="center"/>
        <w:rPr>
          <w:rFonts w:eastAsia="仿宋"/>
          <w:color w:val="auto"/>
          <w:sz w:val="52"/>
          <w:szCs w:val="52"/>
          <w:highlight w:val="none"/>
          <w:u w:val="none" w:color="auto"/>
        </w:rPr>
      </w:pPr>
    </w:p>
    <w:p w14:paraId="7662F770">
      <w:pPr>
        <w:ind w:firstLine="1040"/>
        <w:rPr>
          <w:rFonts w:eastAsia="仿宋"/>
          <w:color w:val="auto"/>
          <w:sz w:val="44"/>
          <w:szCs w:val="44"/>
          <w:highlight w:val="none"/>
          <w:u w:val="none" w:color="auto"/>
        </w:rPr>
      </w:pPr>
    </w:p>
    <w:p w14:paraId="1A5BE0CD">
      <w:pPr>
        <w:ind w:firstLine="1040"/>
        <w:rPr>
          <w:rFonts w:eastAsia="仿宋"/>
          <w:color w:val="auto"/>
          <w:sz w:val="44"/>
          <w:szCs w:val="44"/>
          <w:highlight w:val="none"/>
          <w:u w:val="none" w:color="auto"/>
        </w:rPr>
      </w:pPr>
    </w:p>
    <w:p w14:paraId="0229DEA7">
      <w:pPr>
        <w:ind w:firstLine="1040"/>
        <w:rPr>
          <w:rFonts w:eastAsia="仿宋"/>
          <w:color w:val="auto"/>
          <w:sz w:val="44"/>
          <w:szCs w:val="44"/>
          <w:highlight w:val="none"/>
          <w:u w:val="none" w:color="auto"/>
        </w:rPr>
      </w:pPr>
    </w:p>
    <w:p w14:paraId="422C0D91">
      <w:pPr>
        <w:ind w:firstLine="1040"/>
        <w:rPr>
          <w:rFonts w:eastAsia="仿宋"/>
          <w:color w:val="auto"/>
          <w:sz w:val="44"/>
          <w:szCs w:val="44"/>
          <w:highlight w:val="none"/>
          <w:u w:val="none" w:color="auto"/>
        </w:rPr>
      </w:pPr>
    </w:p>
    <w:p w14:paraId="138EEDDD">
      <w:pPr>
        <w:ind w:firstLine="1040"/>
        <w:rPr>
          <w:rFonts w:eastAsia="仿宋"/>
          <w:color w:val="auto"/>
          <w:sz w:val="44"/>
          <w:szCs w:val="44"/>
          <w:highlight w:val="none"/>
          <w:u w:val="none" w:color="auto"/>
        </w:rPr>
      </w:pPr>
    </w:p>
    <w:p w14:paraId="1BBF57DE">
      <w:pPr>
        <w:keepNext w:val="0"/>
        <w:keepLines w:val="0"/>
        <w:pageBreakBefore w:val="0"/>
        <w:widowControl w:val="0"/>
        <w:kinsoku/>
        <w:wordWrap/>
        <w:overflowPunct/>
        <w:topLinePunct w:val="0"/>
        <w:autoSpaceDE/>
        <w:autoSpaceDN/>
        <w:bidi w:val="0"/>
        <w:adjustRightInd w:val="0"/>
        <w:snapToGrid w:val="0"/>
        <w:spacing w:line="360" w:lineRule="auto"/>
        <w:ind w:left="2010" w:leftChars="100" w:hanging="1800" w:hangingChars="500"/>
        <w:textAlignment w:val="auto"/>
        <w:rPr>
          <w:rFonts w:hint="eastAsia" w:ascii="仿宋_GB2312" w:eastAsia="仿宋_GB2312"/>
          <w:color w:val="auto"/>
          <w:sz w:val="36"/>
          <w:szCs w:val="36"/>
          <w:highlight w:val="none"/>
          <w:u w:val="none" w:color="auto"/>
        </w:rPr>
      </w:pPr>
      <w:r>
        <w:rPr>
          <w:rFonts w:hint="eastAsia" w:ascii="仿宋_GB2312" w:eastAsia="仿宋_GB2312"/>
          <w:color w:val="auto"/>
          <w:sz w:val="36"/>
          <w:szCs w:val="36"/>
          <w:highlight w:val="none"/>
          <w:u w:val="none" w:color="auto"/>
        </w:rPr>
        <w:t>项目名称</w:t>
      </w:r>
      <w:r>
        <w:rPr>
          <w:rFonts w:hint="eastAsia" w:ascii="仿宋_GB2312" w:eastAsia="仿宋_GB2312"/>
          <w:color w:val="auto"/>
          <w:sz w:val="36"/>
          <w:szCs w:val="36"/>
          <w:highlight w:val="none"/>
          <w:u w:val="single" w:color="auto"/>
        </w:rPr>
        <w:t>：吉林市永盛粮业有限责任公司粮食烘干项目</w:t>
      </w:r>
    </w:p>
    <w:p w14:paraId="581DCA11">
      <w:pPr>
        <w:keepNext w:val="0"/>
        <w:keepLines w:val="0"/>
        <w:pageBreakBefore w:val="0"/>
        <w:widowControl w:val="0"/>
        <w:kinsoku/>
        <w:wordWrap/>
        <w:overflowPunct/>
        <w:topLinePunct w:val="0"/>
        <w:autoSpaceDE/>
        <w:autoSpaceDN/>
        <w:bidi w:val="0"/>
        <w:adjustRightInd w:val="0"/>
        <w:snapToGrid w:val="0"/>
        <w:spacing w:line="360" w:lineRule="auto"/>
        <w:ind w:left="210" w:leftChars="100"/>
        <w:textAlignment w:val="auto"/>
        <w:rPr>
          <w:rFonts w:ascii="仿宋_GB2312" w:eastAsia="仿宋_GB2312"/>
          <w:color w:val="auto"/>
          <w:sz w:val="36"/>
          <w:szCs w:val="36"/>
          <w:highlight w:val="none"/>
          <w:u w:val="none" w:color="auto"/>
        </w:rPr>
      </w:pPr>
      <w:r>
        <w:rPr>
          <w:rFonts w:hint="eastAsia" w:ascii="仿宋_GB2312" w:eastAsia="仿宋_GB2312"/>
          <w:color w:val="auto"/>
          <w:sz w:val="36"/>
          <w:szCs w:val="36"/>
          <w:highlight w:val="none"/>
          <w:u w:val="none" w:color="auto"/>
        </w:rPr>
        <w:t>建设单位（盖章）：</w:t>
      </w:r>
      <w:r>
        <w:rPr>
          <w:rFonts w:hint="eastAsia" w:ascii="仿宋_GB2312" w:eastAsia="仿宋_GB2312"/>
          <w:color w:val="auto"/>
          <w:sz w:val="36"/>
          <w:szCs w:val="36"/>
          <w:highlight w:val="none"/>
          <w:u w:val="single" w:color="auto"/>
        </w:rPr>
        <w:t>吉林市永盛粮业有限责任公司</w:t>
      </w:r>
    </w:p>
    <w:p w14:paraId="5547E93C">
      <w:pPr>
        <w:keepNext w:val="0"/>
        <w:keepLines w:val="0"/>
        <w:pageBreakBefore w:val="0"/>
        <w:widowControl w:val="0"/>
        <w:kinsoku/>
        <w:wordWrap/>
        <w:overflowPunct/>
        <w:topLinePunct w:val="0"/>
        <w:autoSpaceDE/>
        <w:autoSpaceDN/>
        <w:bidi w:val="0"/>
        <w:adjustRightInd w:val="0"/>
        <w:snapToGrid w:val="0"/>
        <w:spacing w:line="360" w:lineRule="auto"/>
        <w:ind w:left="210" w:leftChars="100"/>
        <w:textAlignment w:val="auto"/>
        <w:rPr>
          <w:rFonts w:hint="default" w:ascii="仿宋_GB2312" w:eastAsia="仿宋_GB2312"/>
          <w:color w:val="auto"/>
          <w:sz w:val="36"/>
          <w:szCs w:val="36"/>
          <w:highlight w:val="none"/>
          <w:u w:val="none" w:color="auto"/>
          <w:lang w:val="en-US" w:eastAsia="zh-CN"/>
        </w:rPr>
      </w:pPr>
      <w:r>
        <w:rPr>
          <w:rFonts w:hint="eastAsia" w:ascii="仿宋_GB2312" w:eastAsia="仿宋_GB2312"/>
          <w:color w:val="auto"/>
          <w:sz w:val="36"/>
          <w:szCs w:val="36"/>
          <w:highlight w:val="none"/>
          <w:u w:val="none" w:color="auto"/>
        </w:rPr>
        <w:t>编制日期：</w:t>
      </w:r>
      <w:r>
        <w:rPr>
          <w:rFonts w:hint="eastAsia" w:ascii="仿宋_GB2312" w:eastAsia="仿宋_GB2312"/>
          <w:color w:val="auto"/>
          <w:sz w:val="36"/>
          <w:szCs w:val="36"/>
          <w:highlight w:val="none"/>
          <w:u w:val="single" w:color="auto"/>
          <w:lang w:val="en-US" w:eastAsia="zh-CN"/>
        </w:rPr>
        <w:t xml:space="preserve">      </w:t>
      </w:r>
      <w:r>
        <w:rPr>
          <w:rFonts w:hint="eastAsia" w:ascii="仿宋_GB2312" w:eastAsia="仿宋_GB2312"/>
          <w:color w:val="auto"/>
          <w:sz w:val="36"/>
          <w:szCs w:val="36"/>
          <w:highlight w:val="none"/>
          <w:u w:val="single" w:color="auto"/>
        </w:rPr>
        <w:t>202</w:t>
      </w:r>
      <w:r>
        <w:rPr>
          <w:rFonts w:hint="eastAsia" w:ascii="仿宋_GB2312" w:eastAsia="仿宋_GB2312"/>
          <w:color w:val="auto"/>
          <w:sz w:val="36"/>
          <w:szCs w:val="36"/>
          <w:highlight w:val="none"/>
          <w:u w:val="single" w:color="auto"/>
          <w:lang w:val="en-US" w:eastAsia="zh-CN"/>
        </w:rPr>
        <w:t>6</w:t>
      </w:r>
      <w:r>
        <w:rPr>
          <w:rFonts w:hint="eastAsia" w:ascii="仿宋_GB2312" w:eastAsia="仿宋_GB2312"/>
          <w:color w:val="auto"/>
          <w:sz w:val="36"/>
          <w:szCs w:val="36"/>
          <w:highlight w:val="none"/>
          <w:u w:val="single" w:color="auto"/>
        </w:rPr>
        <w:t>年</w:t>
      </w:r>
      <w:r>
        <w:rPr>
          <w:rFonts w:hint="eastAsia" w:ascii="仿宋_GB2312" w:eastAsia="仿宋_GB2312"/>
          <w:color w:val="auto"/>
          <w:sz w:val="36"/>
          <w:szCs w:val="36"/>
          <w:highlight w:val="none"/>
          <w:u w:val="single" w:color="auto"/>
          <w:lang w:val="en-US" w:eastAsia="zh-CN"/>
        </w:rPr>
        <w:t>3</w:t>
      </w:r>
      <w:r>
        <w:rPr>
          <w:rFonts w:hint="eastAsia" w:ascii="仿宋_GB2312" w:eastAsia="仿宋_GB2312"/>
          <w:color w:val="auto"/>
          <w:sz w:val="36"/>
          <w:szCs w:val="36"/>
          <w:highlight w:val="none"/>
          <w:u w:val="single" w:color="auto"/>
        </w:rPr>
        <w:t>月</w:t>
      </w:r>
      <w:r>
        <w:rPr>
          <w:rFonts w:hint="eastAsia" w:ascii="仿宋_GB2312" w:eastAsia="仿宋_GB2312"/>
          <w:color w:val="auto"/>
          <w:sz w:val="36"/>
          <w:szCs w:val="36"/>
          <w:highlight w:val="none"/>
          <w:u w:val="single" w:color="auto"/>
          <w:lang w:val="en-US" w:eastAsia="zh-CN"/>
        </w:rPr>
        <w:t xml:space="preserve">                      </w:t>
      </w:r>
    </w:p>
    <w:p w14:paraId="7DEA07A7">
      <w:pPr>
        <w:adjustRightInd w:val="0"/>
        <w:snapToGrid w:val="0"/>
        <w:spacing w:line="360" w:lineRule="auto"/>
        <w:ind w:firstLine="1040"/>
        <w:rPr>
          <w:rFonts w:ascii="仿宋_GB2312" w:eastAsia="仿宋_GB2312"/>
          <w:color w:val="auto"/>
          <w:sz w:val="36"/>
          <w:szCs w:val="36"/>
          <w:highlight w:val="none"/>
          <w:u w:val="none" w:color="auto"/>
        </w:rPr>
      </w:pPr>
      <w:bookmarkStart w:id="0" w:name="_Hlk57884087"/>
    </w:p>
    <w:p w14:paraId="2C1D5584">
      <w:pPr>
        <w:adjustRightInd w:val="0"/>
        <w:snapToGrid w:val="0"/>
        <w:spacing w:line="288" w:lineRule="auto"/>
        <w:ind w:firstLine="1040"/>
        <w:rPr>
          <w:rFonts w:ascii="仿宋_GB2312" w:eastAsia="仿宋_GB2312"/>
          <w:color w:val="auto"/>
          <w:sz w:val="36"/>
          <w:szCs w:val="36"/>
          <w:highlight w:val="none"/>
          <w:u w:val="none" w:color="auto"/>
        </w:rPr>
      </w:pPr>
    </w:p>
    <w:p w14:paraId="0C56DAC7">
      <w:pPr>
        <w:adjustRightInd w:val="0"/>
        <w:snapToGrid w:val="0"/>
        <w:spacing w:line="288" w:lineRule="auto"/>
        <w:ind w:firstLine="1040"/>
        <w:rPr>
          <w:rFonts w:ascii="仿宋_GB2312" w:eastAsia="仿宋_GB2312"/>
          <w:color w:val="auto"/>
          <w:sz w:val="36"/>
          <w:szCs w:val="36"/>
          <w:highlight w:val="none"/>
          <w:u w:val="none" w:color="auto"/>
        </w:rPr>
      </w:pPr>
    </w:p>
    <w:bookmarkEnd w:id="0"/>
    <w:p w14:paraId="020E904E">
      <w:pPr>
        <w:adjustRightInd w:val="0"/>
        <w:snapToGrid w:val="0"/>
        <w:spacing w:line="288" w:lineRule="auto"/>
        <w:jc w:val="center"/>
        <w:rPr>
          <w:rFonts w:ascii="楷体_GB2312" w:eastAsia="楷体_GB2312"/>
          <w:color w:val="auto"/>
          <w:sz w:val="36"/>
          <w:szCs w:val="36"/>
          <w:highlight w:val="none"/>
          <w:u w:val="none" w:color="auto"/>
        </w:rPr>
      </w:pPr>
      <w:r>
        <w:rPr>
          <w:rFonts w:hint="eastAsia" w:ascii="楷体_GB2312" w:eastAsia="楷体_GB2312"/>
          <w:color w:val="auto"/>
          <w:sz w:val="36"/>
          <w:szCs w:val="36"/>
          <w:highlight w:val="none"/>
          <w:u w:val="none" w:color="auto"/>
        </w:rPr>
        <w:t>中华人民共和国生态环境部制</w:t>
      </w:r>
    </w:p>
    <w:p w14:paraId="6BB2D234">
      <w:pPr>
        <w:adjustRightInd w:val="0"/>
        <w:snapToGrid w:val="0"/>
        <w:spacing w:line="288" w:lineRule="auto"/>
        <w:ind w:firstLine="1040"/>
        <w:rPr>
          <w:rFonts w:ascii="仿宋_GB2312" w:eastAsia="仿宋_GB2312"/>
          <w:color w:val="auto"/>
          <w:sz w:val="36"/>
          <w:szCs w:val="36"/>
          <w:highlight w:val="none"/>
          <w:u w:val="none" w:color="auto"/>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7D6015FB">
      <w:pPr>
        <w:pStyle w:val="24"/>
        <w:jc w:val="center"/>
        <w:outlineLvl w:val="0"/>
        <w:rPr>
          <w:rFonts w:ascii="黑体" w:hAnsi="黑体" w:eastAsia="黑体"/>
          <w:snapToGrid w:val="0"/>
          <w:color w:val="auto"/>
          <w:sz w:val="30"/>
          <w:szCs w:val="30"/>
          <w:highlight w:val="none"/>
          <w:u w:val="none" w:color="auto"/>
        </w:rPr>
      </w:pPr>
      <w:r>
        <w:rPr>
          <w:rFonts w:hint="eastAsia" w:ascii="黑体" w:hAnsi="黑体" w:eastAsia="黑体"/>
          <w:snapToGrid w:val="0"/>
          <w:color w:val="auto"/>
          <w:sz w:val="30"/>
          <w:szCs w:val="30"/>
          <w:highlight w:val="none"/>
          <w:u w:val="none" w:color="auto"/>
        </w:rPr>
        <w:t>一、建设项目基本情况</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240"/>
        <w:gridCol w:w="1950"/>
        <w:gridCol w:w="1953"/>
        <w:gridCol w:w="3727"/>
      </w:tblGrid>
      <w:tr w14:paraId="062DE3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40" w:type="dxa"/>
            <w:tcMar>
              <w:top w:w="16" w:type="dxa"/>
              <w:left w:w="16" w:type="dxa"/>
              <w:right w:w="16" w:type="dxa"/>
            </w:tcMar>
            <w:vAlign w:val="center"/>
          </w:tcPr>
          <w:p w14:paraId="07C98EA8">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建设项目名称</w:t>
            </w:r>
          </w:p>
        </w:tc>
        <w:tc>
          <w:tcPr>
            <w:tcW w:w="7630" w:type="dxa"/>
            <w:gridSpan w:val="3"/>
            <w:vAlign w:val="center"/>
          </w:tcPr>
          <w:p w14:paraId="2A998DBB">
            <w:pPr>
              <w:jc w:val="center"/>
              <w:rPr>
                <w:rFonts w:hint="default" w:ascii="Times New Roman" w:hAnsi="Times New Roman" w:cs="Times New Roman"/>
                <w:color w:val="auto"/>
                <w:sz w:val="21"/>
                <w:szCs w:val="21"/>
                <w:highlight w:val="none"/>
                <w:u w:val="none" w:color="auto"/>
              </w:rPr>
            </w:pPr>
            <w:r>
              <w:rPr>
                <w:rFonts w:hint="default" w:ascii="Times New Roman" w:hAnsi="Times New Roman" w:eastAsia="宋体" w:cs="Times New Roman"/>
                <w:color w:val="auto"/>
                <w:sz w:val="21"/>
                <w:szCs w:val="21"/>
                <w:highlight w:val="none"/>
                <w:u w:val="none" w:color="auto"/>
                <w:lang w:eastAsia="zh-CN"/>
              </w:rPr>
              <w:t>吉林市永盛粮业有限责任公司粮食烘干项目</w:t>
            </w:r>
          </w:p>
        </w:tc>
      </w:tr>
      <w:tr w14:paraId="6E4DFA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40" w:type="dxa"/>
            <w:tcMar>
              <w:top w:w="16" w:type="dxa"/>
              <w:left w:w="16" w:type="dxa"/>
              <w:right w:w="16" w:type="dxa"/>
            </w:tcMar>
            <w:vAlign w:val="center"/>
          </w:tcPr>
          <w:p w14:paraId="49F227FD">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项目代码</w:t>
            </w:r>
          </w:p>
        </w:tc>
        <w:tc>
          <w:tcPr>
            <w:tcW w:w="7630" w:type="dxa"/>
            <w:gridSpan w:val="3"/>
            <w:vAlign w:val="center"/>
          </w:tcPr>
          <w:p w14:paraId="4DCF7B30">
            <w:pPr>
              <w:adjustRightInd w:val="0"/>
              <w:snapToGrid w:val="0"/>
              <w:jc w:val="center"/>
              <w:rPr>
                <w:rFonts w:hint="eastAsia"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w:t>
            </w:r>
          </w:p>
        </w:tc>
      </w:tr>
      <w:tr w14:paraId="3BD01B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40" w:type="dxa"/>
            <w:tcMar>
              <w:top w:w="16" w:type="dxa"/>
              <w:left w:w="16" w:type="dxa"/>
              <w:right w:w="16" w:type="dxa"/>
            </w:tcMar>
            <w:vAlign w:val="center"/>
          </w:tcPr>
          <w:p w14:paraId="306AC9AC">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建设单位联系人</w:t>
            </w:r>
          </w:p>
        </w:tc>
        <w:tc>
          <w:tcPr>
            <w:tcW w:w="1950" w:type="dxa"/>
            <w:vAlign w:val="center"/>
          </w:tcPr>
          <w:p w14:paraId="753387AB">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白xx</w:t>
            </w:r>
          </w:p>
        </w:tc>
        <w:tc>
          <w:tcPr>
            <w:tcW w:w="1953" w:type="dxa"/>
            <w:vAlign w:val="center"/>
          </w:tcPr>
          <w:p w14:paraId="7990328A">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联系方式</w:t>
            </w:r>
          </w:p>
        </w:tc>
        <w:tc>
          <w:tcPr>
            <w:tcW w:w="3727" w:type="dxa"/>
            <w:vAlign w:val="center"/>
          </w:tcPr>
          <w:p w14:paraId="1336506A">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155xxxxxxxx</w:t>
            </w:r>
          </w:p>
        </w:tc>
      </w:tr>
      <w:tr w14:paraId="4C3623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40" w:type="dxa"/>
            <w:tcMar>
              <w:top w:w="16" w:type="dxa"/>
              <w:left w:w="16" w:type="dxa"/>
              <w:right w:w="16" w:type="dxa"/>
            </w:tcMar>
            <w:vAlign w:val="center"/>
          </w:tcPr>
          <w:p w14:paraId="4BBAFFEB">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建设地点</w:t>
            </w:r>
          </w:p>
        </w:tc>
        <w:tc>
          <w:tcPr>
            <w:tcW w:w="7630" w:type="dxa"/>
            <w:gridSpan w:val="3"/>
            <w:vAlign w:val="center"/>
          </w:tcPr>
          <w:p w14:paraId="07E3906F">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吉林市永吉县双河镇铁南路南侧</w:t>
            </w:r>
          </w:p>
        </w:tc>
      </w:tr>
      <w:tr w14:paraId="0A0ABD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40" w:type="dxa"/>
            <w:tcMar>
              <w:top w:w="16" w:type="dxa"/>
              <w:left w:w="16" w:type="dxa"/>
              <w:right w:w="16" w:type="dxa"/>
            </w:tcMar>
            <w:vAlign w:val="center"/>
          </w:tcPr>
          <w:p w14:paraId="075DC8FF">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地理坐标</w:t>
            </w:r>
          </w:p>
        </w:tc>
        <w:tc>
          <w:tcPr>
            <w:tcW w:w="7630" w:type="dxa"/>
            <w:gridSpan w:val="3"/>
            <w:vAlign w:val="center"/>
          </w:tcPr>
          <w:p w14:paraId="32AC469C">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东经126度10分50.996秒，北纬43度27分50.880秒</w:t>
            </w:r>
          </w:p>
        </w:tc>
      </w:tr>
      <w:tr w14:paraId="5EF879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82" w:hRule="atLeast"/>
          <w:jc w:val="center"/>
        </w:trPr>
        <w:tc>
          <w:tcPr>
            <w:tcW w:w="1240" w:type="dxa"/>
            <w:tcMar>
              <w:top w:w="16" w:type="dxa"/>
              <w:left w:w="16" w:type="dxa"/>
              <w:right w:w="16" w:type="dxa"/>
            </w:tcMar>
            <w:vAlign w:val="center"/>
          </w:tcPr>
          <w:p w14:paraId="5629CCA2">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国民经济</w:t>
            </w:r>
          </w:p>
          <w:p w14:paraId="35B43C92">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行业类别</w:t>
            </w:r>
          </w:p>
        </w:tc>
        <w:tc>
          <w:tcPr>
            <w:tcW w:w="1950" w:type="dxa"/>
            <w:vAlign w:val="center"/>
          </w:tcPr>
          <w:p w14:paraId="53598717">
            <w:pPr>
              <w:jc w:val="left"/>
              <w:rPr>
                <w:rFonts w:hint="eastAsia" w:ascii="Times New Roman" w:hAnsi="Times New Roman" w:eastAsia="宋体" w:cs="Times New Roman"/>
                <w:color w:val="auto"/>
                <w:sz w:val="21"/>
                <w:szCs w:val="21"/>
                <w:highlight w:val="none"/>
                <w:u w:val="none" w:color="auto"/>
                <w:lang w:eastAsia="zh-CN"/>
              </w:rPr>
            </w:pPr>
            <w:r>
              <w:rPr>
                <w:rFonts w:hint="eastAsia" w:ascii="Times New Roman" w:hAnsi="Times New Roman" w:eastAsia="宋体" w:cs="Times New Roman"/>
                <w:color w:val="auto"/>
                <w:sz w:val="21"/>
                <w:szCs w:val="21"/>
                <w:highlight w:val="none"/>
                <w:u w:val="none" w:color="auto"/>
                <w:lang w:eastAsia="zh-CN"/>
              </w:rPr>
              <w:t>D4430热力生产和供应业</w:t>
            </w:r>
          </w:p>
          <w:p w14:paraId="5A2A7469">
            <w:pPr>
              <w:jc w:val="left"/>
              <w:rPr>
                <w:rFonts w:hint="eastAsia" w:ascii="Times New Roman" w:hAnsi="Times New Roman" w:eastAsia="宋体" w:cs="Times New Roman"/>
                <w:color w:val="auto"/>
                <w:sz w:val="21"/>
                <w:szCs w:val="21"/>
                <w:highlight w:val="none"/>
                <w:u w:val="none" w:color="auto"/>
                <w:lang w:eastAsia="zh-CN"/>
              </w:rPr>
            </w:pPr>
            <w:r>
              <w:rPr>
                <w:rFonts w:hint="eastAsia" w:ascii="Times New Roman" w:hAnsi="Times New Roman" w:eastAsia="宋体" w:cs="Times New Roman"/>
                <w:color w:val="auto"/>
                <w:sz w:val="21"/>
                <w:szCs w:val="21"/>
                <w:highlight w:val="none"/>
                <w:u w:val="none" w:color="auto"/>
                <w:lang w:eastAsia="zh-CN"/>
              </w:rPr>
              <w:t>A0514 农产品初加工活动</w:t>
            </w:r>
          </w:p>
        </w:tc>
        <w:tc>
          <w:tcPr>
            <w:tcW w:w="1953" w:type="dxa"/>
            <w:vAlign w:val="center"/>
          </w:tcPr>
          <w:p w14:paraId="61F60162">
            <w:pPr>
              <w:jc w:val="center"/>
              <w:rPr>
                <w:rFonts w:hint="eastAsia" w:ascii="Times New Roman" w:hAnsi="Times New Roman" w:eastAsia="宋体" w:cs="Times New Roman"/>
                <w:color w:val="auto"/>
                <w:sz w:val="21"/>
                <w:szCs w:val="21"/>
                <w:highlight w:val="none"/>
                <w:u w:val="none" w:color="auto"/>
              </w:rPr>
            </w:pPr>
            <w:r>
              <w:rPr>
                <w:rFonts w:hint="eastAsia" w:ascii="Times New Roman" w:hAnsi="Times New Roman" w:eastAsia="宋体" w:cs="Times New Roman"/>
                <w:color w:val="auto"/>
                <w:sz w:val="21"/>
                <w:szCs w:val="21"/>
                <w:highlight w:val="none"/>
                <w:u w:val="none" w:color="auto"/>
              </w:rPr>
              <w:t>建设项目</w:t>
            </w:r>
          </w:p>
          <w:p w14:paraId="7BE21B0B">
            <w:pPr>
              <w:jc w:val="center"/>
              <w:rPr>
                <w:rFonts w:hint="default" w:ascii="Times New Roman" w:hAnsi="Times New Roman" w:eastAsia="宋体" w:cs="Times New Roman"/>
                <w:color w:val="auto"/>
                <w:sz w:val="21"/>
                <w:szCs w:val="21"/>
                <w:highlight w:val="none"/>
                <w:u w:val="none" w:color="auto"/>
              </w:rPr>
            </w:pPr>
            <w:r>
              <w:rPr>
                <w:rFonts w:hint="eastAsia" w:ascii="Times New Roman" w:hAnsi="Times New Roman" w:eastAsia="宋体" w:cs="Times New Roman"/>
                <w:color w:val="auto"/>
                <w:sz w:val="21"/>
                <w:szCs w:val="21"/>
                <w:highlight w:val="none"/>
                <w:u w:val="none" w:color="auto"/>
              </w:rPr>
              <w:t>行业类别</w:t>
            </w:r>
          </w:p>
        </w:tc>
        <w:tc>
          <w:tcPr>
            <w:tcW w:w="3727" w:type="dxa"/>
            <w:vAlign w:val="center"/>
          </w:tcPr>
          <w:p w14:paraId="18CE2F04">
            <w:pPr>
              <w:jc w:val="left"/>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rPr>
              <w:t>四十一、电力、热力生产和供应业-91. 热力生产和供应工程（包括建设单位自建自用的供热工程）</w:t>
            </w:r>
          </w:p>
        </w:tc>
      </w:tr>
      <w:tr w14:paraId="49DB4D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52" w:hRule="atLeast"/>
          <w:jc w:val="center"/>
        </w:trPr>
        <w:tc>
          <w:tcPr>
            <w:tcW w:w="1240" w:type="dxa"/>
            <w:tcMar>
              <w:top w:w="16" w:type="dxa"/>
              <w:left w:w="16" w:type="dxa"/>
              <w:right w:w="16" w:type="dxa"/>
            </w:tcMar>
            <w:vAlign w:val="center"/>
          </w:tcPr>
          <w:p w14:paraId="6EEE4B34">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建设性质</w:t>
            </w:r>
          </w:p>
        </w:tc>
        <w:tc>
          <w:tcPr>
            <w:tcW w:w="1950" w:type="dxa"/>
            <w:vAlign w:val="center"/>
          </w:tcPr>
          <w:p w14:paraId="7D51B811">
            <w:pPr>
              <w:jc w:val="left"/>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☑新建（迁建）</w:t>
            </w:r>
          </w:p>
          <w:p w14:paraId="5601EC8D">
            <w:pPr>
              <w:jc w:val="left"/>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□改建</w:t>
            </w:r>
          </w:p>
          <w:p w14:paraId="37EEC65F">
            <w:pPr>
              <w:jc w:val="left"/>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□扩建</w:t>
            </w:r>
          </w:p>
          <w:p w14:paraId="07E01CE4">
            <w:pPr>
              <w:jc w:val="left"/>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□技术改造</w:t>
            </w:r>
          </w:p>
        </w:tc>
        <w:tc>
          <w:tcPr>
            <w:tcW w:w="1953" w:type="dxa"/>
            <w:vAlign w:val="center"/>
          </w:tcPr>
          <w:p w14:paraId="128CA2DD">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建设项目</w:t>
            </w:r>
          </w:p>
          <w:p w14:paraId="64D0E23C">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申报情形</w:t>
            </w:r>
          </w:p>
        </w:tc>
        <w:tc>
          <w:tcPr>
            <w:tcW w:w="3727" w:type="dxa"/>
            <w:vAlign w:val="center"/>
          </w:tcPr>
          <w:p w14:paraId="20C0987B">
            <w:pPr>
              <w:jc w:val="left"/>
              <w:rPr>
                <w:rFonts w:hint="default" w:ascii="Times New Roman" w:hAnsi="Times New Roman" w:cs="Times New Roman"/>
                <w:color w:val="auto"/>
                <w:sz w:val="21"/>
                <w:szCs w:val="21"/>
                <w:highlight w:val="none"/>
                <w:u w:val="none" w:color="auto"/>
              </w:rPr>
            </w:pPr>
            <w:r>
              <w:rPr>
                <w:rFonts w:hint="eastAsia" w:cs="Times New Roman"/>
                <w:color w:val="auto"/>
                <w:sz w:val="21"/>
                <w:szCs w:val="21"/>
                <w:highlight w:val="none"/>
                <w:u w:val="none" w:color="auto"/>
                <w:lang w:eastAsia="zh-CN"/>
              </w:rPr>
              <w:t>☑</w:t>
            </w:r>
            <w:r>
              <w:rPr>
                <w:rFonts w:hint="default" w:ascii="Times New Roman" w:hAnsi="Times New Roman" w:cs="Times New Roman"/>
                <w:color w:val="auto"/>
                <w:sz w:val="21"/>
                <w:szCs w:val="21"/>
                <w:highlight w:val="none"/>
                <w:u w:val="none" w:color="auto"/>
              </w:rPr>
              <w:t>首次申报项目</w:t>
            </w:r>
          </w:p>
          <w:p w14:paraId="1E9B1193">
            <w:pPr>
              <w:jc w:val="left"/>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□不予批准后再次申报项目</w:t>
            </w:r>
          </w:p>
          <w:p w14:paraId="0B0B8228">
            <w:pPr>
              <w:jc w:val="left"/>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□超五年重新审核项目</w:t>
            </w:r>
          </w:p>
          <w:p w14:paraId="3585EDDF">
            <w:pPr>
              <w:jc w:val="left"/>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□重大变动重新报批项目</w:t>
            </w:r>
          </w:p>
        </w:tc>
      </w:tr>
      <w:tr w14:paraId="22E700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1240" w:type="dxa"/>
            <w:tcMar>
              <w:top w:w="16" w:type="dxa"/>
              <w:left w:w="16" w:type="dxa"/>
              <w:right w:w="16" w:type="dxa"/>
            </w:tcMar>
            <w:vAlign w:val="center"/>
          </w:tcPr>
          <w:p w14:paraId="098F49C2">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项目审批（核准/备案）部门（选填）</w:t>
            </w:r>
          </w:p>
        </w:tc>
        <w:tc>
          <w:tcPr>
            <w:tcW w:w="1950" w:type="dxa"/>
            <w:vAlign w:val="center"/>
          </w:tcPr>
          <w:p w14:paraId="7E0D95B8">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w:t>
            </w:r>
          </w:p>
        </w:tc>
        <w:tc>
          <w:tcPr>
            <w:tcW w:w="1953" w:type="dxa"/>
            <w:vAlign w:val="center"/>
          </w:tcPr>
          <w:p w14:paraId="0534C599">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项目审批（核准/</w:t>
            </w:r>
          </w:p>
          <w:p w14:paraId="71B39684">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备案）文号（选填）</w:t>
            </w:r>
          </w:p>
        </w:tc>
        <w:tc>
          <w:tcPr>
            <w:tcW w:w="3727" w:type="dxa"/>
            <w:vAlign w:val="center"/>
          </w:tcPr>
          <w:p w14:paraId="7FC8DFBD">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w:t>
            </w:r>
          </w:p>
        </w:tc>
      </w:tr>
      <w:tr w14:paraId="7F12F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1240" w:type="dxa"/>
            <w:tcMar>
              <w:top w:w="16" w:type="dxa"/>
              <w:left w:w="16" w:type="dxa"/>
              <w:right w:w="16" w:type="dxa"/>
            </w:tcMar>
            <w:vAlign w:val="center"/>
          </w:tcPr>
          <w:p w14:paraId="79D32911">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总投资（万元）</w:t>
            </w:r>
          </w:p>
        </w:tc>
        <w:tc>
          <w:tcPr>
            <w:tcW w:w="1950" w:type="dxa"/>
            <w:vAlign w:val="center"/>
          </w:tcPr>
          <w:p w14:paraId="22D9F5C3">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110</w:t>
            </w:r>
          </w:p>
        </w:tc>
        <w:tc>
          <w:tcPr>
            <w:tcW w:w="1953" w:type="dxa"/>
            <w:tcMar>
              <w:top w:w="16" w:type="dxa"/>
              <w:left w:w="16" w:type="dxa"/>
              <w:right w:w="16" w:type="dxa"/>
            </w:tcMar>
            <w:vAlign w:val="center"/>
          </w:tcPr>
          <w:p w14:paraId="4DC6043A">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环保投资（万元）</w:t>
            </w:r>
          </w:p>
        </w:tc>
        <w:tc>
          <w:tcPr>
            <w:tcW w:w="3727" w:type="dxa"/>
            <w:vAlign w:val="center"/>
          </w:tcPr>
          <w:p w14:paraId="58F7BFE4">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5</w:t>
            </w:r>
          </w:p>
        </w:tc>
      </w:tr>
      <w:tr w14:paraId="4346F4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4" w:hRule="atLeast"/>
          <w:jc w:val="center"/>
        </w:trPr>
        <w:tc>
          <w:tcPr>
            <w:tcW w:w="1240" w:type="dxa"/>
            <w:tcMar>
              <w:top w:w="16" w:type="dxa"/>
              <w:left w:w="16" w:type="dxa"/>
              <w:right w:w="16" w:type="dxa"/>
            </w:tcMar>
            <w:vAlign w:val="center"/>
          </w:tcPr>
          <w:p w14:paraId="7187D7D4">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环保投资占比（%）</w:t>
            </w:r>
          </w:p>
        </w:tc>
        <w:tc>
          <w:tcPr>
            <w:tcW w:w="1950" w:type="dxa"/>
            <w:vAlign w:val="center"/>
          </w:tcPr>
          <w:p w14:paraId="08E8399C">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4.5</w:t>
            </w:r>
          </w:p>
        </w:tc>
        <w:tc>
          <w:tcPr>
            <w:tcW w:w="1953" w:type="dxa"/>
            <w:tcMar>
              <w:top w:w="16" w:type="dxa"/>
              <w:left w:w="16" w:type="dxa"/>
              <w:right w:w="16" w:type="dxa"/>
            </w:tcMar>
            <w:vAlign w:val="center"/>
          </w:tcPr>
          <w:p w14:paraId="14EF3EB8">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施工工期</w:t>
            </w:r>
          </w:p>
        </w:tc>
        <w:tc>
          <w:tcPr>
            <w:tcW w:w="3727" w:type="dxa"/>
            <w:vAlign w:val="center"/>
          </w:tcPr>
          <w:p w14:paraId="19CC8695">
            <w:pPr>
              <w:adjustRightInd w:val="0"/>
              <w:snapToGrid w:val="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1个月</w:t>
            </w:r>
          </w:p>
        </w:tc>
      </w:tr>
      <w:tr w14:paraId="191B4C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47" w:hRule="atLeast"/>
          <w:jc w:val="center"/>
        </w:trPr>
        <w:tc>
          <w:tcPr>
            <w:tcW w:w="1240" w:type="dxa"/>
            <w:tcMar>
              <w:top w:w="16" w:type="dxa"/>
              <w:left w:w="16" w:type="dxa"/>
              <w:right w:w="16" w:type="dxa"/>
            </w:tcMar>
            <w:vAlign w:val="center"/>
          </w:tcPr>
          <w:p w14:paraId="2D432220">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是否开工建设</w:t>
            </w:r>
          </w:p>
        </w:tc>
        <w:tc>
          <w:tcPr>
            <w:tcW w:w="1950" w:type="dxa"/>
            <w:vAlign w:val="center"/>
          </w:tcPr>
          <w:p w14:paraId="51CEB021">
            <w:pPr>
              <w:keepNext w:val="0"/>
              <w:keepLines w:val="0"/>
              <w:pageBreakBefore w:val="0"/>
              <w:widowControl w:val="0"/>
              <w:kinsoku/>
              <w:wordWrap/>
              <w:overflowPunct/>
              <w:topLinePunct w:val="0"/>
              <w:autoSpaceDE/>
              <w:autoSpaceDN/>
              <w:bidi w:val="0"/>
              <w:adjustRightInd w:val="0"/>
              <w:snapToGrid w:val="0"/>
              <w:ind w:firstLine="210" w:firstLineChars="100"/>
              <w:jc w:val="left"/>
              <w:textAlignment w:val="auto"/>
              <w:rPr>
                <w:rFonts w:hint="default" w:ascii="Times New Roman" w:hAnsi="Times New Roman" w:cs="Times New Roman"/>
                <w:color w:val="auto"/>
                <w:sz w:val="21"/>
                <w:szCs w:val="21"/>
                <w:highlight w:val="none"/>
                <w:u w:val="none" w:color="auto"/>
              </w:rPr>
            </w:pPr>
            <w:r>
              <w:rPr>
                <w:rFonts w:hint="eastAsia" w:cs="Times New Roman"/>
                <w:color w:val="auto"/>
                <w:sz w:val="21"/>
                <w:szCs w:val="21"/>
                <w:highlight w:val="none"/>
                <w:u w:val="none" w:color="auto"/>
                <w:lang w:eastAsia="zh-CN"/>
              </w:rPr>
              <w:t>□</w:t>
            </w:r>
            <w:r>
              <w:rPr>
                <w:rFonts w:hint="default" w:ascii="Times New Roman" w:hAnsi="Times New Roman" w:cs="Times New Roman"/>
                <w:color w:val="auto"/>
                <w:sz w:val="21"/>
                <w:szCs w:val="21"/>
                <w:highlight w:val="none"/>
                <w:u w:val="none" w:color="auto"/>
              </w:rPr>
              <w:t>否</w:t>
            </w:r>
          </w:p>
          <w:p w14:paraId="5C06083A">
            <w:pPr>
              <w:keepNext w:val="0"/>
              <w:keepLines w:val="0"/>
              <w:pageBreakBefore w:val="0"/>
              <w:widowControl w:val="0"/>
              <w:kinsoku/>
              <w:wordWrap/>
              <w:overflowPunct/>
              <w:topLinePunct w:val="0"/>
              <w:autoSpaceDE/>
              <w:autoSpaceDN/>
              <w:bidi w:val="0"/>
              <w:adjustRightInd w:val="0"/>
              <w:snapToGrid w:val="0"/>
              <w:ind w:firstLine="210" w:firstLineChars="100"/>
              <w:jc w:val="left"/>
              <w:textAlignment w:val="auto"/>
              <w:rPr>
                <w:rFonts w:hint="eastAsia" w:ascii="Times New Roman" w:hAnsi="Times New Roman" w:eastAsia="宋体" w:cs="Times New Roman"/>
                <w:color w:val="auto"/>
                <w:sz w:val="21"/>
                <w:szCs w:val="21"/>
                <w:highlight w:val="none"/>
                <w:u w:val="single" w:color="auto"/>
                <w:lang w:eastAsia="zh-CN"/>
              </w:rPr>
            </w:pPr>
            <w:r>
              <w:rPr>
                <w:rFonts w:hint="eastAsia" w:cs="Times New Roman"/>
                <w:color w:val="auto"/>
                <w:sz w:val="21"/>
                <w:szCs w:val="21"/>
                <w:highlight w:val="none"/>
                <w:u w:val="none" w:color="auto"/>
                <w:lang w:eastAsia="zh-CN"/>
              </w:rPr>
              <w:t>☑</w:t>
            </w:r>
            <w:r>
              <w:rPr>
                <w:rFonts w:hint="default" w:ascii="Times New Roman" w:hAnsi="Times New Roman" w:cs="Times New Roman"/>
                <w:color w:val="auto"/>
                <w:sz w:val="21"/>
                <w:szCs w:val="21"/>
                <w:highlight w:val="none"/>
                <w:u w:val="none" w:color="auto"/>
              </w:rPr>
              <w:t>是：</w:t>
            </w:r>
            <w:r>
              <w:rPr>
                <w:rFonts w:hint="eastAsia" w:ascii="Times New Roman" w:hAnsi="Times New Roman" w:cs="Times New Roman"/>
                <w:color w:val="auto"/>
                <w:sz w:val="21"/>
                <w:szCs w:val="21"/>
                <w:highlight w:val="none"/>
                <w:u w:val="none" w:color="auto"/>
              </w:rPr>
              <w:t>项目未批先建，</w:t>
            </w:r>
            <w:r>
              <w:rPr>
                <w:rFonts w:hint="eastAsia" w:ascii="Times New Roman" w:hAnsi="Times New Roman" w:cs="Times New Roman"/>
                <w:color w:val="auto"/>
                <w:sz w:val="21"/>
                <w:szCs w:val="21"/>
                <w:highlight w:val="none"/>
                <w:u w:val="none" w:color="auto"/>
                <w:lang w:val="en-US" w:eastAsia="zh-CN"/>
              </w:rPr>
              <w:t>项目于2022年7月建设热风炉和烘干塔</w:t>
            </w:r>
            <w:r>
              <w:rPr>
                <w:rFonts w:hint="eastAsia" w:cs="Times New Roman"/>
                <w:color w:val="auto"/>
                <w:sz w:val="21"/>
                <w:szCs w:val="21"/>
                <w:highlight w:val="none"/>
                <w:u w:val="none" w:color="auto"/>
                <w:lang w:val="en-US" w:eastAsia="zh-CN"/>
              </w:rPr>
              <w:t>等</w:t>
            </w:r>
            <w:r>
              <w:rPr>
                <w:rFonts w:hint="eastAsia" w:ascii="Times New Roman" w:hAnsi="Times New Roman" w:cs="Times New Roman"/>
                <w:color w:val="auto"/>
                <w:sz w:val="21"/>
                <w:szCs w:val="21"/>
                <w:highlight w:val="none"/>
                <w:u w:val="none" w:color="auto"/>
                <w:lang w:val="en-US" w:eastAsia="zh-CN"/>
              </w:rPr>
              <w:t>，</w:t>
            </w:r>
            <w:r>
              <w:rPr>
                <w:rFonts w:hint="eastAsia" w:ascii="Times New Roman" w:hAnsi="Times New Roman" w:cs="Times New Roman"/>
                <w:color w:val="auto"/>
                <w:sz w:val="21"/>
                <w:szCs w:val="21"/>
                <w:highlight w:val="none"/>
                <w:u w:val="none" w:color="auto"/>
              </w:rPr>
              <w:t>但未造成环境影响后果，对其免于处罚。详见附件</w:t>
            </w:r>
          </w:p>
        </w:tc>
        <w:tc>
          <w:tcPr>
            <w:tcW w:w="1953" w:type="dxa"/>
            <w:tcMar>
              <w:top w:w="16" w:type="dxa"/>
              <w:left w:w="16" w:type="dxa"/>
              <w:right w:w="16" w:type="dxa"/>
            </w:tcMar>
            <w:vAlign w:val="center"/>
          </w:tcPr>
          <w:p w14:paraId="783DD97A">
            <w:pPr>
              <w:adjustRightInd w:val="0"/>
              <w:snapToGrid w:val="0"/>
              <w:jc w:val="center"/>
              <w:rPr>
                <w:rFonts w:hint="default" w:ascii="Times New Roman" w:hAnsi="Times New Roman" w:cs="Times New Roman"/>
                <w:color w:val="auto"/>
                <w:spacing w:val="-6"/>
                <w:sz w:val="21"/>
                <w:szCs w:val="21"/>
                <w:highlight w:val="none"/>
                <w:u w:val="none" w:color="auto"/>
              </w:rPr>
            </w:pPr>
            <w:r>
              <w:rPr>
                <w:rFonts w:hint="default" w:ascii="Times New Roman" w:hAnsi="Times New Roman" w:cs="Times New Roman"/>
                <w:color w:val="auto"/>
                <w:spacing w:val="-6"/>
                <w:sz w:val="21"/>
                <w:szCs w:val="21"/>
                <w:highlight w:val="none"/>
                <w:u w:val="none" w:color="auto"/>
              </w:rPr>
              <w:t>用地（用海）</w:t>
            </w:r>
          </w:p>
          <w:p w14:paraId="5ADEF802">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pacing w:val="-6"/>
                <w:sz w:val="21"/>
                <w:szCs w:val="21"/>
                <w:highlight w:val="none"/>
                <w:u w:val="none" w:color="auto"/>
              </w:rPr>
              <w:t>面积（m</w:t>
            </w:r>
            <w:r>
              <w:rPr>
                <w:rFonts w:hint="default" w:ascii="Times New Roman" w:hAnsi="Times New Roman" w:cs="Times New Roman"/>
                <w:color w:val="auto"/>
                <w:spacing w:val="-6"/>
                <w:sz w:val="21"/>
                <w:szCs w:val="21"/>
                <w:highlight w:val="none"/>
                <w:u w:val="none" w:color="auto"/>
                <w:vertAlign w:val="superscript"/>
              </w:rPr>
              <w:t>2</w:t>
            </w:r>
            <w:r>
              <w:rPr>
                <w:rFonts w:hint="default" w:ascii="Times New Roman" w:hAnsi="Times New Roman" w:cs="Times New Roman"/>
                <w:color w:val="auto"/>
                <w:spacing w:val="-6"/>
                <w:sz w:val="21"/>
                <w:szCs w:val="21"/>
                <w:highlight w:val="none"/>
                <w:u w:val="none" w:color="auto"/>
              </w:rPr>
              <w:t>）</w:t>
            </w:r>
          </w:p>
        </w:tc>
        <w:tc>
          <w:tcPr>
            <w:tcW w:w="3727" w:type="dxa"/>
            <w:vAlign w:val="center"/>
          </w:tcPr>
          <w:p w14:paraId="407DB2FD">
            <w:pPr>
              <w:adjustRightInd w:val="0"/>
              <w:snapToGrid w:val="0"/>
              <w:jc w:val="center"/>
              <w:rPr>
                <w:rFonts w:hint="default" w:ascii="Times New Roman" w:hAnsi="Times New Roman" w:eastAsia="宋体" w:cs="Times New Roman"/>
                <w:color w:val="auto"/>
                <w:sz w:val="21"/>
                <w:szCs w:val="21"/>
                <w:highlight w:val="none"/>
                <w:u w:val="none" w:color="auto"/>
                <w:vertAlign w:val="superscript"/>
                <w:lang w:val="en-US" w:eastAsia="zh-CN"/>
              </w:rPr>
            </w:pPr>
            <w:r>
              <w:rPr>
                <w:rFonts w:hint="eastAsia" w:cs="Times New Roman"/>
                <w:color w:val="auto"/>
                <w:sz w:val="21"/>
                <w:szCs w:val="21"/>
                <w:highlight w:val="none"/>
                <w:u w:val="none" w:color="auto"/>
                <w:lang w:val="en-US" w:eastAsia="zh-CN"/>
              </w:rPr>
              <w:t>3862</w:t>
            </w:r>
          </w:p>
        </w:tc>
      </w:tr>
      <w:tr w14:paraId="03A20B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40" w:type="dxa"/>
            <w:vAlign w:val="center"/>
          </w:tcPr>
          <w:p w14:paraId="6DFCA00B">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专项评价设置情况</w:t>
            </w:r>
          </w:p>
        </w:tc>
        <w:tc>
          <w:tcPr>
            <w:tcW w:w="7630" w:type="dxa"/>
            <w:gridSpan w:val="3"/>
            <w:vAlign w:val="center"/>
          </w:tcPr>
          <w:p w14:paraId="6537B38D">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无</w:t>
            </w:r>
          </w:p>
        </w:tc>
      </w:tr>
      <w:tr w14:paraId="2F72F4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40" w:type="dxa"/>
            <w:vAlign w:val="center"/>
          </w:tcPr>
          <w:p w14:paraId="217BD75A">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规划情况</w:t>
            </w:r>
          </w:p>
        </w:tc>
        <w:tc>
          <w:tcPr>
            <w:tcW w:w="7630" w:type="dxa"/>
            <w:gridSpan w:val="3"/>
            <w:vAlign w:val="center"/>
          </w:tcPr>
          <w:p w14:paraId="73960F87">
            <w:pPr>
              <w:adjustRightInd w:val="0"/>
              <w:snapToGrid w:val="0"/>
              <w:jc w:val="center"/>
              <w:rPr>
                <w:rFonts w:hint="eastAsia" w:ascii="Times New Roman" w:hAnsi="Times New Roman" w:cs="Times New Roman"/>
                <w:color w:val="auto"/>
                <w:sz w:val="21"/>
                <w:szCs w:val="21"/>
                <w:highlight w:val="none"/>
                <w:u w:val="none" w:color="auto"/>
                <w:lang w:eastAsia="zh-CN"/>
              </w:rPr>
            </w:pPr>
            <w:r>
              <w:rPr>
                <w:rFonts w:hint="eastAsia" w:ascii="Times New Roman" w:hAnsi="Times New Roman" w:cs="Times New Roman"/>
                <w:color w:val="auto"/>
                <w:sz w:val="21"/>
                <w:szCs w:val="21"/>
                <w:highlight w:val="none"/>
                <w:u w:val="none" w:color="auto"/>
                <w:lang w:eastAsia="zh-CN"/>
              </w:rPr>
              <w:t>无</w:t>
            </w:r>
          </w:p>
        </w:tc>
      </w:tr>
      <w:tr w14:paraId="3A6D9F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240" w:type="dxa"/>
            <w:vAlign w:val="center"/>
          </w:tcPr>
          <w:p w14:paraId="1357C3A5">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规划环境影响评价情况</w:t>
            </w:r>
          </w:p>
        </w:tc>
        <w:tc>
          <w:tcPr>
            <w:tcW w:w="7630" w:type="dxa"/>
            <w:gridSpan w:val="3"/>
            <w:vAlign w:val="center"/>
          </w:tcPr>
          <w:p w14:paraId="7679A924">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无</w:t>
            </w:r>
          </w:p>
        </w:tc>
      </w:tr>
      <w:tr w14:paraId="0DD405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240" w:type="dxa"/>
            <w:vAlign w:val="center"/>
          </w:tcPr>
          <w:p w14:paraId="6D1B9E2D">
            <w:pPr>
              <w:adjustRightInd w:val="0"/>
              <w:snapToGrid w:val="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规划及规划环境影响评价符合性分析</w:t>
            </w:r>
          </w:p>
        </w:tc>
        <w:tc>
          <w:tcPr>
            <w:tcW w:w="7630" w:type="dxa"/>
            <w:gridSpan w:val="3"/>
            <w:vAlign w:val="center"/>
          </w:tcPr>
          <w:p w14:paraId="046CE22C">
            <w:pPr>
              <w:adjustRightInd w:val="0"/>
              <w:snapToGrid w:val="0"/>
              <w:jc w:val="center"/>
              <w:rPr>
                <w:rFonts w:hint="default" w:ascii="Times New Roman" w:hAnsi="Times New Roman" w:cs="Times New Roman"/>
                <w:color w:val="auto"/>
                <w:sz w:val="21"/>
                <w:szCs w:val="21"/>
                <w:highlight w:val="none"/>
                <w:u w:val="none" w:color="auto"/>
                <w:lang w:eastAsia="zh-CN"/>
              </w:rPr>
            </w:pPr>
            <w:r>
              <w:rPr>
                <w:rFonts w:hint="default" w:ascii="Times New Roman" w:hAnsi="Times New Roman" w:cs="Times New Roman"/>
                <w:color w:val="auto"/>
                <w:sz w:val="21"/>
                <w:szCs w:val="21"/>
                <w:highlight w:val="none"/>
                <w:u w:val="none" w:color="auto"/>
              </w:rPr>
              <w:t>无</w:t>
            </w:r>
          </w:p>
        </w:tc>
      </w:tr>
      <w:tr w14:paraId="461E8E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30" w:hRule="atLeast"/>
          <w:jc w:val="center"/>
        </w:trPr>
        <w:tc>
          <w:tcPr>
            <w:tcW w:w="1240" w:type="dxa"/>
            <w:vAlign w:val="center"/>
          </w:tcPr>
          <w:p w14:paraId="005B9D60">
            <w:pPr>
              <w:autoSpaceDE w:val="0"/>
              <w:autoSpaceDN w:val="0"/>
              <w:adjustRightInd w:val="0"/>
              <w:snapToGrid w:val="0"/>
              <w:jc w:val="center"/>
              <w:rPr>
                <w:rFonts w:hint="default" w:ascii="Times New Roman" w:hAnsi="Times New Roman" w:cs="Times New Roman"/>
                <w:color w:val="auto"/>
                <w:kern w:val="0"/>
                <w:sz w:val="24"/>
                <w:highlight w:val="none"/>
                <w:u w:val="none" w:color="auto"/>
              </w:rPr>
            </w:pPr>
            <w:r>
              <w:rPr>
                <w:rFonts w:hint="default" w:ascii="Times New Roman" w:hAnsi="Times New Roman" w:cs="Times New Roman"/>
                <w:color w:val="auto"/>
                <w:kern w:val="0"/>
                <w:sz w:val="24"/>
                <w:highlight w:val="none"/>
                <w:u w:val="none" w:color="auto"/>
              </w:rPr>
              <w:t>其他符合性分析</w:t>
            </w:r>
          </w:p>
        </w:tc>
        <w:tc>
          <w:tcPr>
            <w:tcW w:w="7630" w:type="dxa"/>
            <w:gridSpan w:val="3"/>
            <w:vAlign w:val="center"/>
          </w:tcPr>
          <w:p w14:paraId="6B9583DA">
            <w:pPr>
              <w:pStyle w:val="5"/>
              <w:adjustRightInd w:val="0"/>
              <w:snapToGrid w:val="0"/>
              <w:spacing w:line="360" w:lineRule="auto"/>
              <w:rPr>
                <w:rFonts w:hint="default" w:ascii="Times New Roman" w:hAnsi="Times New Roman" w:cs="Times New Roman"/>
                <w:color w:val="auto"/>
                <w:kern w:val="0"/>
                <w:sz w:val="24"/>
                <w:szCs w:val="24"/>
                <w:highlight w:val="none"/>
                <w:u w:val="none" w:color="auto"/>
              </w:rPr>
            </w:pPr>
            <w:r>
              <w:rPr>
                <w:rFonts w:hint="default" w:ascii="Times New Roman" w:hAnsi="Times New Roman" w:cs="Times New Roman"/>
                <w:color w:val="auto"/>
                <w:kern w:val="0"/>
                <w:sz w:val="24"/>
                <w:szCs w:val="24"/>
                <w:highlight w:val="none"/>
                <w:u w:val="none" w:color="auto"/>
              </w:rPr>
              <w:t>1、产业政策符合性分析</w:t>
            </w:r>
          </w:p>
          <w:p w14:paraId="79AE4B2F">
            <w:pPr>
              <w:pStyle w:val="5"/>
              <w:adjustRightInd w:val="0"/>
              <w:snapToGrid w:val="0"/>
              <w:spacing w:line="360" w:lineRule="auto"/>
              <w:rPr>
                <w:rFonts w:hint="default" w:ascii="Times New Roman" w:hAnsi="Times New Roman" w:cs="Times New Roman"/>
                <w:color w:val="auto"/>
                <w:kern w:val="0"/>
                <w:sz w:val="24"/>
                <w:szCs w:val="24"/>
                <w:highlight w:val="none"/>
                <w:u w:val="none" w:color="auto"/>
              </w:rPr>
            </w:pPr>
            <w:r>
              <w:rPr>
                <w:rFonts w:hint="default" w:ascii="Times New Roman" w:hAnsi="Times New Roman" w:cs="Times New Roman"/>
                <w:color w:val="auto"/>
                <w:kern w:val="0"/>
                <w:sz w:val="24"/>
                <w:szCs w:val="24"/>
                <w:highlight w:val="none"/>
                <w:u w:val="none" w:color="auto"/>
              </w:rPr>
              <w:t>本项目属于农产品初加工中的粮食烘干项目，</w:t>
            </w:r>
            <w:r>
              <w:rPr>
                <w:rFonts w:hint="eastAsia" w:cs="Times New Roman"/>
                <w:color w:val="auto"/>
                <w:kern w:val="0"/>
                <w:sz w:val="24"/>
                <w:szCs w:val="24"/>
                <w:highlight w:val="none"/>
                <w:u w:val="none" w:color="auto"/>
                <w:lang w:val="en-US" w:eastAsia="zh-CN"/>
              </w:rPr>
              <w:t>根据</w:t>
            </w:r>
            <w:r>
              <w:rPr>
                <w:rFonts w:hint="default" w:ascii="Times New Roman" w:hAnsi="Times New Roman" w:cs="Times New Roman"/>
                <w:color w:val="auto"/>
                <w:kern w:val="0"/>
                <w:sz w:val="24"/>
                <w:szCs w:val="24"/>
                <w:highlight w:val="none"/>
                <w:u w:val="none" w:color="auto"/>
              </w:rPr>
              <w:t>《产业结构调整指导目录（2024年本）》，本项目不在鼓励类、淘汰类和限制类之列，属于允许类项目，符合当前国家产业政策。</w:t>
            </w:r>
          </w:p>
          <w:p w14:paraId="167CBA3D">
            <w:pPr>
              <w:pStyle w:val="5"/>
              <w:adjustRightInd w:val="0"/>
              <w:snapToGrid w:val="0"/>
              <w:spacing w:line="360" w:lineRule="auto"/>
              <w:rPr>
                <w:rFonts w:hint="default" w:ascii="Times New Roman" w:hAnsi="Times New Roman" w:cs="Times New Roman"/>
                <w:color w:val="auto"/>
                <w:kern w:val="0"/>
                <w:sz w:val="24"/>
                <w:szCs w:val="24"/>
                <w:highlight w:val="none"/>
                <w:u w:val="none" w:color="auto"/>
              </w:rPr>
            </w:pPr>
            <w:r>
              <w:rPr>
                <w:rFonts w:hint="default" w:ascii="Times New Roman" w:hAnsi="Times New Roman" w:cs="Times New Roman"/>
                <w:color w:val="auto"/>
                <w:kern w:val="0"/>
                <w:sz w:val="24"/>
                <w:szCs w:val="24"/>
                <w:highlight w:val="none"/>
                <w:u w:val="none" w:color="auto"/>
              </w:rPr>
              <w:t>2、选址合理性分析</w:t>
            </w:r>
          </w:p>
          <w:p w14:paraId="0145B453">
            <w:pPr>
              <w:pStyle w:val="5"/>
              <w:adjustRightInd w:val="0"/>
              <w:snapToGrid w:val="0"/>
              <w:spacing w:line="360" w:lineRule="auto"/>
              <w:rPr>
                <w:rFonts w:hint="default" w:ascii="Times New Roman" w:hAnsi="Times New Roman" w:eastAsia="宋体" w:cs="Times New Roman"/>
                <w:color w:val="auto"/>
                <w:kern w:val="0"/>
                <w:sz w:val="24"/>
                <w:szCs w:val="24"/>
                <w:highlight w:val="none"/>
                <w:u w:val="none" w:color="auto"/>
                <w:lang w:val="en-US" w:eastAsia="zh-CN"/>
              </w:rPr>
            </w:pPr>
            <w:r>
              <w:rPr>
                <w:rFonts w:hint="default" w:ascii="Times New Roman" w:hAnsi="Times New Roman" w:cs="Times New Roman"/>
                <w:color w:val="auto"/>
                <w:kern w:val="0"/>
                <w:sz w:val="24"/>
                <w:szCs w:val="24"/>
                <w:highlight w:val="none"/>
                <w:u w:val="none" w:color="auto"/>
              </w:rPr>
              <w:t>本项目位于吉林市永吉县双河镇</w:t>
            </w:r>
            <w:r>
              <w:rPr>
                <w:rFonts w:hint="eastAsia" w:cs="Times New Roman"/>
                <w:color w:val="auto"/>
                <w:kern w:val="0"/>
                <w:sz w:val="24"/>
                <w:szCs w:val="24"/>
                <w:highlight w:val="none"/>
                <w:u w:val="none" w:color="auto"/>
                <w:lang w:eastAsia="zh-CN"/>
              </w:rPr>
              <w:t>村</w:t>
            </w:r>
            <w:r>
              <w:rPr>
                <w:rFonts w:hint="default" w:ascii="Times New Roman" w:hAnsi="Times New Roman" w:cs="Times New Roman"/>
                <w:color w:val="auto"/>
                <w:kern w:val="0"/>
                <w:sz w:val="24"/>
                <w:szCs w:val="24"/>
                <w:highlight w:val="none"/>
                <w:u w:val="none" w:color="auto"/>
              </w:rPr>
              <w:t>铁南路南侧，地理位置见附图1。本项目租赁现有工业用地，租赁协议和土地证见附件1。</w:t>
            </w:r>
          </w:p>
          <w:p w14:paraId="279E89BA">
            <w:pPr>
              <w:pStyle w:val="5"/>
              <w:adjustRightInd w:val="0"/>
              <w:snapToGrid w:val="0"/>
              <w:spacing w:line="360" w:lineRule="auto"/>
              <w:rPr>
                <w:rFonts w:hint="eastAsia"/>
                <w:color w:val="auto"/>
                <w:kern w:val="0"/>
                <w:sz w:val="24"/>
                <w:highlight w:val="none"/>
                <w:u w:val="single" w:color="auto"/>
                <w:lang w:eastAsia="zh-CN"/>
              </w:rPr>
            </w:pPr>
            <w:r>
              <w:rPr>
                <w:rFonts w:hint="eastAsia" w:cs="Times New Roman"/>
                <w:color w:val="auto"/>
                <w:kern w:val="0"/>
                <w:sz w:val="24"/>
                <w:szCs w:val="24"/>
                <w:highlight w:val="none"/>
                <w:u w:val="single" w:color="auto"/>
                <w:lang w:val="en-US" w:eastAsia="zh-CN"/>
              </w:rPr>
              <w:t>本</w:t>
            </w:r>
            <w:r>
              <w:rPr>
                <w:rFonts w:hint="default" w:ascii="Times New Roman" w:hAnsi="Times New Roman" w:cs="Times New Roman"/>
                <w:color w:val="auto"/>
                <w:kern w:val="0"/>
                <w:sz w:val="24"/>
                <w:szCs w:val="24"/>
                <w:highlight w:val="none"/>
                <w:u w:val="single" w:color="auto"/>
                <w:lang w:eastAsia="zh-CN"/>
              </w:rPr>
              <w:t>项目用地</w:t>
            </w:r>
            <w:r>
              <w:rPr>
                <w:rFonts w:hint="default" w:ascii="Times New Roman" w:hAnsi="Times New Roman" w:cs="Times New Roman"/>
                <w:color w:val="auto"/>
                <w:kern w:val="0"/>
                <w:sz w:val="24"/>
                <w:szCs w:val="24"/>
                <w:highlight w:val="none"/>
                <w:u w:val="single" w:color="auto"/>
              </w:rPr>
              <w:t>性质为工业用地</w:t>
            </w:r>
            <w:r>
              <w:rPr>
                <w:rFonts w:hint="default" w:ascii="Times New Roman" w:hAnsi="Times New Roman" w:cs="Times New Roman"/>
                <w:color w:val="auto"/>
                <w:kern w:val="0"/>
                <w:sz w:val="24"/>
                <w:szCs w:val="24"/>
                <w:highlight w:val="none"/>
                <w:u w:val="single" w:color="auto"/>
                <w:lang w:eastAsia="zh-CN"/>
              </w:rPr>
              <w:t>，</w:t>
            </w:r>
            <w:r>
              <w:rPr>
                <w:rFonts w:hint="eastAsia" w:cs="Times New Roman"/>
                <w:color w:val="auto"/>
                <w:kern w:val="0"/>
                <w:sz w:val="24"/>
                <w:szCs w:val="24"/>
                <w:highlight w:val="none"/>
                <w:u w:val="single" w:color="auto"/>
                <w:lang w:eastAsia="zh-CN"/>
              </w:rPr>
              <w:t>厂区东侧为空地，隔空地为农田，</w:t>
            </w:r>
            <w:r>
              <w:rPr>
                <w:rFonts w:hint="default" w:ascii="Times New Roman" w:hAnsi="Times New Roman" w:cs="Times New Roman"/>
                <w:color w:val="auto"/>
                <w:kern w:val="0"/>
                <w:sz w:val="24"/>
                <w:szCs w:val="24"/>
                <w:highlight w:val="none"/>
                <w:u w:val="single" w:color="auto"/>
                <w:lang w:eastAsia="zh-CN"/>
              </w:rPr>
              <w:t>南侧为农田</w:t>
            </w:r>
            <w:r>
              <w:rPr>
                <w:rFonts w:hint="eastAsia" w:ascii="Times New Roman" w:hAnsi="Times New Roman" w:cs="Times New Roman"/>
                <w:color w:val="auto"/>
                <w:kern w:val="0"/>
                <w:sz w:val="24"/>
                <w:szCs w:val="24"/>
                <w:highlight w:val="none"/>
                <w:u w:val="single" w:color="auto"/>
                <w:lang w:eastAsia="zh-CN"/>
              </w:rPr>
              <w:t>，西侧为双河镇村仓库，隔仓库为农田和</w:t>
            </w:r>
            <w:r>
              <w:rPr>
                <w:rFonts w:hint="default" w:ascii="Times New Roman" w:hAnsi="Times New Roman" w:cs="Times New Roman"/>
                <w:color w:val="auto"/>
                <w:kern w:val="0"/>
                <w:sz w:val="24"/>
                <w:szCs w:val="24"/>
                <w:highlight w:val="none"/>
                <w:u w:val="single" w:color="auto"/>
                <w:lang w:eastAsia="zh-CN"/>
              </w:rPr>
              <w:t>永吉县君衡木材加工有限公司</w:t>
            </w:r>
            <w:r>
              <w:rPr>
                <w:rFonts w:hint="eastAsia" w:cs="Times New Roman"/>
                <w:color w:val="auto"/>
                <w:kern w:val="0"/>
                <w:sz w:val="24"/>
                <w:szCs w:val="24"/>
                <w:highlight w:val="none"/>
                <w:u w:val="single" w:color="auto"/>
                <w:lang w:eastAsia="zh-CN"/>
              </w:rPr>
              <w:t>（</w:t>
            </w:r>
            <w:r>
              <w:rPr>
                <w:rFonts w:hint="default" w:ascii="Times New Roman" w:hAnsi="Times New Roman" w:cs="Times New Roman"/>
                <w:color w:val="auto"/>
                <w:kern w:val="0"/>
                <w:sz w:val="24"/>
                <w:szCs w:val="24"/>
                <w:highlight w:val="none"/>
                <w:u w:val="single" w:color="auto"/>
                <w:lang w:eastAsia="zh-CN"/>
              </w:rPr>
              <w:t>已停产</w:t>
            </w:r>
            <w:r>
              <w:rPr>
                <w:rFonts w:hint="eastAsia" w:cs="Times New Roman"/>
                <w:color w:val="auto"/>
                <w:kern w:val="0"/>
                <w:sz w:val="24"/>
                <w:szCs w:val="24"/>
                <w:highlight w:val="none"/>
                <w:u w:val="single" w:color="auto"/>
                <w:lang w:eastAsia="zh-CN"/>
              </w:rPr>
              <w:t>）</w:t>
            </w:r>
            <w:r>
              <w:rPr>
                <w:rFonts w:hint="eastAsia" w:ascii="Times New Roman" w:hAnsi="Times New Roman" w:cs="Times New Roman"/>
                <w:color w:val="auto"/>
                <w:kern w:val="0"/>
                <w:sz w:val="24"/>
                <w:szCs w:val="24"/>
                <w:highlight w:val="none"/>
                <w:u w:val="single" w:color="auto"/>
                <w:lang w:eastAsia="zh-CN"/>
              </w:rPr>
              <w:t>，</w:t>
            </w:r>
            <w:r>
              <w:rPr>
                <w:rFonts w:hint="eastAsia" w:cs="Times New Roman"/>
                <w:color w:val="auto"/>
                <w:kern w:val="0"/>
                <w:sz w:val="24"/>
                <w:szCs w:val="24"/>
                <w:highlight w:val="none"/>
                <w:u w:val="single" w:color="auto"/>
                <w:lang w:eastAsia="zh-CN"/>
              </w:rPr>
              <w:t>北侧</w:t>
            </w:r>
            <w:r>
              <w:rPr>
                <w:rFonts w:hint="default" w:ascii="Times New Roman" w:hAnsi="Times New Roman" w:cs="Times New Roman"/>
                <w:color w:val="auto"/>
                <w:kern w:val="0"/>
                <w:sz w:val="24"/>
                <w:szCs w:val="24"/>
                <w:highlight w:val="none"/>
                <w:u w:val="single" w:color="auto"/>
                <w:lang w:eastAsia="zh-CN"/>
              </w:rPr>
              <w:t>为</w:t>
            </w:r>
            <w:r>
              <w:rPr>
                <w:rFonts w:hint="eastAsia" w:cs="Times New Roman"/>
                <w:color w:val="auto"/>
                <w:kern w:val="0"/>
                <w:sz w:val="24"/>
                <w:szCs w:val="24"/>
                <w:highlight w:val="none"/>
                <w:u w:val="single" w:color="auto"/>
                <w:lang w:eastAsia="zh-CN"/>
              </w:rPr>
              <w:t>空地，</w:t>
            </w:r>
            <w:r>
              <w:rPr>
                <w:rFonts w:hint="eastAsia" w:ascii="Times New Roman" w:hAnsi="Times New Roman" w:cs="Times New Roman"/>
                <w:color w:val="auto"/>
                <w:kern w:val="0"/>
                <w:sz w:val="24"/>
                <w:szCs w:val="24"/>
                <w:highlight w:val="none"/>
                <w:u w:val="single" w:color="auto"/>
                <w:lang w:eastAsia="zh-CN"/>
              </w:rPr>
              <w:t>隔空地为双河镇铁南路和双河镇铁路。项目原料产品运输便利，</w:t>
            </w:r>
            <w:r>
              <w:rPr>
                <w:rFonts w:hint="eastAsia"/>
                <w:bCs/>
                <w:color w:val="auto"/>
                <w:sz w:val="24"/>
                <w:highlight w:val="none"/>
                <w:u w:val="single" w:color="auto"/>
              </w:rPr>
              <w:t>项目所在区域</w:t>
            </w:r>
            <w:r>
              <w:rPr>
                <w:rFonts w:hint="eastAsia"/>
                <w:color w:val="auto"/>
                <w:kern w:val="0"/>
                <w:sz w:val="24"/>
                <w:highlight w:val="none"/>
                <w:u w:val="single" w:color="auto"/>
              </w:rPr>
              <w:t>不涉及自然与人文景观、重要湿地、生态公益林、水土流失敏感区等生态敏感区，</w:t>
            </w:r>
            <w:r>
              <w:rPr>
                <w:rFonts w:hint="eastAsia"/>
                <w:color w:val="auto"/>
                <w:kern w:val="0"/>
                <w:sz w:val="24"/>
                <w:highlight w:val="none"/>
                <w:u w:val="single" w:color="auto"/>
                <w:lang w:eastAsia="zh-CN"/>
              </w:rPr>
              <w:t>不涉及占用</w:t>
            </w:r>
            <w:r>
              <w:rPr>
                <w:rFonts w:hint="eastAsia"/>
                <w:color w:val="auto"/>
                <w:kern w:val="0"/>
                <w:sz w:val="24"/>
                <w:highlight w:val="none"/>
                <w:u w:val="single" w:color="auto"/>
              </w:rPr>
              <w:t>生态保护红线</w:t>
            </w:r>
            <w:r>
              <w:rPr>
                <w:rFonts w:hint="eastAsia"/>
                <w:color w:val="auto"/>
                <w:kern w:val="0"/>
                <w:sz w:val="24"/>
                <w:highlight w:val="none"/>
                <w:u w:val="single" w:color="auto"/>
                <w:lang w:eastAsia="zh-CN"/>
              </w:rPr>
              <w:t>。</w:t>
            </w:r>
          </w:p>
          <w:p w14:paraId="6D73E634">
            <w:pPr>
              <w:pStyle w:val="5"/>
              <w:adjustRightInd w:val="0"/>
              <w:snapToGrid w:val="0"/>
              <w:spacing w:line="360" w:lineRule="auto"/>
              <w:rPr>
                <w:rFonts w:hint="default" w:ascii="Times New Roman" w:hAnsi="Times New Roman" w:eastAsia="宋体" w:cs="Times New Roman"/>
                <w:color w:val="auto"/>
                <w:sz w:val="24"/>
                <w:highlight w:val="none"/>
                <w:u w:val="single"/>
              </w:rPr>
            </w:pPr>
            <w:r>
              <w:rPr>
                <w:rFonts w:hint="default" w:ascii="Times New Roman" w:hAnsi="Times New Roman" w:eastAsia="宋体" w:cs="Times New Roman"/>
                <w:color w:val="auto"/>
                <w:sz w:val="24"/>
                <w:highlight w:val="none"/>
                <w:u w:val="single"/>
              </w:rPr>
              <w:t>根据《永吉县国土空间总体规划（2021-2035年）（公示稿）》中明确“城镇职能，中心城区县域城镇职能分为综合型、农贸型、旅游型、工贸型四种类型，规划形成以综合型城镇为枢纽，农贸、旅游、工贸游型城镇为支点，不同类型城镇间互补协作的职能结构；</w:t>
            </w:r>
            <w:r>
              <w:rPr>
                <w:rFonts w:hint="eastAsia" w:eastAsia="宋体" w:cs="Times New Roman"/>
                <w:color w:val="auto"/>
                <w:sz w:val="24"/>
                <w:highlight w:val="none"/>
                <w:u w:val="single"/>
                <w:lang w:eastAsia="zh-CN"/>
              </w:rPr>
              <w:t>双河镇</w:t>
            </w:r>
            <w:r>
              <w:rPr>
                <w:rFonts w:hint="default" w:ascii="Times New Roman" w:hAnsi="Times New Roman" w:eastAsia="宋体" w:cs="Times New Roman"/>
                <w:color w:val="auto"/>
                <w:sz w:val="24"/>
                <w:highlight w:val="none"/>
                <w:u w:val="single"/>
              </w:rPr>
              <w:t>为工贸</w:t>
            </w:r>
            <w:r>
              <w:rPr>
                <w:rFonts w:hint="eastAsia" w:eastAsia="宋体" w:cs="Times New Roman"/>
                <w:color w:val="auto"/>
                <w:sz w:val="24"/>
                <w:highlight w:val="none"/>
                <w:u w:val="single"/>
                <w:lang w:eastAsia="zh-CN"/>
              </w:rPr>
              <w:t>型、农贸型</w:t>
            </w:r>
            <w:r>
              <w:rPr>
                <w:rFonts w:hint="default" w:ascii="Times New Roman" w:hAnsi="Times New Roman" w:eastAsia="宋体" w:cs="Times New Roman"/>
                <w:color w:val="auto"/>
                <w:sz w:val="24"/>
                <w:highlight w:val="none"/>
                <w:u w:val="single"/>
              </w:rPr>
              <w:t>城镇”</w:t>
            </w:r>
            <w:r>
              <w:rPr>
                <w:rFonts w:hint="eastAsia" w:ascii="Times New Roman" w:hAnsi="Times New Roman" w:eastAsia="宋体" w:cs="Times New Roman"/>
                <w:color w:val="auto"/>
                <w:sz w:val="24"/>
                <w:highlight w:val="none"/>
                <w:u w:val="single"/>
                <w:lang w:eastAsia="zh-CN"/>
              </w:rPr>
              <w:t>，</w:t>
            </w:r>
            <w:r>
              <w:rPr>
                <w:rFonts w:hint="eastAsia" w:eastAsia="宋体" w:cs="Times New Roman"/>
                <w:color w:val="auto"/>
                <w:sz w:val="24"/>
                <w:highlight w:val="none"/>
                <w:u w:val="single"/>
                <w:lang w:eastAsia="zh-CN"/>
              </w:rPr>
              <w:t>双河镇</w:t>
            </w:r>
            <w:r>
              <w:rPr>
                <w:rFonts w:hint="eastAsia"/>
                <w:color w:val="auto"/>
                <w:sz w:val="24"/>
                <w:highlight w:val="none"/>
                <w:u w:val="single"/>
              </w:rPr>
              <w:t>发展定位为宜居、宜业、宜游的工贸型乡镇</w:t>
            </w:r>
            <w:r>
              <w:rPr>
                <w:rFonts w:hint="eastAsia"/>
                <w:color w:val="auto"/>
                <w:sz w:val="24"/>
                <w:highlight w:val="none"/>
                <w:u w:val="single"/>
                <w:lang w:eastAsia="zh-CN"/>
              </w:rPr>
              <w:t>和生态新农村示范乡镇</w:t>
            </w:r>
            <w:r>
              <w:rPr>
                <w:rFonts w:hint="eastAsia"/>
                <w:color w:val="auto"/>
                <w:sz w:val="24"/>
                <w:highlight w:val="none"/>
                <w:u w:val="single"/>
              </w:rPr>
              <w:t>，</w:t>
            </w:r>
            <w:r>
              <w:rPr>
                <w:rFonts w:hint="eastAsia"/>
                <w:color w:val="auto"/>
                <w:sz w:val="24"/>
                <w:highlight w:val="none"/>
                <w:u w:val="single"/>
                <w:lang w:eastAsia="zh-CN"/>
              </w:rPr>
              <w:t>本项目为玉米烘干项目，属于农产品生产加工范畴</w:t>
            </w:r>
            <w:r>
              <w:rPr>
                <w:rFonts w:hint="eastAsia" w:eastAsia="宋体" w:cs="Times New Roman"/>
                <w:color w:val="auto"/>
                <w:sz w:val="24"/>
                <w:highlight w:val="none"/>
                <w:u w:val="single"/>
                <w:lang w:eastAsia="zh-CN"/>
              </w:rPr>
              <w:t>，</w:t>
            </w:r>
            <w:r>
              <w:rPr>
                <w:rFonts w:hint="eastAsia" w:ascii="Times New Roman" w:hAnsi="Times New Roman" w:eastAsia="宋体" w:cs="Times New Roman"/>
                <w:color w:val="auto"/>
                <w:sz w:val="24"/>
                <w:highlight w:val="none"/>
                <w:u w:val="single"/>
                <w:lang w:eastAsia="zh-CN"/>
              </w:rPr>
              <w:t>因此</w:t>
            </w:r>
            <w:r>
              <w:rPr>
                <w:rFonts w:hint="default" w:ascii="Times New Roman" w:hAnsi="Times New Roman" w:eastAsia="宋体" w:cs="Times New Roman"/>
                <w:color w:val="auto"/>
                <w:sz w:val="24"/>
                <w:highlight w:val="none"/>
                <w:u w:val="single"/>
              </w:rPr>
              <w:t>本项目</w:t>
            </w:r>
            <w:r>
              <w:rPr>
                <w:rFonts w:hint="eastAsia" w:cs="Times New Roman"/>
                <w:color w:val="auto"/>
                <w:sz w:val="24"/>
                <w:highlight w:val="none"/>
                <w:u w:val="single"/>
                <w:lang w:val="en-US" w:eastAsia="zh-CN"/>
              </w:rPr>
              <w:t>符合规划要求</w:t>
            </w:r>
            <w:r>
              <w:rPr>
                <w:rFonts w:hint="default" w:ascii="Times New Roman" w:hAnsi="Times New Roman" w:eastAsia="宋体" w:cs="Times New Roman"/>
                <w:color w:val="auto"/>
                <w:sz w:val="24"/>
                <w:highlight w:val="none"/>
                <w:u w:val="single"/>
              </w:rPr>
              <w:t>。</w:t>
            </w:r>
          </w:p>
          <w:p w14:paraId="7E6FFBD9">
            <w:pPr>
              <w:pStyle w:val="5"/>
              <w:adjustRightInd w:val="0"/>
              <w:snapToGrid w:val="0"/>
              <w:spacing w:line="360" w:lineRule="auto"/>
              <w:rPr>
                <w:rFonts w:hint="eastAsia"/>
                <w:color w:val="auto"/>
                <w:kern w:val="0"/>
                <w:sz w:val="24"/>
                <w:highlight w:val="none"/>
                <w:u w:val="single" w:color="auto"/>
                <w:lang w:eastAsia="zh-CN"/>
              </w:rPr>
            </w:pPr>
            <w:r>
              <w:rPr>
                <w:rFonts w:hint="default" w:ascii="Times New Roman" w:hAnsi="Times New Roman" w:eastAsia="宋体" w:cs="Times New Roman"/>
                <w:color w:val="auto"/>
                <w:sz w:val="24"/>
                <w:highlight w:val="none"/>
                <w:u w:val="single"/>
              </w:rPr>
              <w:t>根据《永吉县</w:t>
            </w:r>
            <w:r>
              <w:rPr>
                <w:rFonts w:hint="eastAsia" w:ascii="Times New Roman" w:hAnsi="Times New Roman" w:eastAsia="宋体" w:cs="Times New Roman"/>
                <w:color w:val="auto"/>
                <w:sz w:val="24"/>
                <w:highlight w:val="none"/>
                <w:u w:val="single"/>
                <w:lang w:eastAsia="zh-CN"/>
              </w:rPr>
              <w:t>双河镇</w:t>
            </w:r>
            <w:r>
              <w:rPr>
                <w:rFonts w:hint="default" w:ascii="Times New Roman" w:hAnsi="Times New Roman" w:eastAsia="宋体" w:cs="Times New Roman"/>
                <w:color w:val="auto"/>
                <w:sz w:val="24"/>
                <w:highlight w:val="none"/>
                <w:u w:val="single"/>
              </w:rPr>
              <w:t>国土空间总体规划（2021-2035年）（公示稿）》中明确</w:t>
            </w:r>
            <w:r>
              <w:rPr>
                <w:rFonts w:hint="eastAsia" w:ascii="Times New Roman" w:hAnsi="Times New Roman" w:eastAsia="宋体" w:cs="Times New Roman"/>
                <w:color w:val="auto"/>
                <w:sz w:val="24"/>
                <w:highlight w:val="none"/>
                <w:u w:val="single"/>
                <w:lang w:eastAsia="zh-CN"/>
              </w:rPr>
              <w:t>双河镇发展定</w:t>
            </w:r>
            <w:r>
              <w:rPr>
                <w:rFonts w:hint="eastAsia" w:cs="Times New Roman"/>
                <w:color w:val="auto"/>
                <w:sz w:val="24"/>
                <w:highlight w:val="none"/>
                <w:u w:val="single"/>
                <w:lang w:eastAsia="zh-CN"/>
              </w:rPr>
              <w:t>位为</w:t>
            </w:r>
            <w:r>
              <w:rPr>
                <w:rFonts w:hint="default" w:ascii="Times New Roman" w:hAnsi="Times New Roman" w:eastAsia="宋体" w:cs="Times New Roman"/>
                <w:color w:val="auto"/>
                <w:sz w:val="24"/>
                <w:highlight w:val="none"/>
                <w:u w:val="single"/>
              </w:rPr>
              <w:t>“永吉仓储物流</w:t>
            </w:r>
            <w:r>
              <w:rPr>
                <w:rFonts w:hint="eastAsia" w:ascii="Times New Roman" w:hAnsi="Times New Roman" w:eastAsia="宋体" w:cs="Times New Roman"/>
                <w:color w:val="auto"/>
                <w:sz w:val="24"/>
                <w:highlight w:val="none"/>
                <w:u w:val="single"/>
                <w:lang w:eastAsia="zh-CN"/>
              </w:rPr>
              <w:t>、</w:t>
            </w:r>
            <w:r>
              <w:rPr>
                <w:rFonts w:hint="default" w:ascii="Times New Roman" w:hAnsi="Times New Roman" w:eastAsia="宋体" w:cs="Times New Roman"/>
                <w:color w:val="auto"/>
                <w:sz w:val="24"/>
                <w:highlight w:val="none"/>
                <w:u w:val="single"/>
              </w:rPr>
              <w:t>绿色加工建材</w:t>
            </w:r>
            <w:r>
              <w:rPr>
                <w:rFonts w:hint="eastAsia" w:ascii="Times New Roman" w:hAnsi="Times New Roman" w:eastAsia="宋体" w:cs="Times New Roman"/>
                <w:color w:val="auto"/>
                <w:sz w:val="24"/>
                <w:highlight w:val="none"/>
                <w:u w:val="single"/>
                <w:lang w:eastAsia="zh-CN"/>
              </w:rPr>
              <w:t>、</w:t>
            </w:r>
            <w:r>
              <w:rPr>
                <w:rFonts w:hint="default" w:ascii="Times New Roman" w:hAnsi="Times New Roman" w:eastAsia="宋体" w:cs="Times New Roman"/>
                <w:color w:val="auto"/>
                <w:sz w:val="24"/>
                <w:highlight w:val="none"/>
                <w:u w:val="single"/>
              </w:rPr>
              <w:t>城郊生态休闲</w:t>
            </w:r>
            <w:r>
              <w:rPr>
                <w:rFonts w:hint="eastAsia" w:ascii="Times New Roman" w:hAnsi="Times New Roman" w:eastAsia="宋体" w:cs="Times New Roman"/>
                <w:color w:val="auto"/>
                <w:sz w:val="24"/>
                <w:highlight w:val="none"/>
                <w:u w:val="single"/>
                <w:lang w:eastAsia="zh-CN"/>
              </w:rPr>
              <w:t>、</w:t>
            </w:r>
            <w:r>
              <w:rPr>
                <w:rFonts w:hint="default" w:ascii="Times New Roman" w:hAnsi="Times New Roman" w:eastAsia="宋体" w:cs="Times New Roman"/>
                <w:color w:val="auto"/>
                <w:sz w:val="24"/>
                <w:highlight w:val="none"/>
                <w:u w:val="single"/>
              </w:rPr>
              <w:t>文化旅游名镇”</w:t>
            </w:r>
            <w:r>
              <w:rPr>
                <w:rFonts w:hint="eastAsia" w:ascii="Times New Roman" w:hAnsi="Times New Roman" w:eastAsia="宋体" w:cs="Times New Roman"/>
                <w:color w:val="auto"/>
                <w:sz w:val="24"/>
                <w:highlight w:val="none"/>
                <w:u w:val="single"/>
                <w:lang w:eastAsia="zh-CN"/>
              </w:rPr>
              <w:t>，目标为建设成以粮食流通为主的仓储物流基地，</w:t>
            </w:r>
            <w:r>
              <w:rPr>
                <w:rFonts w:hint="eastAsia"/>
                <w:color w:val="auto"/>
                <w:sz w:val="24"/>
                <w:highlight w:val="none"/>
                <w:u w:val="single"/>
                <w:lang w:eastAsia="zh-CN"/>
              </w:rPr>
              <w:t>本项目为粮食烘干，干粮暂存后外售</w:t>
            </w:r>
            <w:r>
              <w:rPr>
                <w:rFonts w:hint="eastAsia" w:eastAsia="宋体" w:cs="Times New Roman"/>
                <w:color w:val="auto"/>
                <w:sz w:val="24"/>
                <w:highlight w:val="none"/>
                <w:u w:val="single"/>
                <w:lang w:eastAsia="zh-CN"/>
              </w:rPr>
              <w:t>，</w:t>
            </w:r>
            <w:r>
              <w:rPr>
                <w:rFonts w:hint="eastAsia" w:ascii="Times New Roman" w:hAnsi="Times New Roman" w:eastAsia="宋体" w:cs="Times New Roman"/>
                <w:color w:val="auto"/>
                <w:sz w:val="24"/>
                <w:highlight w:val="none"/>
                <w:u w:val="single"/>
                <w:lang w:eastAsia="zh-CN"/>
              </w:rPr>
              <w:t>因此</w:t>
            </w:r>
            <w:r>
              <w:rPr>
                <w:rFonts w:hint="default" w:ascii="Times New Roman" w:hAnsi="Times New Roman" w:eastAsia="宋体" w:cs="Times New Roman"/>
                <w:color w:val="auto"/>
                <w:sz w:val="24"/>
                <w:highlight w:val="none"/>
                <w:u w:val="single"/>
              </w:rPr>
              <w:t>本项目</w:t>
            </w:r>
            <w:r>
              <w:rPr>
                <w:rFonts w:hint="eastAsia" w:cs="Times New Roman"/>
                <w:color w:val="auto"/>
                <w:sz w:val="24"/>
                <w:highlight w:val="none"/>
                <w:u w:val="single"/>
                <w:lang w:val="en-US" w:eastAsia="zh-CN"/>
              </w:rPr>
              <w:t>符合规划要求</w:t>
            </w:r>
            <w:r>
              <w:rPr>
                <w:rFonts w:hint="default" w:ascii="Times New Roman" w:hAnsi="Times New Roman" w:eastAsia="宋体" w:cs="Times New Roman"/>
                <w:color w:val="auto"/>
                <w:sz w:val="24"/>
                <w:highlight w:val="none"/>
                <w:u w:val="single"/>
              </w:rPr>
              <w:t>。</w:t>
            </w:r>
          </w:p>
          <w:p w14:paraId="12FC434E">
            <w:pPr>
              <w:pStyle w:val="5"/>
              <w:adjustRightInd w:val="0"/>
              <w:snapToGrid w:val="0"/>
              <w:spacing w:line="360" w:lineRule="auto"/>
              <w:rPr>
                <w:rFonts w:hint="default" w:ascii="Times New Roman" w:hAnsi="Times New Roman" w:eastAsia="宋体" w:cs="Times New Roman"/>
                <w:color w:val="auto"/>
                <w:sz w:val="24"/>
                <w:highlight w:val="none"/>
                <w:u w:val="none" w:color="auto"/>
              </w:rPr>
            </w:pPr>
            <w:r>
              <w:rPr>
                <w:rFonts w:hint="eastAsia"/>
                <w:color w:val="auto"/>
                <w:kern w:val="0"/>
                <w:sz w:val="24"/>
                <w:highlight w:val="none"/>
                <w:u w:val="single" w:color="auto"/>
                <w:lang w:eastAsia="zh-CN"/>
              </w:rPr>
              <w:t>综上，本</w:t>
            </w:r>
            <w:r>
              <w:rPr>
                <w:rFonts w:hint="eastAsia"/>
                <w:color w:val="auto"/>
                <w:sz w:val="24"/>
                <w:highlight w:val="none"/>
                <w:u w:val="single" w:color="auto"/>
              </w:rPr>
              <w:t>项目</w:t>
            </w:r>
            <w:r>
              <w:rPr>
                <w:bCs/>
                <w:color w:val="auto"/>
                <w:sz w:val="24"/>
                <w:highlight w:val="none"/>
                <w:u w:val="single" w:color="auto"/>
              </w:rPr>
              <w:t>选址可行。</w:t>
            </w:r>
          </w:p>
          <w:p w14:paraId="2CE82F2C">
            <w:pPr>
              <w:pStyle w:val="5"/>
              <w:adjustRightInd w:val="0"/>
              <w:snapToGrid w:val="0"/>
              <w:spacing w:line="360" w:lineRule="auto"/>
              <w:rPr>
                <w:rFonts w:hint="default" w:ascii="Times New Roman" w:hAnsi="Times New Roman" w:cs="Times New Roman"/>
                <w:color w:val="auto"/>
                <w:kern w:val="0"/>
                <w:sz w:val="24"/>
                <w:szCs w:val="24"/>
                <w:highlight w:val="none"/>
                <w:u w:val="none" w:color="auto"/>
              </w:rPr>
            </w:pPr>
            <w:r>
              <w:rPr>
                <w:rFonts w:hint="default" w:ascii="Times New Roman" w:hAnsi="Times New Roman" w:cs="Times New Roman"/>
                <w:color w:val="auto"/>
                <w:kern w:val="0"/>
                <w:sz w:val="24"/>
                <w:szCs w:val="24"/>
                <w:highlight w:val="none"/>
                <w:u w:val="none" w:color="auto"/>
              </w:rPr>
              <w:t>3、</w:t>
            </w:r>
            <w:r>
              <w:rPr>
                <w:rFonts w:ascii="宋体" w:hAnsi="宋体" w:eastAsia="宋体" w:cs="宋体"/>
                <w:color w:val="auto"/>
                <w:sz w:val="24"/>
                <w:szCs w:val="24"/>
                <w:highlight w:val="none"/>
                <w:u w:val="none" w:color="auto"/>
              </w:rPr>
              <w:t>与“生态环境分区管控”的符合性</w:t>
            </w:r>
          </w:p>
          <w:p w14:paraId="21E0B847">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u w:val="none" w:color="auto"/>
                <w:lang w:eastAsia="zh-CN"/>
              </w:rPr>
            </w:pPr>
            <w:r>
              <w:rPr>
                <w:rFonts w:hint="default" w:ascii="Times New Roman" w:hAnsi="Times New Roman" w:cs="Times New Roman"/>
                <w:color w:val="auto"/>
                <w:kern w:val="0"/>
                <w:sz w:val="24"/>
                <w:szCs w:val="24"/>
                <w:highlight w:val="none"/>
                <w:u w:val="none" w:color="auto"/>
              </w:rPr>
              <w:t>根据</w:t>
            </w:r>
            <w:r>
              <w:rPr>
                <w:rFonts w:hint="default" w:ascii="Times New Roman" w:hAnsi="Times New Roman" w:cs="Times New Roman"/>
                <w:color w:val="auto"/>
                <w:sz w:val="24"/>
                <w:highlight w:val="none"/>
                <w:u w:val="none" w:color="auto"/>
              </w:rPr>
              <w:t>中共吉林省委办公厅吉林省人民政府办公厅印发的《关于加强生态环境分区管控的若干措施》（吉办发〔2024〕12号）</w:t>
            </w:r>
            <w:r>
              <w:rPr>
                <w:rFonts w:hint="default" w:ascii="Times New Roman" w:hAnsi="Times New Roman" w:cs="Times New Roman"/>
                <w:color w:val="auto"/>
                <w:kern w:val="0"/>
                <w:sz w:val="24"/>
                <w:szCs w:val="24"/>
                <w:highlight w:val="none"/>
                <w:u w:val="none" w:color="auto"/>
              </w:rPr>
              <w:t>，要求进一步加强生态环境分区管控，严守生态保护红线、环境质量底线、资源利用上线，筑牢生态安全屏障。</w:t>
            </w:r>
          </w:p>
          <w:p w14:paraId="7E7D17E3">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u w:val="none" w:color="auto"/>
                <w:lang w:eastAsia="zh-CN"/>
              </w:rPr>
            </w:pPr>
            <w:r>
              <w:rPr>
                <w:rFonts w:hint="default" w:ascii="Times New Roman" w:hAnsi="Times New Roman" w:eastAsia="宋体" w:cs="Times New Roman"/>
                <w:color w:val="auto"/>
                <w:kern w:val="0"/>
                <w:sz w:val="24"/>
                <w:szCs w:val="24"/>
                <w:highlight w:val="none"/>
                <w:u w:val="none" w:color="auto"/>
                <w:lang w:eastAsia="zh-CN"/>
              </w:rPr>
              <w:t>①生态保护红线</w:t>
            </w:r>
          </w:p>
          <w:p w14:paraId="362DF9BF">
            <w:pPr>
              <w:pStyle w:val="5"/>
              <w:adjustRightInd w:val="0"/>
              <w:snapToGrid w:val="0"/>
              <w:spacing w:line="360" w:lineRule="auto"/>
              <w:rPr>
                <w:rFonts w:hint="default" w:ascii="Times New Roman" w:hAnsi="Times New Roman" w:cs="Times New Roman"/>
                <w:color w:val="auto"/>
                <w:kern w:val="0"/>
                <w:sz w:val="24"/>
                <w:szCs w:val="24"/>
                <w:highlight w:val="none"/>
                <w:u w:val="none" w:color="auto"/>
                <w:lang w:eastAsia="zh-CN"/>
              </w:rPr>
            </w:pPr>
            <w:r>
              <w:rPr>
                <w:rFonts w:hint="eastAsia" w:ascii="Times New Roman" w:hAnsi="Times New Roman" w:eastAsia="宋体" w:cs="Times New Roman"/>
                <w:color w:val="auto"/>
                <w:spacing w:val="7"/>
                <w:sz w:val="24"/>
                <w:szCs w:val="24"/>
                <w:highlight w:val="none"/>
                <w:u w:val="none" w:color="auto"/>
                <w:lang w:val="en-US" w:eastAsia="zh-CN"/>
              </w:rPr>
              <w:t>本项目位于</w:t>
            </w:r>
            <w:r>
              <w:rPr>
                <w:rFonts w:hint="default" w:ascii="Times New Roman" w:hAnsi="Times New Roman" w:cs="Times New Roman"/>
                <w:color w:val="auto"/>
                <w:kern w:val="0"/>
                <w:sz w:val="24"/>
                <w:szCs w:val="24"/>
                <w:highlight w:val="none"/>
                <w:u w:val="none" w:color="auto"/>
              </w:rPr>
              <w:t>吉林省吉林市永吉县双河镇铁南路南侧</w:t>
            </w:r>
            <w:r>
              <w:rPr>
                <w:rFonts w:hint="eastAsia" w:cs="Times New Roman"/>
                <w:color w:val="auto"/>
                <w:spacing w:val="7"/>
                <w:sz w:val="24"/>
                <w:szCs w:val="24"/>
                <w:highlight w:val="none"/>
                <w:u w:val="none" w:color="auto"/>
                <w:lang w:val="en-US" w:eastAsia="zh-CN"/>
              </w:rPr>
              <w:t>，</w:t>
            </w:r>
            <w:r>
              <w:rPr>
                <w:rFonts w:hint="default" w:ascii="Times New Roman" w:hAnsi="Times New Roman" w:eastAsia="宋体" w:cs="Times New Roman"/>
                <w:color w:val="auto"/>
                <w:spacing w:val="7"/>
                <w:sz w:val="24"/>
                <w:szCs w:val="24"/>
                <w:highlight w:val="none"/>
                <w:u w:val="none" w:color="auto"/>
                <w:lang w:val="en-US" w:eastAsia="zh-CN"/>
              </w:rPr>
              <w:t>根</w:t>
            </w:r>
            <w:r>
              <w:rPr>
                <w:rFonts w:hint="default" w:ascii="Times New Roman" w:hAnsi="Times New Roman" w:cs="Times New Roman"/>
                <w:color w:val="auto"/>
                <w:kern w:val="0"/>
                <w:sz w:val="24"/>
                <w:szCs w:val="24"/>
                <w:highlight w:val="none"/>
                <w:u w:val="none" w:color="auto"/>
              </w:rPr>
              <w:t>据</w:t>
            </w:r>
            <w:r>
              <w:rPr>
                <w:rFonts w:hint="default" w:ascii="Times New Roman" w:hAnsi="Times New Roman" w:eastAsia="宋体" w:cs="Times New Roman"/>
                <w:color w:val="auto"/>
                <w:spacing w:val="7"/>
                <w:sz w:val="24"/>
                <w:szCs w:val="24"/>
                <w:highlight w:val="none"/>
                <w:u w:val="none" w:color="auto"/>
                <w:lang w:val="en-US" w:eastAsia="zh-CN"/>
              </w:rPr>
              <w:t>吉林省生态环境厅关于印发《吉林省生态环境准入清单》的函（吉环函</w:t>
            </w:r>
            <w:r>
              <w:rPr>
                <w:rFonts w:hint="eastAsia" w:cs="Times New Roman"/>
                <w:color w:val="auto"/>
                <w:spacing w:val="7"/>
                <w:sz w:val="24"/>
                <w:szCs w:val="24"/>
                <w:highlight w:val="none"/>
                <w:u w:val="none" w:color="auto"/>
                <w:lang w:val="en-US" w:eastAsia="zh-CN"/>
              </w:rPr>
              <w:t>〔2024〕158号</w:t>
            </w:r>
            <w:r>
              <w:rPr>
                <w:rFonts w:hint="default" w:ascii="Times New Roman" w:hAnsi="Times New Roman" w:eastAsia="宋体" w:cs="Times New Roman"/>
                <w:color w:val="auto"/>
                <w:spacing w:val="7"/>
                <w:sz w:val="24"/>
                <w:szCs w:val="24"/>
                <w:highlight w:val="none"/>
                <w:u w:val="none" w:color="auto"/>
                <w:lang w:val="en-US" w:eastAsia="zh-CN"/>
              </w:rPr>
              <w:t>）</w:t>
            </w:r>
            <w:r>
              <w:rPr>
                <w:rFonts w:hint="default" w:ascii="Times New Roman" w:hAnsi="Times New Roman" w:cs="Times New Roman"/>
                <w:color w:val="auto"/>
                <w:kern w:val="0"/>
                <w:sz w:val="24"/>
                <w:szCs w:val="24"/>
                <w:highlight w:val="none"/>
                <w:u w:val="none" w:color="auto"/>
              </w:rPr>
              <w:t>，</w:t>
            </w:r>
            <w:r>
              <w:rPr>
                <w:rFonts w:hint="default" w:ascii="Times New Roman" w:hAnsi="Times New Roman" w:cs="Times New Roman"/>
                <w:color w:val="auto"/>
                <w:kern w:val="0"/>
                <w:sz w:val="24"/>
                <w:szCs w:val="24"/>
                <w:highlight w:val="none"/>
                <w:u w:val="none" w:color="auto"/>
                <w:lang w:eastAsia="zh-CN"/>
              </w:rPr>
              <w:t>吉林市永吉县共</w:t>
            </w:r>
            <w:r>
              <w:rPr>
                <w:rFonts w:hint="default" w:ascii="Times New Roman" w:hAnsi="Times New Roman" w:cs="Times New Roman"/>
                <w:color w:val="auto"/>
                <w:kern w:val="0"/>
                <w:sz w:val="24"/>
                <w:szCs w:val="24"/>
                <w:highlight w:val="none"/>
                <w:u w:val="none" w:color="auto"/>
              </w:rPr>
              <w:t>划定1</w:t>
            </w:r>
            <w:r>
              <w:rPr>
                <w:rFonts w:hint="default" w:ascii="Times New Roman" w:hAnsi="Times New Roman" w:cs="Times New Roman"/>
                <w:color w:val="auto"/>
                <w:kern w:val="0"/>
                <w:sz w:val="24"/>
                <w:szCs w:val="24"/>
                <w:highlight w:val="none"/>
                <w:u w:val="none" w:color="auto"/>
                <w:lang w:val="en-US" w:eastAsia="zh-CN"/>
              </w:rPr>
              <w:t>9</w:t>
            </w:r>
            <w:r>
              <w:rPr>
                <w:rFonts w:hint="default" w:ascii="Times New Roman" w:hAnsi="Times New Roman" w:cs="Times New Roman"/>
                <w:color w:val="auto"/>
                <w:kern w:val="0"/>
                <w:sz w:val="24"/>
                <w:szCs w:val="24"/>
                <w:highlight w:val="none"/>
                <w:u w:val="none" w:color="auto"/>
              </w:rPr>
              <w:t>个生态环境分区管控单元。确定本项目位于</w:t>
            </w:r>
            <w:r>
              <w:rPr>
                <w:rFonts w:hint="eastAsia" w:cs="Times New Roman"/>
                <w:color w:val="auto"/>
                <w:kern w:val="0"/>
                <w:sz w:val="24"/>
                <w:szCs w:val="24"/>
                <w:highlight w:val="none"/>
                <w:u w:val="none" w:color="auto"/>
                <w:lang w:eastAsia="zh-CN"/>
              </w:rPr>
              <w:t>永吉县一般管控区</w:t>
            </w:r>
            <w:r>
              <w:rPr>
                <w:rFonts w:hint="eastAsia" w:cs="Times New Roman"/>
                <w:color w:val="auto"/>
                <w:sz w:val="24"/>
                <w:szCs w:val="24"/>
                <w:highlight w:val="none"/>
                <w:u w:val="none" w:color="auto"/>
                <w:lang w:eastAsia="zh-CN"/>
              </w:rPr>
              <w:t>，</w:t>
            </w:r>
            <w:r>
              <w:rPr>
                <w:rFonts w:hint="default" w:ascii="Times New Roman" w:hAnsi="Times New Roman" w:cs="Times New Roman"/>
                <w:color w:val="auto"/>
                <w:sz w:val="24"/>
                <w:szCs w:val="24"/>
                <w:highlight w:val="none"/>
                <w:u w:val="none" w:color="auto"/>
              </w:rPr>
              <w:t>单元编号为：</w:t>
            </w:r>
            <w:r>
              <w:rPr>
                <w:rFonts w:hint="eastAsia" w:cs="Times New Roman"/>
                <w:color w:val="auto"/>
                <w:sz w:val="24"/>
                <w:szCs w:val="24"/>
                <w:highlight w:val="none"/>
                <w:u w:val="none" w:color="auto"/>
                <w:lang w:eastAsia="zh-CN"/>
              </w:rPr>
              <w:t>ZH22022130001</w:t>
            </w:r>
            <w:r>
              <w:rPr>
                <w:rFonts w:hint="default" w:ascii="Times New Roman" w:hAnsi="Times New Roman" w:cs="Times New Roman"/>
                <w:color w:val="auto"/>
                <w:kern w:val="0"/>
                <w:sz w:val="24"/>
                <w:szCs w:val="24"/>
                <w:highlight w:val="none"/>
                <w:u w:val="none" w:color="auto"/>
              </w:rPr>
              <w:t>，不涉及优先保护单元，不涉及自然保护地、生态保护红线等优先保护区域。</w:t>
            </w:r>
          </w:p>
          <w:p w14:paraId="544B9E9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u w:val="none" w:color="auto"/>
                <w:lang w:eastAsia="zh-CN"/>
              </w:rPr>
            </w:pPr>
            <w:r>
              <w:rPr>
                <w:rFonts w:hint="default" w:ascii="Times New Roman" w:hAnsi="Times New Roman" w:eastAsia="宋体" w:cs="Times New Roman"/>
                <w:color w:val="auto"/>
                <w:kern w:val="0"/>
                <w:sz w:val="24"/>
                <w:szCs w:val="24"/>
                <w:highlight w:val="none"/>
                <w:u w:val="none" w:color="auto"/>
                <w:lang w:eastAsia="zh-CN"/>
              </w:rPr>
              <w:t>②环境质量底线</w:t>
            </w:r>
          </w:p>
          <w:p w14:paraId="2E2D2226">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u w:val="none" w:color="auto"/>
                <w:lang w:eastAsia="zh-CN"/>
              </w:rPr>
            </w:pPr>
            <w:r>
              <w:rPr>
                <w:rFonts w:hint="default" w:ascii="Times New Roman" w:hAnsi="Times New Roman" w:eastAsia="宋体" w:cs="Times New Roman"/>
                <w:color w:val="auto"/>
                <w:kern w:val="0"/>
                <w:sz w:val="24"/>
                <w:szCs w:val="24"/>
                <w:highlight w:val="none"/>
                <w:u w:val="none" w:color="auto"/>
                <w:lang w:eastAsia="zh-CN"/>
              </w:rPr>
              <w:t>本项目环境空气质量目标为《环境空气质量标准》（GB3095-2012）二级标准；区域声环境质量目标为《声环境质量标准》（GB3096-2008）</w:t>
            </w:r>
            <w:r>
              <w:rPr>
                <w:rFonts w:hint="eastAsia" w:cs="Times New Roman"/>
                <w:color w:val="auto"/>
                <w:kern w:val="0"/>
                <w:sz w:val="24"/>
                <w:szCs w:val="24"/>
                <w:highlight w:val="none"/>
                <w:u w:val="none" w:color="auto"/>
                <w:lang w:val="en-US" w:eastAsia="zh-CN"/>
              </w:rPr>
              <w:t>2</w:t>
            </w:r>
            <w:r>
              <w:rPr>
                <w:rFonts w:hint="default" w:ascii="Times New Roman" w:hAnsi="Times New Roman" w:eastAsia="宋体" w:cs="Times New Roman"/>
                <w:color w:val="auto"/>
                <w:kern w:val="0"/>
                <w:sz w:val="24"/>
                <w:szCs w:val="24"/>
                <w:highlight w:val="none"/>
                <w:u w:val="none" w:color="auto"/>
                <w:lang w:eastAsia="zh-CN"/>
              </w:rPr>
              <w:t>类；区域地表水</w:t>
            </w:r>
            <w:r>
              <w:rPr>
                <w:rFonts w:hint="eastAsia" w:cs="Times New Roman"/>
                <w:color w:val="auto"/>
                <w:kern w:val="0"/>
                <w:sz w:val="24"/>
                <w:szCs w:val="24"/>
                <w:highlight w:val="none"/>
                <w:u w:val="none" w:color="auto"/>
                <w:lang w:val="en-US" w:eastAsia="zh-CN"/>
              </w:rPr>
              <w:t>岔路河</w:t>
            </w:r>
            <w:r>
              <w:rPr>
                <w:rFonts w:hint="default" w:ascii="Times New Roman" w:hAnsi="Times New Roman" w:eastAsia="宋体" w:cs="Times New Roman"/>
                <w:color w:val="auto"/>
                <w:kern w:val="0"/>
                <w:sz w:val="24"/>
                <w:szCs w:val="24"/>
                <w:highlight w:val="none"/>
                <w:u w:val="none" w:color="auto"/>
                <w:lang w:eastAsia="zh-CN"/>
              </w:rPr>
              <w:t>环境质量管理目标为《地表水环境质量标准》（GB3838-2002）中Ⅲ类标准。根据《吉林省202</w:t>
            </w:r>
            <w:r>
              <w:rPr>
                <w:rFonts w:hint="eastAsia" w:cs="Times New Roman"/>
                <w:color w:val="auto"/>
                <w:kern w:val="0"/>
                <w:sz w:val="24"/>
                <w:szCs w:val="24"/>
                <w:highlight w:val="none"/>
                <w:u w:val="none" w:color="auto"/>
                <w:lang w:val="en-US" w:eastAsia="zh-CN"/>
              </w:rPr>
              <w:t>4</w:t>
            </w:r>
            <w:r>
              <w:rPr>
                <w:rFonts w:hint="default" w:ascii="Times New Roman" w:hAnsi="Times New Roman" w:eastAsia="宋体" w:cs="Times New Roman"/>
                <w:color w:val="auto"/>
                <w:kern w:val="0"/>
                <w:sz w:val="24"/>
                <w:szCs w:val="24"/>
                <w:highlight w:val="none"/>
                <w:u w:val="none" w:color="auto"/>
                <w:lang w:eastAsia="zh-CN"/>
              </w:rPr>
              <w:t>年生态环境状况公报》，吉林市环境空气常规监测点各监测因子均达到《环境空气质量标准》（GB3095-2012）二级标准要求，属于达标区。本项目所在区域环境空气、地表水、声环境均达标，根据工程分析和环保措施可知，本项目废气达标排放，厂界噪声符合标准要求，固体废物得到合理处置，对本区域环境质量影响较小，不会改变该区域现有环境功能。综上，本项目建设符合环境质量底线要求。</w:t>
            </w:r>
          </w:p>
          <w:p w14:paraId="59B048C5">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u w:val="none" w:color="auto"/>
                <w:lang w:eastAsia="zh-CN"/>
              </w:rPr>
            </w:pPr>
            <w:r>
              <w:rPr>
                <w:rFonts w:hint="default" w:ascii="Times New Roman" w:hAnsi="Times New Roman" w:eastAsia="宋体" w:cs="Times New Roman"/>
                <w:color w:val="auto"/>
                <w:kern w:val="0"/>
                <w:sz w:val="24"/>
                <w:szCs w:val="24"/>
                <w:highlight w:val="none"/>
                <w:u w:val="none" w:color="auto"/>
                <w:lang w:eastAsia="zh-CN"/>
              </w:rPr>
              <w:t>③资源利用上线</w:t>
            </w:r>
          </w:p>
          <w:p w14:paraId="1578EC1F">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u w:val="none" w:color="auto"/>
                <w:lang w:eastAsia="zh-CN"/>
              </w:rPr>
            </w:pPr>
            <w:r>
              <w:rPr>
                <w:rFonts w:hint="default" w:ascii="Times New Roman" w:hAnsi="Times New Roman" w:eastAsia="宋体" w:cs="Times New Roman"/>
                <w:color w:val="auto"/>
                <w:kern w:val="0"/>
                <w:sz w:val="24"/>
                <w:szCs w:val="24"/>
                <w:highlight w:val="none"/>
                <w:u w:val="none" w:color="auto"/>
                <w:lang w:eastAsia="zh-CN"/>
              </w:rPr>
              <w:t>本项目用地为</w:t>
            </w:r>
            <w:r>
              <w:rPr>
                <w:rFonts w:hint="eastAsia" w:cs="Times New Roman"/>
                <w:color w:val="auto"/>
                <w:kern w:val="0"/>
                <w:sz w:val="24"/>
                <w:szCs w:val="24"/>
                <w:highlight w:val="none"/>
                <w:u w:val="none" w:color="auto"/>
                <w:lang w:eastAsia="zh-CN"/>
              </w:rPr>
              <w:t>工业用地</w:t>
            </w:r>
            <w:r>
              <w:rPr>
                <w:rFonts w:hint="default" w:ascii="Times New Roman" w:hAnsi="Times New Roman" w:eastAsia="宋体" w:cs="Times New Roman"/>
                <w:color w:val="auto"/>
                <w:kern w:val="0"/>
                <w:sz w:val="24"/>
                <w:szCs w:val="24"/>
                <w:highlight w:val="none"/>
                <w:u w:val="none" w:color="auto"/>
                <w:lang w:eastAsia="zh-CN"/>
              </w:rPr>
              <w:t>，</w:t>
            </w:r>
            <w:r>
              <w:rPr>
                <w:rFonts w:hint="default" w:ascii="Times New Roman" w:hAnsi="Times New Roman" w:eastAsia="宋体" w:cs="Times New Roman"/>
                <w:color w:val="auto"/>
                <w:spacing w:val="0"/>
                <w:kern w:val="21"/>
                <w:sz w:val="24"/>
                <w:szCs w:val="24"/>
                <w:highlight w:val="none"/>
                <w:u w:val="none" w:color="auto"/>
                <w:lang w:val="en-US" w:eastAsia="zh-CN"/>
              </w:rPr>
              <w:t>项目资源消耗主要为电能及生物质，项目建成运行后通过内部管理、设备选择、污染治理等多方面采取合理可行的防治措施，以“节能、降耗、减污”为目标，有效控制污染。项目用水由</w:t>
            </w:r>
            <w:r>
              <w:rPr>
                <w:rFonts w:hint="eastAsia" w:cs="Times New Roman"/>
                <w:color w:val="auto"/>
                <w:spacing w:val="0"/>
                <w:kern w:val="21"/>
                <w:sz w:val="24"/>
                <w:szCs w:val="24"/>
                <w:highlight w:val="none"/>
                <w:u w:val="none" w:color="auto"/>
                <w:lang w:val="en-US" w:eastAsia="zh-CN"/>
              </w:rPr>
              <w:t>镇区供水管网提供</w:t>
            </w:r>
            <w:r>
              <w:rPr>
                <w:rFonts w:hint="default" w:ascii="Times New Roman" w:hAnsi="Times New Roman" w:eastAsia="宋体" w:cs="Times New Roman"/>
                <w:color w:val="auto"/>
                <w:spacing w:val="0"/>
                <w:kern w:val="21"/>
                <w:sz w:val="24"/>
                <w:szCs w:val="24"/>
                <w:highlight w:val="none"/>
                <w:u w:val="none" w:color="auto"/>
                <w:lang w:val="en-US" w:eastAsia="zh-CN"/>
              </w:rPr>
              <w:t>；燃料为生物质颗粒；用电主要依托当地电网供电，不会突破区域的资源利用上线。</w:t>
            </w:r>
          </w:p>
          <w:p w14:paraId="42375CF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u w:val="none" w:color="auto"/>
                <w:lang w:eastAsia="zh-CN"/>
              </w:rPr>
            </w:pPr>
            <w:r>
              <w:rPr>
                <w:rFonts w:hint="default" w:ascii="Times New Roman" w:hAnsi="Times New Roman" w:eastAsia="宋体" w:cs="Times New Roman"/>
                <w:color w:val="auto"/>
                <w:kern w:val="0"/>
                <w:sz w:val="24"/>
                <w:szCs w:val="24"/>
                <w:highlight w:val="none"/>
                <w:u w:val="none" w:color="auto"/>
                <w:lang w:eastAsia="zh-CN"/>
              </w:rPr>
              <w:t>④生态环境准入清单</w:t>
            </w:r>
          </w:p>
          <w:p w14:paraId="07DB6559">
            <w:pPr>
              <w:pStyle w:val="5"/>
              <w:adjustRightInd w:val="0"/>
              <w:snapToGrid w:val="0"/>
              <w:spacing w:line="360" w:lineRule="auto"/>
              <w:rPr>
                <w:rFonts w:hint="default" w:ascii="Times New Roman" w:hAnsi="Times New Roman" w:cs="Times New Roman"/>
                <w:color w:val="auto"/>
                <w:sz w:val="24"/>
                <w:szCs w:val="24"/>
                <w:highlight w:val="none"/>
                <w:u w:val="none" w:color="auto"/>
              </w:rPr>
            </w:pPr>
            <w:r>
              <w:rPr>
                <w:rFonts w:hint="default" w:ascii="Times New Roman" w:hAnsi="Times New Roman" w:cs="Times New Roman"/>
                <w:color w:val="auto"/>
                <w:sz w:val="24"/>
                <w:szCs w:val="24"/>
                <w:highlight w:val="none"/>
                <w:u w:val="none" w:color="auto"/>
              </w:rPr>
              <w:t>根据中共吉林省委办公厅吉林省人民政府办公厅《关于加强生态环境分区管控的若干措施》</w:t>
            </w:r>
            <w:r>
              <w:rPr>
                <w:rFonts w:hint="default" w:ascii="Times New Roman" w:hAnsi="Times New Roman" w:cs="Times New Roman"/>
                <w:color w:val="auto"/>
                <w:sz w:val="24"/>
                <w:szCs w:val="24"/>
                <w:highlight w:val="none"/>
                <w:u w:val="none" w:color="auto"/>
                <w:lang w:eastAsia="zh-CN"/>
              </w:rPr>
              <w:t>（吉办发[2024]12号）</w:t>
            </w:r>
            <w:r>
              <w:rPr>
                <w:rFonts w:hint="default" w:ascii="Times New Roman" w:hAnsi="Times New Roman" w:cs="Times New Roman"/>
                <w:color w:val="auto"/>
                <w:sz w:val="24"/>
                <w:szCs w:val="24"/>
                <w:highlight w:val="none"/>
                <w:u w:val="none" w:color="auto"/>
              </w:rPr>
              <w:t>的通知</w:t>
            </w:r>
            <w:r>
              <w:rPr>
                <w:rFonts w:hint="eastAsia" w:cs="Times New Roman"/>
                <w:color w:val="auto"/>
                <w:sz w:val="24"/>
                <w:szCs w:val="24"/>
                <w:highlight w:val="none"/>
                <w:u w:val="none" w:color="auto"/>
                <w:lang w:eastAsia="zh-CN"/>
              </w:rPr>
              <w:t>、</w:t>
            </w:r>
            <w:r>
              <w:rPr>
                <w:rFonts w:hint="default" w:ascii="Times New Roman" w:hAnsi="Times New Roman" w:cs="Times New Roman"/>
                <w:color w:val="auto"/>
                <w:sz w:val="24"/>
                <w:szCs w:val="24"/>
                <w:highlight w:val="none"/>
                <w:u w:val="none" w:color="auto"/>
                <w:lang w:val="en-US" w:eastAsia="zh-CN"/>
              </w:rPr>
              <w:t>吉林省生态环境厅关于印发《吉林省生态环境准入清单》的函（吉环函</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2024</w:t>
            </w:r>
            <w:r>
              <w:rPr>
                <w:rFonts w:hint="eastAsia" w:ascii="Times New Roman" w:hAnsi="Times New Roman" w:cs="Times New Roman"/>
                <w:color w:val="auto"/>
                <w:sz w:val="24"/>
                <w:szCs w:val="24"/>
                <w:highlight w:val="none"/>
                <w:u w:val="none" w:color="auto"/>
                <w:lang w:val="en-US" w:eastAsia="zh-CN"/>
              </w:rPr>
              <w:t>〕</w:t>
            </w:r>
            <w:r>
              <w:rPr>
                <w:rFonts w:hint="default" w:ascii="Times New Roman" w:hAnsi="Times New Roman" w:cs="Times New Roman"/>
                <w:color w:val="auto"/>
                <w:sz w:val="24"/>
                <w:szCs w:val="24"/>
                <w:highlight w:val="none"/>
                <w:u w:val="none" w:color="auto"/>
                <w:lang w:val="en-US" w:eastAsia="zh-CN"/>
              </w:rPr>
              <w:t>158号）</w:t>
            </w:r>
            <w:r>
              <w:rPr>
                <w:rFonts w:hint="eastAsia" w:ascii="Times New Roman" w:hAnsi="Times New Roman" w:cs="Times New Roman"/>
                <w:color w:val="auto"/>
                <w:sz w:val="24"/>
                <w:szCs w:val="24"/>
                <w:highlight w:val="none"/>
                <w:u w:val="none" w:color="auto"/>
                <w:lang w:val="en-US" w:eastAsia="zh-CN"/>
              </w:rPr>
              <w:t>、吉林市人民政府办公室《关于印发吉林市生态环境分区管控实施方案的通知》（吉市政办函〔2024〕32号）</w:t>
            </w:r>
            <w:r>
              <w:rPr>
                <w:rFonts w:hint="eastAsia" w:cs="Times New Roman"/>
                <w:color w:val="auto"/>
                <w:sz w:val="24"/>
                <w:szCs w:val="24"/>
                <w:highlight w:val="none"/>
                <w:u w:val="none" w:color="auto"/>
                <w:lang w:val="en-US" w:eastAsia="zh-CN"/>
              </w:rPr>
              <w:t>、</w:t>
            </w:r>
            <w:r>
              <w:rPr>
                <w:rFonts w:hint="eastAsia" w:ascii="宋体" w:hAnsi="宋体" w:eastAsia="宋体" w:cs="宋体"/>
                <w:color w:val="auto"/>
                <w:sz w:val="24"/>
                <w:szCs w:val="24"/>
                <w:highlight w:val="none"/>
                <w:u w:val="single"/>
                <w:lang w:val="en-US" w:eastAsia="zh-CN"/>
              </w:rPr>
              <w:t>《吉林市生态环境局关于印发〈吉林市生态环境准入清单〉的函》（吉市环函〔2025〕47号）</w:t>
            </w:r>
            <w:r>
              <w:rPr>
                <w:rFonts w:hint="default" w:ascii="Times New Roman" w:hAnsi="Times New Roman" w:cs="Times New Roman"/>
                <w:color w:val="auto"/>
                <w:sz w:val="24"/>
                <w:szCs w:val="24"/>
                <w:highlight w:val="none"/>
                <w:u w:val="none" w:color="auto"/>
              </w:rPr>
              <w:t>，</w:t>
            </w:r>
            <w:r>
              <w:rPr>
                <w:rFonts w:hint="eastAsia" w:cs="Times New Roman"/>
                <w:color w:val="auto"/>
                <w:sz w:val="24"/>
                <w:szCs w:val="24"/>
                <w:highlight w:val="none"/>
                <w:u w:val="none" w:color="auto"/>
                <w:lang w:eastAsia="zh-CN"/>
              </w:rPr>
              <w:t>吉林市</w:t>
            </w:r>
            <w:r>
              <w:rPr>
                <w:rFonts w:hint="default" w:ascii="Times New Roman" w:hAnsi="Times New Roman" w:cs="Times New Roman"/>
                <w:color w:val="auto"/>
                <w:sz w:val="24"/>
                <w:szCs w:val="24"/>
                <w:highlight w:val="none"/>
                <w:u w:val="none" w:color="auto"/>
              </w:rPr>
              <w:t>生态环境准入清单（总体准入要求），本项目所属管控单元为</w:t>
            </w:r>
            <w:r>
              <w:rPr>
                <w:rFonts w:hint="eastAsia" w:cs="Times New Roman"/>
                <w:color w:val="auto"/>
                <w:sz w:val="24"/>
                <w:szCs w:val="24"/>
                <w:highlight w:val="none"/>
                <w:u w:val="none" w:color="auto"/>
                <w:lang w:eastAsia="zh-CN"/>
              </w:rPr>
              <w:t>永吉县一般管控区</w:t>
            </w:r>
            <w:r>
              <w:rPr>
                <w:rFonts w:hint="default" w:ascii="Times New Roman" w:hAnsi="Times New Roman" w:cs="Times New Roman"/>
                <w:color w:val="auto"/>
                <w:sz w:val="24"/>
                <w:szCs w:val="24"/>
                <w:highlight w:val="none"/>
                <w:u w:val="none" w:color="auto"/>
              </w:rPr>
              <w:t>，为</w:t>
            </w:r>
            <w:r>
              <w:rPr>
                <w:rFonts w:hint="eastAsia" w:ascii="Times New Roman" w:hAnsi="Times New Roman" w:cs="Times New Roman"/>
                <w:color w:val="auto"/>
                <w:sz w:val="24"/>
                <w:szCs w:val="24"/>
                <w:highlight w:val="none"/>
                <w:u w:val="none" w:color="auto"/>
                <w:lang w:val="en-US" w:eastAsia="zh-CN"/>
              </w:rPr>
              <w:t>一般管控单</w:t>
            </w:r>
            <w:r>
              <w:rPr>
                <w:rFonts w:hint="eastAsia" w:cs="Times New Roman"/>
                <w:color w:val="auto"/>
                <w:sz w:val="24"/>
                <w:szCs w:val="24"/>
                <w:highlight w:val="none"/>
                <w:u w:val="none" w:color="auto"/>
                <w:lang w:val="en-US" w:eastAsia="zh-CN"/>
              </w:rPr>
              <w:t>元</w:t>
            </w:r>
            <w:r>
              <w:rPr>
                <w:rFonts w:hint="default" w:ascii="Times New Roman" w:hAnsi="Times New Roman" w:cs="Times New Roman"/>
                <w:color w:val="auto"/>
                <w:sz w:val="24"/>
                <w:szCs w:val="24"/>
                <w:highlight w:val="none"/>
                <w:u w:val="none" w:color="auto"/>
              </w:rPr>
              <w:t>，</w:t>
            </w:r>
            <w:r>
              <w:rPr>
                <w:rFonts w:hint="default" w:ascii="Times New Roman" w:hAnsi="Times New Roman" w:cs="Times New Roman"/>
                <w:b/>
                <w:bCs/>
                <w:color w:val="auto"/>
                <w:sz w:val="24"/>
                <w:szCs w:val="24"/>
                <w:highlight w:val="none"/>
                <w:u w:val="none" w:color="auto"/>
              </w:rPr>
              <w:t>管控单元编号为：</w:t>
            </w:r>
            <w:r>
              <w:rPr>
                <w:rFonts w:hint="eastAsia" w:cs="Times New Roman"/>
                <w:b/>
                <w:bCs/>
                <w:color w:val="auto"/>
                <w:sz w:val="24"/>
                <w:szCs w:val="24"/>
                <w:highlight w:val="none"/>
                <w:u w:val="none" w:color="auto"/>
                <w:lang w:eastAsia="zh-CN"/>
              </w:rPr>
              <w:t>ZH22022130001</w:t>
            </w:r>
            <w:r>
              <w:rPr>
                <w:rFonts w:hint="default" w:ascii="Times New Roman" w:hAnsi="Times New Roman" w:cs="Times New Roman"/>
                <w:color w:val="auto"/>
                <w:sz w:val="24"/>
                <w:szCs w:val="24"/>
                <w:highlight w:val="none"/>
                <w:u w:val="none" w:color="auto"/>
              </w:rPr>
              <w:t>。本项目与该准入清单符合性分析详见下表。</w:t>
            </w:r>
          </w:p>
          <w:p w14:paraId="5AE5B815">
            <w:pPr>
              <w:pStyle w:val="5"/>
              <w:adjustRightInd w:val="0"/>
              <w:snapToGrid w:val="0"/>
              <w:spacing w:line="360" w:lineRule="auto"/>
              <w:jc w:val="center"/>
              <w:rPr>
                <w:rFonts w:hint="default" w:ascii="Times New Roman" w:hAnsi="Times New Roman" w:cs="Times New Roman"/>
                <w:b/>
                <w:bCs/>
                <w:color w:val="auto"/>
                <w:sz w:val="24"/>
                <w:szCs w:val="24"/>
                <w:highlight w:val="none"/>
                <w:u w:val="none" w:color="auto"/>
              </w:rPr>
            </w:pPr>
            <w:r>
              <w:rPr>
                <w:rFonts w:hint="default" w:ascii="Times New Roman" w:hAnsi="Times New Roman" w:cs="Times New Roman"/>
                <w:b/>
                <w:bCs/>
                <w:color w:val="auto"/>
                <w:sz w:val="24"/>
                <w:szCs w:val="24"/>
                <w:highlight w:val="none"/>
                <w:u w:val="none" w:color="auto"/>
              </w:rPr>
              <w:t>表1</w:t>
            </w:r>
            <w:r>
              <w:rPr>
                <w:rFonts w:hint="default" w:ascii="Times New Roman" w:hAnsi="Times New Roman" w:cs="Times New Roman"/>
                <w:b/>
                <w:bCs/>
                <w:color w:val="auto"/>
                <w:sz w:val="24"/>
                <w:szCs w:val="24"/>
                <w:highlight w:val="none"/>
                <w:u w:val="none" w:color="auto"/>
                <w:lang w:val="en-US" w:eastAsia="zh-CN"/>
              </w:rPr>
              <w:t>-</w:t>
            </w:r>
            <w:r>
              <w:rPr>
                <w:rFonts w:hint="eastAsia" w:cs="Times New Roman"/>
                <w:b/>
                <w:bCs/>
                <w:color w:val="auto"/>
                <w:sz w:val="24"/>
                <w:szCs w:val="24"/>
                <w:highlight w:val="none"/>
                <w:u w:val="none" w:color="auto"/>
                <w:lang w:val="en-US" w:eastAsia="zh-CN"/>
              </w:rPr>
              <w:t>1</w:t>
            </w:r>
            <w:r>
              <w:rPr>
                <w:rFonts w:hint="default" w:ascii="Times New Roman" w:hAnsi="Times New Roman" w:cs="Times New Roman"/>
                <w:b/>
                <w:bCs/>
                <w:color w:val="auto"/>
                <w:sz w:val="24"/>
                <w:szCs w:val="24"/>
                <w:highlight w:val="none"/>
                <w:u w:val="none" w:color="auto"/>
              </w:rPr>
              <w:t>与吉林省生态环境准入清单符合性分析</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3"/>
              <w:gridCol w:w="3713"/>
              <w:gridCol w:w="2418"/>
            </w:tblGrid>
            <w:tr w14:paraId="7D941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60" w:hRule="atLeast"/>
                <w:jc w:val="center"/>
              </w:trPr>
              <w:tc>
                <w:tcPr>
                  <w:tcW w:w="5000" w:type="pct"/>
                  <w:gridSpan w:val="3"/>
                  <w:tcBorders>
                    <w:tl2br w:val="nil"/>
                    <w:tr2bl w:val="nil"/>
                  </w:tcBorders>
                  <w:vAlign w:val="center"/>
                </w:tcPr>
                <w:p w14:paraId="5255E9B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一、全省总体准入条件</w:t>
                  </w:r>
                </w:p>
              </w:tc>
            </w:tr>
            <w:tr w14:paraId="41E9DA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5" w:type="pct"/>
                  <w:tcBorders>
                    <w:tl2br w:val="nil"/>
                    <w:tr2bl w:val="nil"/>
                  </w:tcBorders>
                  <w:vAlign w:val="center"/>
                </w:tcPr>
                <w:p w14:paraId="3F9CC7DB">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管控领域</w:t>
                  </w:r>
                </w:p>
              </w:tc>
              <w:tc>
                <w:tcPr>
                  <w:tcW w:w="2504" w:type="pct"/>
                  <w:tcBorders>
                    <w:tl2br w:val="nil"/>
                    <w:tr2bl w:val="nil"/>
                  </w:tcBorders>
                  <w:vAlign w:val="center"/>
                </w:tcPr>
                <w:p w14:paraId="17437E16">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环境准入及管控要求</w:t>
                  </w:r>
                </w:p>
              </w:tc>
              <w:tc>
                <w:tcPr>
                  <w:tcW w:w="1629" w:type="pct"/>
                  <w:tcBorders>
                    <w:tl2br w:val="nil"/>
                    <w:tr2bl w:val="nil"/>
                  </w:tcBorders>
                  <w:vAlign w:val="center"/>
                </w:tcPr>
                <w:p w14:paraId="0484C40E">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符合性分析</w:t>
                  </w:r>
                </w:p>
              </w:tc>
            </w:tr>
            <w:tr w14:paraId="10593D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865" w:type="pct"/>
                  <w:vMerge w:val="restart"/>
                  <w:tcBorders>
                    <w:tl2br w:val="nil"/>
                    <w:tr2bl w:val="nil"/>
                  </w:tcBorders>
                  <w:vAlign w:val="center"/>
                </w:tcPr>
                <w:p w14:paraId="4EF9DF8B">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空间布局约束</w:t>
                  </w:r>
                </w:p>
              </w:tc>
              <w:tc>
                <w:tcPr>
                  <w:tcW w:w="2504" w:type="pct"/>
                  <w:tcBorders>
                    <w:tl2br w:val="nil"/>
                    <w:tr2bl w:val="nil"/>
                  </w:tcBorders>
                  <w:vAlign w:val="center"/>
                </w:tcPr>
                <w:p w14:paraId="5100FC4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禁止新建、扩建《产业结构调整指导</w:t>
                  </w:r>
                  <w:r>
                    <w:rPr>
                      <w:rFonts w:hint="eastAsia" w:ascii="Times New Roman" w:hAnsi="Times New Roman" w:eastAsia="宋体" w:cs="Times New Roman"/>
                      <w:b w:val="0"/>
                      <w:bCs w:val="0"/>
                      <w:color w:val="auto"/>
                      <w:kern w:val="0"/>
                      <w:szCs w:val="21"/>
                      <w:highlight w:val="none"/>
                      <w:u w:val="none" w:color="auto"/>
                      <w:lang w:val="en-US" w:eastAsia="zh-CN"/>
                    </w:rPr>
                    <w:t>目</w:t>
                  </w:r>
                  <w:r>
                    <w:rPr>
                      <w:rFonts w:hint="default" w:ascii="Times New Roman" w:hAnsi="Times New Roman" w:eastAsia="宋体" w:cs="Times New Roman"/>
                      <w:b w:val="0"/>
                      <w:bCs w:val="0"/>
                      <w:color w:val="auto"/>
                      <w:kern w:val="0"/>
                      <w:szCs w:val="21"/>
                      <w:highlight w:val="none"/>
                      <w:u w:val="none" w:color="auto"/>
                    </w:rPr>
                    <w:t>录》（现行）明确的淘汰类项目和引入《市场准入负面清单》（现行）禁止准入类事项，引入项目应符合园区规划、规划环境影响评价和区域产业准入负面清单要求。</w:t>
                  </w:r>
                </w:p>
                <w:p w14:paraId="7D6DA27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列入《产业结构调整指导目录》淘汰类的现状企业，应制定调整计划。生态环境治理措施不符合现行生态环境保护要求、资源能源消耗高、涉及大量排放区域超标污染物的现有企业，应制定整治计划。在调整、整治过渡期内，应严格控制相关企业生产规模，禁止新增产生环境污染的产能和产品。</w:t>
                  </w:r>
                </w:p>
              </w:tc>
              <w:tc>
                <w:tcPr>
                  <w:tcW w:w="1629" w:type="pct"/>
                  <w:tcBorders>
                    <w:tl2br w:val="nil"/>
                    <w:tr2bl w:val="nil"/>
                  </w:tcBorders>
                  <w:vAlign w:val="center"/>
                </w:tcPr>
                <w:p w14:paraId="7A56928C">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Cs w:val="21"/>
                      <w:highlight w:val="none"/>
                      <w:u w:val="none" w:color="auto"/>
                      <w:lang w:val="en-US" w:eastAsia="zh-CN"/>
                    </w:rPr>
                  </w:pPr>
                  <w:r>
                    <w:rPr>
                      <w:rFonts w:hint="eastAsia" w:ascii="Times New Roman" w:hAnsi="Times New Roman" w:eastAsia="宋体" w:cs="Times New Roman"/>
                      <w:b w:val="0"/>
                      <w:bCs w:val="0"/>
                      <w:color w:val="auto"/>
                      <w:kern w:val="0"/>
                      <w:szCs w:val="21"/>
                      <w:highlight w:val="none"/>
                      <w:u w:val="none" w:color="auto"/>
                      <w:lang w:val="en-US" w:eastAsia="zh-CN"/>
                    </w:rPr>
                    <w:t>符合。</w:t>
                  </w:r>
                </w:p>
                <w:p w14:paraId="0E3684A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根据《产业结构调整指导目录</w:t>
                  </w:r>
                  <w:r>
                    <w:rPr>
                      <w:rFonts w:hint="eastAsia" w:ascii="Times New Roman" w:hAnsi="Times New Roman" w:eastAsia="宋体" w:cs="Times New Roman"/>
                      <w:b w:val="0"/>
                      <w:bCs w:val="0"/>
                      <w:color w:val="auto"/>
                      <w:kern w:val="0"/>
                      <w:szCs w:val="21"/>
                      <w:highlight w:val="none"/>
                      <w:u w:val="none" w:color="auto"/>
                    </w:rPr>
                    <w:t>（</w:t>
                  </w:r>
                  <w:r>
                    <w:rPr>
                      <w:rFonts w:hint="default" w:ascii="Times New Roman" w:hAnsi="Times New Roman" w:eastAsia="宋体" w:cs="Times New Roman"/>
                      <w:b w:val="0"/>
                      <w:bCs w:val="0"/>
                      <w:color w:val="auto"/>
                      <w:kern w:val="0"/>
                      <w:szCs w:val="21"/>
                      <w:highlight w:val="none"/>
                      <w:u w:val="none" w:color="auto"/>
                    </w:rPr>
                    <w:t>20</w:t>
                  </w:r>
                  <w:r>
                    <w:rPr>
                      <w:rFonts w:hint="eastAsia" w:ascii="Times New Roman" w:hAnsi="Times New Roman" w:eastAsia="宋体" w:cs="Times New Roman"/>
                      <w:b w:val="0"/>
                      <w:bCs w:val="0"/>
                      <w:color w:val="auto"/>
                      <w:kern w:val="0"/>
                      <w:szCs w:val="21"/>
                      <w:highlight w:val="none"/>
                      <w:u w:val="none" w:color="auto"/>
                    </w:rPr>
                    <w:t>24</w:t>
                  </w:r>
                  <w:r>
                    <w:rPr>
                      <w:rFonts w:hint="default" w:ascii="Times New Roman" w:hAnsi="Times New Roman" w:eastAsia="宋体" w:cs="Times New Roman"/>
                      <w:b w:val="0"/>
                      <w:bCs w:val="0"/>
                      <w:color w:val="auto"/>
                      <w:kern w:val="0"/>
                      <w:szCs w:val="21"/>
                      <w:highlight w:val="none"/>
                      <w:u w:val="none" w:color="auto"/>
                    </w:rPr>
                    <w:t>年本</w:t>
                  </w:r>
                  <w:r>
                    <w:rPr>
                      <w:rFonts w:hint="eastAsia" w:ascii="Times New Roman" w:hAnsi="Times New Roman" w:eastAsia="宋体" w:cs="Times New Roman"/>
                      <w:b w:val="0"/>
                      <w:bCs w:val="0"/>
                      <w:color w:val="auto"/>
                      <w:kern w:val="0"/>
                      <w:szCs w:val="21"/>
                      <w:highlight w:val="none"/>
                      <w:u w:val="none" w:color="auto"/>
                    </w:rPr>
                    <w:t>）</w:t>
                  </w:r>
                  <w:r>
                    <w:rPr>
                      <w:rFonts w:hint="default" w:ascii="Times New Roman" w:hAnsi="Times New Roman" w:eastAsia="宋体" w:cs="Times New Roman"/>
                      <w:b w:val="0"/>
                      <w:bCs w:val="0"/>
                      <w:color w:val="auto"/>
                      <w:kern w:val="0"/>
                      <w:szCs w:val="21"/>
                      <w:highlight w:val="none"/>
                      <w:u w:val="none" w:color="auto"/>
                    </w:rPr>
                    <w:t>》</w:t>
                  </w:r>
                  <w:r>
                    <w:rPr>
                      <w:rFonts w:hint="eastAsia" w:ascii="Times New Roman" w:hAnsi="Times New Roman" w:eastAsia="宋体" w:cs="Times New Roman"/>
                      <w:b w:val="0"/>
                      <w:bCs w:val="0"/>
                      <w:color w:val="auto"/>
                      <w:kern w:val="0"/>
                      <w:szCs w:val="21"/>
                      <w:highlight w:val="none"/>
                      <w:u w:val="none" w:color="auto"/>
                    </w:rPr>
                    <w:t>中的相关规定</w:t>
                  </w:r>
                  <w:r>
                    <w:rPr>
                      <w:rFonts w:hint="default" w:ascii="Times New Roman" w:hAnsi="Times New Roman" w:eastAsia="宋体" w:cs="Times New Roman"/>
                      <w:b w:val="0"/>
                      <w:bCs w:val="0"/>
                      <w:color w:val="auto"/>
                      <w:kern w:val="0"/>
                      <w:szCs w:val="21"/>
                      <w:highlight w:val="none"/>
                      <w:u w:val="none" w:color="auto"/>
                    </w:rPr>
                    <w:t>，</w:t>
                  </w:r>
                  <w:r>
                    <w:rPr>
                      <w:rFonts w:hint="eastAsia" w:ascii="Times New Roman" w:hAnsi="Times New Roman" w:eastAsia="宋体" w:cs="Times New Roman"/>
                      <w:b w:val="0"/>
                      <w:bCs w:val="0"/>
                      <w:color w:val="auto"/>
                      <w:kern w:val="0"/>
                      <w:szCs w:val="21"/>
                      <w:highlight w:val="none"/>
                      <w:u w:val="none" w:color="auto"/>
                    </w:rPr>
                    <w:t>本项目</w:t>
                  </w:r>
                  <w:r>
                    <w:rPr>
                      <w:rFonts w:hint="eastAsia" w:ascii="Times New Roman" w:hAnsi="Times New Roman" w:eastAsia="宋体" w:cs="Times New Roman"/>
                      <w:b w:val="0"/>
                      <w:bCs w:val="0"/>
                      <w:color w:val="auto"/>
                      <w:kern w:val="0"/>
                      <w:szCs w:val="21"/>
                      <w:highlight w:val="none"/>
                      <w:u w:val="none" w:color="auto"/>
                      <w:lang w:val="en-US" w:eastAsia="zh-CN"/>
                    </w:rPr>
                    <w:t>不属于</w:t>
                  </w:r>
                  <w:r>
                    <w:rPr>
                      <w:rFonts w:hint="eastAsia" w:ascii="Times New Roman" w:hAnsi="Times New Roman" w:eastAsia="宋体" w:cs="Times New Roman"/>
                      <w:b w:val="0"/>
                      <w:bCs w:val="0"/>
                      <w:color w:val="auto"/>
                      <w:kern w:val="0"/>
                      <w:szCs w:val="21"/>
                      <w:highlight w:val="none"/>
                      <w:u w:val="none" w:color="auto"/>
                    </w:rPr>
                    <w:t>鼓励类、限制类及淘汰类范畴，为允许类，因此</w:t>
                  </w:r>
                  <w:r>
                    <w:rPr>
                      <w:rFonts w:hint="default" w:ascii="Times New Roman" w:hAnsi="Times New Roman" w:eastAsia="宋体" w:cs="Times New Roman"/>
                      <w:b w:val="0"/>
                      <w:bCs w:val="0"/>
                      <w:color w:val="auto"/>
                      <w:kern w:val="0"/>
                      <w:szCs w:val="21"/>
                      <w:highlight w:val="none"/>
                      <w:u w:val="none" w:color="auto"/>
                    </w:rPr>
                    <w:t>符合产业政策</w:t>
                  </w:r>
                  <w:r>
                    <w:rPr>
                      <w:rFonts w:hint="eastAsia" w:ascii="Times New Roman" w:hAnsi="Times New Roman" w:eastAsia="宋体" w:cs="Times New Roman"/>
                      <w:b w:val="0"/>
                      <w:bCs w:val="0"/>
                      <w:color w:val="auto"/>
                      <w:kern w:val="0"/>
                      <w:szCs w:val="21"/>
                      <w:highlight w:val="none"/>
                      <w:u w:val="none" w:color="auto"/>
                    </w:rPr>
                    <w:t>；且本项目未被列入《市场准入负面清单》（现行）禁止准入类事项。</w:t>
                  </w:r>
                </w:p>
              </w:tc>
            </w:tr>
            <w:tr w14:paraId="007218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865" w:type="pct"/>
                  <w:vMerge w:val="continue"/>
                  <w:tcBorders>
                    <w:tl2br w:val="nil"/>
                    <w:tr2bl w:val="nil"/>
                  </w:tcBorders>
                  <w:vAlign w:val="center"/>
                </w:tcPr>
                <w:p w14:paraId="4816F0A1">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24745BE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强化产业政策在产业转移过程中的引导和约束作用，严格控制在生态脆弱或环境敏感地区建设“两高”行业项目。严格高能耗、高物耗、高水耗和产能过剩、低水平重复建设项目，以及涉及危险化学品、重金属和其他具有重大环境风险建设项目的审批和备案。老工业城市和资源型城市在防止污染转移的基础上，应积极承接有利于延伸产业链、提高技术水平、促进资源综合利用、充分吸纳就业的产业，因地制宜发展优势特色产业。</w:t>
                  </w:r>
                </w:p>
                <w:p w14:paraId="419A3E6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严格控制钢铁、焦化、电解铝、水泥和平板玻璃等行业新增产能，列入去产能的钢铁企业退出时须一并退出配套的烧结、球团、焦炉、高炉等设备。严格控制尿素、磷铵、电石、烧碱、聚氯乙烯、纯碱、黄磷等过剩行业新增产能，符合政策要求的先进工艺改造提升项目应实行等量或减量置换。</w:t>
                  </w:r>
                </w:p>
                <w:p w14:paraId="3F40BB7F">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严控新建燃煤锅炉，县级以上城市建成区原则上不再新建每小时35蒸吨以下燃煤锅炉。</w:t>
                  </w:r>
                </w:p>
              </w:tc>
              <w:tc>
                <w:tcPr>
                  <w:tcW w:w="1629" w:type="pct"/>
                  <w:tcBorders>
                    <w:tl2br w:val="nil"/>
                    <w:tr2bl w:val="nil"/>
                  </w:tcBorders>
                  <w:vAlign w:val="center"/>
                </w:tcPr>
                <w:p w14:paraId="3A8E2C4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6228E5E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项目符合产业政策要求，所在地不属于生态脆弱或环境敏感区，且不属于高能耗、高物耗和产能过剩、低水平重复建设项目，环境风险性较小。</w:t>
                  </w:r>
                </w:p>
                <w:p w14:paraId="616E0645">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Cs w:val="21"/>
                      <w:highlight w:val="none"/>
                      <w:u w:val="none" w:color="auto"/>
                      <w:lang w:eastAsia="zh-CN"/>
                    </w:rPr>
                  </w:pPr>
                  <w:r>
                    <w:rPr>
                      <w:rFonts w:hint="eastAsia" w:ascii="Times New Roman" w:hAnsi="Times New Roman" w:eastAsia="宋体" w:cs="Times New Roman"/>
                      <w:b w:val="0"/>
                      <w:bCs w:val="0"/>
                      <w:color w:val="auto"/>
                      <w:kern w:val="0"/>
                      <w:szCs w:val="21"/>
                      <w:highlight w:val="none"/>
                      <w:u w:val="none" w:color="auto"/>
                      <w:lang w:eastAsia="zh-CN"/>
                    </w:rPr>
                    <w:t>本项目不属于上述重点行业。生产用</w:t>
                  </w:r>
                  <w:r>
                    <w:rPr>
                      <w:rFonts w:hint="eastAsia" w:ascii="Times New Roman" w:hAnsi="Times New Roman" w:eastAsia="宋体" w:cs="Times New Roman"/>
                      <w:b w:val="0"/>
                      <w:bCs w:val="0"/>
                      <w:color w:val="auto"/>
                      <w:kern w:val="0"/>
                      <w:szCs w:val="21"/>
                      <w:highlight w:val="none"/>
                      <w:u w:val="none" w:color="auto"/>
                      <w:lang w:val="en-US" w:eastAsia="zh-CN"/>
                    </w:rPr>
                    <w:t>热风炉</w:t>
                  </w:r>
                  <w:r>
                    <w:rPr>
                      <w:rFonts w:hint="eastAsia" w:ascii="Times New Roman" w:hAnsi="Times New Roman" w:eastAsia="宋体" w:cs="Times New Roman"/>
                      <w:b w:val="0"/>
                      <w:bCs w:val="0"/>
                      <w:color w:val="auto"/>
                      <w:kern w:val="0"/>
                      <w:szCs w:val="21"/>
                      <w:highlight w:val="none"/>
                      <w:u w:val="none" w:color="auto"/>
                      <w:lang w:eastAsia="zh-CN"/>
                    </w:rPr>
                    <w:t>燃料采用生物质燃料，不涉及新建燃煤锅炉。</w:t>
                  </w:r>
                </w:p>
              </w:tc>
            </w:tr>
            <w:tr w14:paraId="447188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865" w:type="pct"/>
                  <w:vMerge w:val="continue"/>
                  <w:tcBorders>
                    <w:tl2br w:val="nil"/>
                    <w:tr2bl w:val="nil"/>
                  </w:tcBorders>
                  <w:vAlign w:val="center"/>
                </w:tcPr>
                <w:p w14:paraId="5CE5F102">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1292787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重大项目原则上应布局在优化开发区和重点开发区，并符合国土空间总体规划。</w:t>
                  </w:r>
                </w:p>
                <w:p w14:paraId="45C81AE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化工石化、有色冶炼、制浆造纸等可能引发环境风险的项目，以及涉及石化、化工、工业涂装等重点行业高VOCs排放的建设项目，在符合国家产业政策和清洁生产水平要求、满足污染物排放标准以及污染物排放总量控制指标前提下，应当在依法设立、基础设施齐全并具备有效规划、规划环境影响评价的产业园区内布设。</w:t>
                  </w:r>
                </w:p>
                <w:p w14:paraId="26EC9BE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严格落实规划环评及其批复文件环境准入条件，空气质量未达标地区制定更严格的产业准入门槛。</w:t>
                  </w:r>
                </w:p>
              </w:tc>
              <w:tc>
                <w:tcPr>
                  <w:tcW w:w="1629" w:type="pct"/>
                  <w:tcBorders>
                    <w:tl2br w:val="nil"/>
                    <w:tr2bl w:val="nil"/>
                  </w:tcBorders>
                  <w:vAlign w:val="center"/>
                </w:tcPr>
                <w:p w14:paraId="4F55F82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3FED2CC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本项目不属于重大项目及重点行业，符合国家产业政策要求，可实现污染物达标排放。</w:t>
                  </w:r>
                  <w:r>
                    <w:rPr>
                      <w:rFonts w:hint="default" w:ascii="Times New Roman" w:hAnsi="Times New Roman" w:eastAsia="宋体" w:cs="Times New Roman"/>
                      <w:b w:val="0"/>
                      <w:bCs w:val="0"/>
                      <w:color w:val="auto"/>
                      <w:kern w:val="0"/>
                      <w:szCs w:val="21"/>
                      <w:highlight w:val="none"/>
                      <w:u w:val="none" w:color="auto"/>
                      <w:lang w:eastAsia="zh-CN"/>
                    </w:rPr>
                    <w:t>项目所在区域属于环境</w:t>
                  </w:r>
                  <w:r>
                    <w:rPr>
                      <w:rFonts w:hint="eastAsia" w:ascii="Times New Roman" w:hAnsi="Times New Roman" w:eastAsia="宋体" w:cs="Times New Roman"/>
                      <w:b w:val="0"/>
                      <w:bCs w:val="0"/>
                      <w:color w:val="auto"/>
                      <w:kern w:val="0"/>
                      <w:szCs w:val="21"/>
                      <w:highlight w:val="none"/>
                      <w:u w:val="none" w:color="auto"/>
                      <w:lang w:eastAsia="zh-CN"/>
                    </w:rPr>
                    <w:t>空气</w:t>
                  </w:r>
                  <w:r>
                    <w:rPr>
                      <w:rFonts w:hint="default" w:ascii="Times New Roman" w:hAnsi="Times New Roman" w:eastAsia="宋体" w:cs="Times New Roman"/>
                      <w:b w:val="0"/>
                      <w:bCs w:val="0"/>
                      <w:color w:val="auto"/>
                      <w:kern w:val="0"/>
                      <w:szCs w:val="21"/>
                      <w:highlight w:val="none"/>
                      <w:u w:val="none" w:color="auto"/>
                      <w:lang w:eastAsia="zh-CN"/>
                    </w:rPr>
                    <w:t>质量达标区。</w:t>
                  </w:r>
                </w:p>
              </w:tc>
            </w:tr>
            <w:tr w14:paraId="5E3580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865" w:type="pct"/>
                  <w:vMerge w:val="continue"/>
                  <w:tcBorders>
                    <w:tl2br w:val="nil"/>
                    <w:tr2bl w:val="nil"/>
                  </w:tcBorders>
                  <w:vAlign w:val="center"/>
                </w:tcPr>
                <w:p w14:paraId="7D6632D1">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766AA3DF">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进一步优化全省化工产业布局，提高化工行业本质安全和绿色发展水平，引领化工园区从规范化发展到高质量发展、促进化工产业转型升级。</w:t>
                  </w:r>
                </w:p>
              </w:tc>
              <w:tc>
                <w:tcPr>
                  <w:tcW w:w="1629" w:type="pct"/>
                  <w:tcBorders>
                    <w:tl2br w:val="nil"/>
                    <w:tr2bl w:val="nil"/>
                  </w:tcBorders>
                  <w:vAlign w:val="center"/>
                </w:tcPr>
                <w:p w14:paraId="3B4B067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6687EFA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本项目不</w:t>
                  </w:r>
                  <w:r>
                    <w:rPr>
                      <w:rFonts w:hint="default" w:ascii="Times New Roman" w:hAnsi="Times New Roman" w:eastAsia="宋体" w:cs="Times New Roman"/>
                      <w:b w:val="0"/>
                      <w:bCs w:val="0"/>
                      <w:color w:val="auto"/>
                      <w:kern w:val="0"/>
                      <w:szCs w:val="21"/>
                      <w:highlight w:val="none"/>
                      <w:u w:val="none" w:color="auto"/>
                      <w:lang w:eastAsia="zh-CN"/>
                    </w:rPr>
                    <w:t>涉及。</w:t>
                  </w:r>
                </w:p>
              </w:tc>
            </w:tr>
            <w:tr w14:paraId="793C9F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865" w:type="pct"/>
                  <w:vMerge w:val="restart"/>
                  <w:tcBorders>
                    <w:tl2br w:val="nil"/>
                    <w:tr2bl w:val="nil"/>
                  </w:tcBorders>
                  <w:vAlign w:val="center"/>
                </w:tcPr>
                <w:p w14:paraId="7F8EC646">
                  <w:pPr>
                    <w:pStyle w:val="45"/>
                    <w:adjustRightInd w:val="0"/>
                    <w:snapToGrid w:val="0"/>
                    <w:spacing w:beforeLines="0" w:after="0" w:afterAutospacing="0" w:line="240" w:lineRule="auto"/>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污染物排放管控</w:t>
                  </w:r>
                </w:p>
              </w:tc>
              <w:tc>
                <w:tcPr>
                  <w:tcW w:w="2504" w:type="pct"/>
                  <w:tcBorders>
                    <w:tl2br w:val="nil"/>
                    <w:tr2bl w:val="nil"/>
                  </w:tcBorders>
                  <w:vAlign w:val="center"/>
                </w:tcPr>
                <w:p w14:paraId="5D236FD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落实主要污染物总量控制和排污许可制度。新建、改建、扩建重点行业建设项目实行主要污染物排放等量或倍量削减替代。严格涉VOCs建设项目环境影响评价，逐步推进区域内VOCs排放等量或倍量削减替代。</w:t>
                  </w:r>
                </w:p>
              </w:tc>
              <w:tc>
                <w:tcPr>
                  <w:tcW w:w="1629" w:type="pct"/>
                  <w:tcBorders>
                    <w:tl2br w:val="nil"/>
                    <w:tr2bl w:val="nil"/>
                  </w:tcBorders>
                  <w:vAlign w:val="center"/>
                </w:tcPr>
                <w:p w14:paraId="54558BD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zh-CN"/>
                    </w:rPr>
                  </w:pPr>
                  <w:r>
                    <w:rPr>
                      <w:rFonts w:hint="default" w:ascii="Times New Roman" w:hAnsi="Times New Roman" w:eastAsia="宋体" w:cs="Times New Roman"/>
                      <w:b w:val="0"/>
                      <w:bCs w:val="0"/>
                      <w:color w:val="auto"/>
                      <w:kern w:val="0"/>
                      <w:szCs w:val="21"/>
                      <w:highlight w:val="none"/>
                      <w:u w:val="none" w:color="auto"/>
                      <w:lang w:val="zh-CN"/>
                    </w:rPr>
                    <w:t>符合。</w:t>
                  </w:r>
                </w:p>
                <w:p w14:paraId="5084CDA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根据“吉林省生态环境厅《关于进一步明确建设项目主要污染物排放总量审核有关事宜的复函》”，本项目属于其他行业排放管理，在环评审批过程中予以豁免主要污染物总量审核。本项目生产前将按要求申领排污许可证。本项目不涉及VOCs。</w:t>
                  </w:r>
                </w:p>
              </w:tc>
            </w:tr>
            <w:tr w14:paraId="5AE0EF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865" w:type="pct"/>
                  <w:vMerge w:val="continue"/>
                  <w:tcBorders>
                    <w:tl2br w:val="nil"/>
                    <w:tr2bl w:val="nil"/>
                  </w:tcBorders>
                  <w:vAlign w:val="center"/>
                </w:tcPr>
                <w:p w14:paraId="4CA6B94D">
                  <w:pPr>
                    <w:pStyle w:val="45"/>
                    <w:adjustRightInd w:val="0"/>
                    <w:snapToGrid w:val="0"/>
                    <w:spacing w:beforeLines="0" w:after="0" w:afterAutospacing="0" w:line="240" w:lineRule="auto"/>
                    <w:rPr>
                      <w:rFonts w:hint="default" w:ascii="Times New Roman" w:hAnsi="Times New Roman" w:eastAsia="宋体" w:cs="Times New Roman"/>
                      <w:b w:val="0"/>
                      <w:bCs w:val="0"/>
                      <w:color w:val="auto"/>
                      <w:szCs w:val="21"/>
                      <w:highlight w:val="none"/>
                      <w:u w:val="none" w:color="auto"/>
                    </w:rPr>
                  </w:pPr>
                </w:p>
              </w:tc>
              <w:tc>
                <w:tcPr>
                  <w:tcW w:w="2504" w:type="pct"/>
                  <w:tcBorders>
                    <w:tl2br w:val="nil"/>
                    <w:tr2bl w:val="nil"/>
                  </w:tcBorders>
                  <w:vAlign w:val="top"/>
                </w:tcPr>
                <w:p w14:paraId="71877FE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b w:val="0"/>
                      <w:bCs w:val="0"/>
                      <w:color w:val="auto"/>
                      <w:kern w:val="0"/>
                      <w:szCs w:val="21"/>
                      <w:highlight w:val="none"/>
                      <w:u w:val="none" w:color="auto"/>
                    </w:rPr>
                    <w:t>空气质量未达标地区新建项目涉及的二氧化硫、氮氧化物、颗粒物、挥发性有机物（VOCs）排放全面执行大气污染物特别排放限值。</w:t>
                  </w:r>
                </w:p>
              </w:tc>
              <w:tc>
                <w:tcPr>
                  <w:tcW w:w="1629" w:type="pct"/>
                  <w:tcBorders>
                    <w:tl2br w:val="nil"/>
                    <w:tr2bl w:val="nil"/>
                  </w:tcBorders>
                  <w:vAlign w:val="top"/>
                </w:tcPr>
                <w:p w14:paraId="764ACAE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szCs w:val="21"/>
                      <w:highlight w:val="none"/>
                      <w:u w:val="none" w:color="auto"/>
                    </w:rPr>
                    <w:t>符</w:t>
                  </w:r>
                  <w:r>
                    <w:rPr>
                      <w:rFonts w:hint="default" w:ascii="Times New Roman" w:hAnsi="Times New Roman" w:eastAsia="宋体" w:cs="Times New Roman"/>
                      <w:b w:val="0"/>
                      <w:bCs w:val="0"/>
                      <w:color w:val="auto"/>
                      <w:kern w:val="0"/>
                      <w:szCs w:val="21"/>
                      <w:highlight w:val="none"/>
                      <w:u w:val="none" w:color="auto"/>
                    </w:rPr>
                    <w:t>合。</w:t>
                  </w:r>
                </w:p>
                <w:p w14:paraId="011C4E3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2"/>
                      <w:sz w:val="21"/>
                      <w:szCs w:val="21"/>
                      <w:highlight w:val="none"/>
                      <w:u w:val="none" w:color="auto"/>
                      <w:lang w:val="en-US" w:eastAsia="zh-CN" w:bidi="ar-SA"/>
                    </w:rPr>
                  </w:pPr>
                  <w:r>
                    <w:rPr>
                      <w:rFonts w:hint="default" w:ascii="Times New Roman" w:hAnsi="Times New Roman" w:eastAsia="宋体" w:cs="Times New Roman"/>
                      <w:b w:val="0"/>
                      <w:bCs w:val="0"/>
                      <w:color w:val="auto"/>
                      <w:kern w:val="0"/>
                      <w:szCs w:val="21"/>
                      <w:highlight w:val="none"/>
                      <w:u w:val="none" w:color="auto"/>
                    </w:rPr>
                    <w:t>本项目位于大气环境达标</w:t>
                  </w:r>
                  <w:r>
                    <w:rPr>
                      <w:rFonts w:hint="default" w:ascii="Times New Roman" w:hAnsi="Times New Roman" w:eastAsia="宋体" w:cs="Times New Roman"/>
                      <w:b w:val="0"/>
                      <w:bCs w:val="0"/>
                      <w:color w:val="auto"/>
                      <w:szCs w:val="21"/>
                      <w:highlight w:val="none"/>
                      <w:u w:val="none" w:color="auto"/>
                    </w:rPr>
                    <w:t>区，无需执行大气污染物特别排放限值。</w:t>
                  </w:r>
                </w:p>
              </w:tc>
            </w:tr>
            <w:tr w14:paraId="4ED756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865" w:type="pct"/>
                  <w:vMerge w:val="continue"/>
                  <w:tcBorders>
                    <w:tl2br w:val="nil"/>
                    <w:tr2bl w:val="nil"/>
                  </w:tcBorders>
                  <w:vAlign w:val="center"/>
                </w:tcPr>
                <w:p w14:paraId="1F8B817C">
                  <w:pPr>
                    <w:pStyle w:val="45"/>
                    <w:adjustRightInd w:val="0"/>
                    <w:snapToGrid w:val="0"/>
                    <w:spacing w:beforeLines="0" w:after="0" w:afterAutospacing="0" w:line="240" w:lineRule="auto"/>
                    <w:rPr>
                      <w:rFonts w:hint="default" w:ascii="Times New Roman" w:hAnsi="Times New Roman" w:eastAsia="宋体" w:cs="Times New Roman"/>
                      <w:b w:val="0"/>
                      <w:bCs w:val="0"/>
                      <w:color w:val="auto"/>
                      <w:szCs w:val="21"/>
                      <w:highlight w:val="none"/>
                      <w:u w:val="none" w:color="auto"/>
                    </w:rPr>
                  </w:pPr>
                </w:p>
              </w:tc>
              <w:tc>
                <w:tcPr>
                  <w:tcW w:w="2504" w:type="pct"/>
                  <w:tcBorders>
                    <w:tl2br w:val="nil"/>
                    <w:tr2bl w:val="nil"/>
                  </w:tcBorders>
                  <w:vAlign w:val="top"/>
                </w:tcPr>
                <w:p w14:paraId="783C723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推行秸秆全量化处置，持续推进秸秆肥料化、饲料化、能源化、基料化和原料化，逐步形成秸秆综合利用的长效机制。</w:t>
                  </w:r>
                </w:p>
              </w:tc>
              <w:tc>
                <w:tcPr>
                  <w:tcW w:w="1629" w:type="pct"/>
                  <w:tcBorders>
                    <w:tl2br w:val="nil"/>
                    <w:tr2bl w:val="nil"/>
                  </w:tcBorders>
                  <w:vAlign w:val="top"/>
                </w:tcPr>
                <w:p w14:paraId="0B2D73A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1BFFC61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本项目不涉及。</w:t>
                  </w:r>
                </w:p>
              </w:tc>
            </w:tr>
            <w:tr w14:paraId="15160F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865" w:type="pct"/>
                  <w:vMerge w:val="continue"/>
                  <w:tcBorders>
                    <w:tl2br w:val="nil"/>
                    <w:tr2bl w:val="nil"/>
                  </w:tcBorders>
                  <w:vAlign w:val="center"/>
                </w:tcPr>
                <w:p w14:paraId="5515E14F">
                  <w:pPr>
                    <w:pStyle w:val="45"/>
                    <w:adjustRightInd w:val="0"/>
                    <w:snapToGrid w:val="0"/>
                    <w:spacing w:beforeLines="0" w:after="0" w:afterAutospacing="0" w:line="240" w:lineRule="auto"/>
                    <w:rPr>
                      <w:rFonts w:hint="default" w:ascii="Times New Roman" w:hAnsi="Times New Roman" w:eastAsia="宋体" w:cs="Times New Roman"/>
                      <w:b w:val="0"/>
                      <w:bCs w:val="0"/>
                      <w:color w:val="auto"/>
                      <w:szCs w:val="21"/>
                      <w:highlight w:val="none"/>
                      <w:u w:val="none" w:color="auto"/>
                    </w:rPr>
                  </w:pPr>
                </w:p>
              </w:tc>
              <w:tc>
                <w:tcPr>
                  <w:tcW w:w="2504" w:type="pct"/>
                  <w:tcBorders>
                    <w:tl2br w:val="nil"/>
                    <w:tr2bl w:val="nil"/>
                  </w:tcBorders>
                  <w:vAlign w:val="top"/>
                </w:tcPr>
                <w:p w14:paraId="717B87D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推动城镇污水处理厂扩容工程和提标改造。超负荷、满负荷运行的污水处理厂要及时实施扩容，出水排入超标水域的污水处理厂要因地制宜提高出水标准。</w:t>
                  </w:r>
                </w:p>
              </w:tc>
              <w:tc>
                <w:tcPr>
                  <w:tcW w:w="1629" w:type="pct"/>
                  <w:tcBorders>
                    <w:tl2br w:val="nil"/>
                    <w:tr2bl w:val="nil"/>
                  </w:tcBorders>
                  <w:vAlign w:val="top"/>
                </w:tcPr>
                <w:p w14:paraId="3CB755BD">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6369299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本项目生活污水排入</w:t>
                  </w:r>
                  <w:r>
                    <w:rPr>
                      <w:rFonts w:hint="eastAsia" w:ascii="Times New Roman" w:hAnsi="Times New Roman" w:eastAsia="宋体" w:cs="Times New Roman"/>
                      <w:b w:val="0"/>
                      <w:bCs w:val="0"/>
                      <w:color w:val="auto"/>
                      <w:kern w:val="0"/>
                      <w:szCs w:val="21"/>
                      <w:highlight w:val="none"/>
                      <w:u w:val="none" w:color="auto"/>
                      <w:lang w:val="en-US" w:eastAsia="zh-CN"/>
                    </w:rPr>
                    <w:t>防渗旱厕</w:t>
                  </w:r>
                  <w:r>
                    <w:rPr>
                      <w:rFonts w:hint="default" w:ascii="Times New Roman" w:hAnsi="Times New Roman" w:eastAsia="宋体" w:cs="Times New Roman"/>
                      <w:b w:val="0"/>
                      <w:bCs w:val="0"/>
                      <w:color w:val="auto"/>
                      <w:kern w:val="0"/>
                      <w:szCs w:val="21"/>
                      <w:highlight w:val="none"/>
                      <w:u w:val="none" w:color="auto"/>
                      <w:lang w:eastAsia="zh-CN"/>
                    </w:rPr>
                    <w:t>，定期</w:t>
                  </w:r>
                  <w:r>
                    <w:rPr>
                      <w:rFonts w:hint="eastAsia" w:ascii="Times New Roman" w:hAnsi="Times New Roman" w:eastAsia="宋体" w:cs="Times New Roman"/>
                      <w:b w:val="0"/>
                      <w:bCs w:val="0"/>
                      <w:color w:val="auto"/>
                      <w:kern w:val="0"/>
                      <w:szCs w:val="21"/>
                      <w:highlight w:val="none"/>
                      <w:u w:val="none" w:color="auto"/>
                      <w:lang w:val="en-US" w:eastAsia="zh-CN"/>
                    </w:rPr>
                    <w:t>清掏还田</w:t>
                  </w:r>
                  <w:r>
                    <w:rPr>
                      <w:rFonts w:hint="default" w:ascii="Times New Roman" w:hAnsi="Times New Roman" w:eastAsia="宋体" w:cs="Times New Roman"/>
                      <w:b w:val="0"/>
                      <w:bCs w:val="0"/>
                      <w:color w:val="auto"/>
                      <w:kern w:val="0"/>
                      <w:szCs w:val="21"/>
                      <w:highlight w:val="none"/>
                      <w:u w:val="none" w:color="auto"/>
                      <w:lang w:eastAsia="zh-CN"/>
                    </w:rPr>
                    <w:t>。</w:t>
                  </w:r>
                </w:p>
              </w:tc>
            </w:tr>
            <w:tr w14:paraId="07A75B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865" w:type="pct"/>
                  <w:vMerge w:val="continue"/>
                  <w:tcBorders>
                    <w:tl2br w:val="nil"/>
                    <w:tr2bl w:val="nil"/>
                  </w:tcBorders>
                  <w:vAlign w:val="center"/>
                </w:tcPr>
                <w:p w14:paraId="09A4096B">
                  <w:pPr>
                    <w:pStyle w:val="45"/>
                    <w:adjustRightInd w:val="0"/>
                    <w:snapToGrid w:val="0"/>
                    <w:spacing w:beforeLines="0" w:after="0" w:afterAutospacing="0" w:line="240" w:lineRule="auto"/>
                    <w:rPr>
                      <w:rFonts w:hint="default" w:ascii="Times New Roman" w:hAnsi="Times New Roman" w:eastAsia="宋体" w:cs="Times New Roman"/>
                      <w:b w:val="0"/>
                      <w:bCs w:val="0"/>
                      <w:color w:val="auto"/>
                      <w:szCs w:val="21"/>
                      <w:highlight w:val="none"/>
                      <w:u w:val="none" w:color="auto"/>
                    </w:rPr>
                  </w:pPr>
                </w:p>
              </w:tc>
              <w:tc>
                <w:tcPr>
                  <w:tcW w:w="2504" w:type="pct"/>
                  <w:tcBorders>
                    <w:tl2br w:val="nil"/>
                    <w:tr2bl w:val="nil"/>
                  </w:tcBorders>
                </w:tcPr>
                <w:p w14:paraId="4AC05CC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规模化畜禽养殖场（小区）应当保证畜禽粪污无害化处理和资源化利用设施的正常运转。</w:t>
                  </w:r>
                </w:p>
              </w:tc>
              <w:tc>
                <w:tcPr>
                  <w:tcW w:w="1629" w:type="pct"/>
                  <w:tcBorders>
                    <w:tl2br w:val="nil"/>
                    <w:tr2bl w:val="nil"/>
                  </w:tcBorders>
                </w:tcPr>
                <w:p w14:paraId="0C6040A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630CD8D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lang w:eastAsia="zh-CN"/>
                    </w:rPr>
                    <w:t>本项目不涉及。</w:t>
                  </w:r>
                </w:p>
              </w:tc>
            </w:tr>
            <w:tr w14:paraId="4D1C3F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865" w:type="pct"/>
                  <w:vMerge w:val="restart"/>
                  <w:tcBorders>
                    <w:tl2br w:val="nil"/>
                    <w:tr2bl w:val="nil"/>
                  </w:tcBorders>
                  <w:vAlign w:val="center"/>
                </w:tcPr>
                <w:p w14:paraId="63FFA0AD">
                  <w:pPr>
                    <w:pStyle w:val="45"/>
                    <w:adjustRightInd w:val="0"/>
                    <w:snapToGrid w:val="0"/>
                    <w:spacing w:beforeLines="0" w:after="0" w:afterAutospacing="0" w:line="240" w:lineRule="auto"/>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环境风险防控</w:t>
                  </w:r>
                </w:p>
              </w:tc>
              <w:tc>
                <w:tcPr>
                  <w:tcW w:w="2504" w:type="pct"/>
                  <w:tcBorders>
                    <w:tl2br w:val="nil"/>
                    <w:tr2bl w:val="nil"/>
                  </w:tcBorders>
                </w:tcPr>
                <w:p w14:paraId="7A60A1B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到2025年，城镇人口密集区现有不符合防护距离要求的危险化学品生产企业应就地改造达标、搬迁进入规范化工园区或关闭退出，企业安全和环境风险大幅降低。</w:t>
                  </w:r>
                </w:p>
              </w:tc>
              <w:tc>
                <w:tcPr>
                  <w:tcW w:w="1629" w:type="pct"/>
                  <w:tcBorders>
                    <w:tl2br w:val="nil"/>
                    <w:tr2bl w:val="nil"/>
                  </w:tcBorders>
                </w:tcPr>
                <w:p w14:paraId="13C7B29D">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符合。</w:t>
                  </w:r>
                </w:p>
                <w:p w14:paraId="07415092">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本项目不属于危险化学品生产企业，企业安全和环境风险性较小。</w:t>
                  </w:r>
                </w:p>
              </w:tc>
            </w:tr>
            <w:tr w14:paraId="77F903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865" w:type="pct"/>
                  <w:vMerge w:val="continue"/>
                  <w:tcBorders>
                    <w:tl2br w:val="nil"/>
                    <w:tr2bl w:val="nil"/>
                  </w:tcBorders>
                  <w:vAlign w:val="center"/>
                </w:tcPr>
                <w:p w14:paraId="7F826151">
                  <w:pPr>
                    <w:pStyle w:val="45"/>
                    <w:adjustRightInd w:val="0"/>
                    <w:snapToGrid w:val="0"/>
                    <w:spacing w:beforeLines="0" w:after="0" w:afterAutospacing="0" w:line="240" w:lineRule="auto"/>
                    <w:rPr>
                      <w:rFonts w:hint="default" w:ascii="Times New Roman" w:hAnsi="Times New Roman" w:eastAsia="宋体" w:cs="Times New Roman"/>
                      <w:b w:val="0"/>
                      <w:bCs w:val="0"/>
                      <w:color w:val="auto"/>
                      <w:szCs w:val="21"/>
                      <w:highlight w:val="none"/>
                      <w:u w:val="none" w:color="auto"/>
                    </w:rPr>
                  </w:pPr>
                </w:p>
              </w:tc>
              <w:tc>
                <w:tcPr>
                  <w:tcW w:w="2504" w:type="pct"/>
                  <w:tcBorders>
                    <w:tl2br w:val="nil"/>
                    <w:tr2bl w:val="nil"/>
                  </w:tcBorders>
                </w:tcPr>
                <w:p w14:paraId="36C9968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巩固城市饮用水水源保护与治理成果，加强饮用水水源地规范化建设，完善风险防控与应急能力建设和相关管理措施，保证饮用水水源水质达标和水源安全。</w:t>
                  </w:r>
                </w:p>
              </w:tc>
              <w:tc>
                <w:tcPr>
                  <w:tcW w:w="1629" w:type="pct"/>
                  <w:tcBorders>
                    <w:tl2br w:val="nil"/>
                    <w:tr2bl w:val="nil"/>
                  </w:tcBorders>
                </w:tcPr>
                <w:p w14:paraId="36A844C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符合。</w:t>
                  </w:r>
                </w:p>
                <w:p w14:paraId="7B82B24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szCs w:val="21"/>
                      <w:highlight w:val="none"/>
                      <w:u w:val="none" w:color="auto"/>
                    </w:rPr>
                    <w:t>本项目不涉及。</w:t>
                  </w:r>
                </w:p>
              </w:tc>
            </w:tr>
            <w:tr w14:paraId="1CD0EA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865" w:type="pct"/>
                  <w:vMerge w:val="restart"/>
                  <w:tcBorders>
                    <w:tl2br w:val="nil"/>
                    <w:tr2bl w:val="nil"/>
                  </w:tcBorders>
                  <w:vAlign w:val="center"/>
                </w:tcPr>
                <w:p w14:paraId="2E628D2D">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资源利用要求</w:t>
                  </w:r>
                </w:p>
              </w:tc>
              <w:tc>
                <w:tcPr>
                  <w:tcW w:w="2504" w:type="pct"/>
                  <w:tcBorders>
                    <w:tl2br w:val="nil"/>
                    <w:tr2bl w:val="nil"/>
                  </w:tcBorders>
                  <w:vAlign w:val="center"/>
                </w:tcPr>
                <w:p w14:paraId="096235D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推动园区串联用水，分质用水、一水多用和</w:t>
                  </w:r>
                  <w:r>
                    <w:rPr>
                      <w:rFonts w:hint="default" w:ascii="Times New Roman" w:hAnsi="Times New Roman" w:eastAsia="宋体" w:cs="Times New Roman"/>
                      <w:b w:val="0"/>
                      <w:bCs w:val="0"/>
                      <w:color w:val="auto"/>
                      <w:kern w:val="0"/>
                      <w:szCs w:val="21"/>
                      <w:highlight w:val="none"/>
                      <w:u w:val="none" w:color="auto"/>
                      <w:lang w:val="en-US" w:eastAsia="zh-CN"/>
                    </w:rPr>
                    <w:t>循环利用，提高水资源利用率，建设节水型园区。火电、钢铁、造纸、化工、粮食深加工等重点行业应推广实施节水改造和污</w:t>
                  </w:r>
                  <w:r>
                    <w:rPr>
                      <w:rFonts w:hint="default" w:ascii="Times New Roman" w:hAnsi="Times New Roman" w:eastAsia="宋体" w:cs="Times New Roman"/>
                      <w:b w:val="0"/>
                      <w:bCs w:val="0"/>
                      <w:color w:val="auto"/>
                      <w:kern w:val="0"/>
                      <w:szCs w:val="21"/>
                      <w:highlight w:val="none"/>
                      <w:u w:val="none" w:color="auto"/>
                    </w:rPr>
                    <w:t>水深度处理。鼓励钢铁、火电、纺织印染、造纸、石油石化、化工、制革等高耗水企业废水深度处理回用。</w:t>
                  </w:r>
                </w:p>
              </w:tc>
              <w:tc>
                <w:tcPr>
                  <w:tcW w:w="1629" w:type="pct"/>
                  <w:tcBorders>
                    <w:tl2br w:val="nil"/>
                    <w:tr2bl w:val="nil"/>
                  </w:tcBorders>
                  <w:vAlign w:val="center"/>
                </w:tcPr>
                <w:p w14:paraId="7ADD9DD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647918A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lang w:eastAsia="zh-CN"/>
                    </w:rPr>
                    <w:t>本项目不涉及。</w:t>
                  </w:r>
                </w:p>
              </w:tc>
            </w:tr>
            <w:tr w14:paraId="1D7D2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865" w:type="pct"/>
                  <w:vMerge w:val="continue"/>
                  <w:tcBorders>
                    <w:tl2br w:val="nil"/>
                    <w:tr2bl w:val="nil"/>
                  </w:tcBorders>
                  <w:vAlign w:val="center"/>
                </w:tcPr>
                <w:p w14:paraId="67E940B6">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08D01B8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按照《中华人民共和国黑土地保护法》《吉林省黑土地保护条例》实施黑土地保护，加大黑土区水土流失治理力度，发展保护性耕作，促进黑土地可持续发展。</w:t>
                  </w:r>
                </w:p>
              </w:tc>
              <w:tc>
                <w:tcPr>
                  <w:tcW w:w="1629" w:type="pct"/>
                  <w:tcBorders>
                    <w:tl2br w:val="nil"/>
                    <w:tr2bl w:val="nil"/>
                  </w:tcBorders>
                  <w:vAlign w:val="center"/>
                </w:tcPr>
                <w:p w14:paraId="255D8AB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szCs w:val="21"/>
                      <w:highlight w:val="none"/>
                      <w:u w:val="none" w:color="auto"/>
                      <w:lang w:val="zh-CN"/>
                    </w:rPr>
                  </w:pPr>
                  <w:r>
                    <w:rPr>
                      <w:rFonts w:hint="default" w:ascii="Times New Roman" w:hAnsi="Times New Roman" w:eastAsia="宋体" w:cs="Times New Roman"/>
                      <w:b w:val="0"/>
                      <w:bCs w:val="0"/>
                      <w:color w:val="auto"/>
                      <w:szCs w:val="21"/>
                      <w:highlight w:val="none"/>
                      <w:u w:val="none" w:color="auto"/>
                      <w:lang w:val="zh-CN"/>
                    </w:rPr>
                    <w:t>符合。</w:t>
                  </w:r>
                </w:p>
                <w:p w14:paraId="2A663DA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b w:val="0"/>
                      <w:bCs w:val="0"/>
                      <w:color w:val="auto"/>
                      <w:szCs w:val="21"/>
                      <w:highlight w:val="none"/>
                      <w:u w:val="none" w:color="auto"/>
                    </w:rPr>
                    <w:t>本项目用地为</w:t>
                  </w:r>
                  <w:r>
                    <w:rPr>
                      <w:rFonts w:hint="eastAsia" w:ascii="Times New Roman" w:hAnsi="Times New Roman" w:eastAsia="宋体" w:cs="Times New Roman"/>
                      <w:b w:val="0"/>
                      <w:bCs w:val="0"/>
                      <w:color w:val="auto"/>
                      <w:szCs w:val="21"/>
                      <w:highlight w:val="none"/>
                      <w:u w:val="none" w:color="auto"/>
                      <w:lang w:val="en-US" w:eastAsia="zh-CN"/>
                    </w:rPr>
                    <w:t>工业用地</w:t>
                  </w:r>
                  <w:r>
                    <w:rPr>
                      <w:rFonts w:hint="default" w:ascii="Times New Roman" w:hAnsi="Times New Roman" w:eastAsia="宋体" w:cs="Times New Roman"/>
                      <w:b w:val="0"/>
                      <w:bCs w:val="0"/>
                      <w:color w:val="auto"/>
                      <w:szCs w:val="21"/>
                      <w:highlight w:val="none"/>
                      <w:u w:val="none" w:color="auto"/>
                    </w:rPr>
                    <w:t>。</w:t>
                  </w:r>
                </w:p>
              </w:tc>
            </w:tr>
            <w:tr w14:paraId="5D5C2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865" w:type="pct"/>
                  <w:vMerge w:val="continue"/>
                  <w:tcBorders>
                    <w:tl2br w:val="nil"/>
                    <w:tr2bl w:val="nil"/>
                  </w:tcBorders>
                  <w:vAlign w:val="center"/>
                </w:tcPr>
                <w:p w14:paraId="1B351059">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4563465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严格控制煤炭消费。制定煤炭消费总量控制目标，规范实行煤炭消费控制目标管理和减量（等量）替代管理。</w:t>
                  </w:r>
                </w:p>
              </w:tc>
              <w:tc>
                <w:tcPr>
                  <w:tcW w:w="1629" w:type="pct"/>
                  <w:tcBorders>
                    <w:tl2br w:val="nil"/>
                    <w:tr2bl w:val="nil"/>
                  </w:tcBorders>
                  <w:vAlign w:val="center"/>
                </w:tcPr>
                <w:p w14:paraId="1477172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0484589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lang w:eastAsia="zh-CN"/>
                    </w:rPr>
                    <w:t>本项目</w:t>
                  </w:r>
                  <w:r>
                    <w:rPr>
                      <w:rFonts w:hint="eastAsia" w:ascii="Times New Roman" w:hAnsi="Times New Roman" w:eastAsia="宋体" w:cs="Times New Roman"/>
                      <w:b w:val="0"/>
                      <w:bCs w:val="0"/>
                      <w:color w:val="auto"/>
                      <w:kern w:val="0"/>
                      <w:szCs w:val="21"/>
                      <w:highlight w:val="none"/>
                      <w:u w:val="none" w:color="auto"/>
                      <w:lang w:val="en-US" w:eastAsia="zh-CN"/>
                    </w:rPr>
                    <w:t>热风炉</w:t>
                  </w:r>
                  <w:r>
                    <w:rPr>
                      <w:rFonts w:hint="eastAsia" w:ascii="Times New Roman" w:hAnsi="Times New Roman" w:eastAsia="宋体" w:cs="Times New Roman"/>
                      <w:b w:val="0"/>
                      <w:bCs w:val="0"/>
                      <w:color w:val="auto"/>
                      <w:kern w:val="0"/>
                      <w:szCs w:val="21"/>
                      <w:highlight w:val="none"/>
                      <w:u w:val="none" w:color="auto"/>
                      <w:lang w:eastAsia="zh-CN"/>
                    </w:rPr>
                    <w:t>采用生物质燃料，</w:t>
                  </w:r>
                  <w:r>
                    <w:rPr>
                      <w:rFonts w:hint="default" w:ascii="Times New Roman" w:hAnsi="Times New Roman" w:eastAsia="宋体" w:cs="Times New Roman"/>
                      <w:b w:val="0"/>
                      <w:bCs w:val="0"/>
                      <w:color w:val="auto"/>
                      <w:kern w:val="0"/>
                      <w:szCs w:val="21"/>
                      <w:highlight w:val="none"/>
                      <w:u w:val="none" w:color="auto"/>
                      <w:lang w:eastAsia="zh-CN"/>
                    </w:rPr>
                    <w:t>不涉及煤炭。</w:t>
                  </w:r>
                </w:p>
              </w:tc>
            </w:tr>
            <w:tr w14:paraId="2B1AD2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865" w:type="pct"/>
                  <w:vMerge w:val="continue"/>
                  <w:tcBorders>
                    <w:tl2br w:val="nil"/>
                    <w:tr2bl w:val="nil"/>
                  </w:tcBorders>
                  <w:vAlign w:val="center"/>
                </w:tcPr>
                <w:p w14:paraId="6B8BA8E2">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3E614E9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高污染燃料禁燃区内，禁止销售、燃用高污染燃料；禁止新建、扩建燃用高污染燃料的设施。</w:t>
                  </w:r>
                </w:p>
              </w:tc>
              <w:tc>
                <w:tcPr>
                  <w:tcW w:w="1629" w:type="pct"/>
                  <w:tcBorders>
                    <w:tl2br w:val="nil"/>
                    <w:tr2bl w:val="nil"/>
                  </w:tcBorders>
                  <w:vAlign w:val="center"/>
                </w:tcPr>
                <w:p w14:paraId="0224C7E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6AE139D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本项目不在高污染燃料禁燃区内</w:t>
                  </w:r>
                  <w:r>
                    <w:rPr>
                      <w:rFonts w:hint="eastAsia" w:ascii="Times New Roman" w:hAnsi="Times New Roman" w:eastAsia="宋体" w:cs="Times New Roman"/>
                      <w:b w:val="0"/>
                      <w:bCs w:val="0"/>
                      <w:color w:val="auto"/>
                      <w:kern w:val="0"/>
                      <w:szCs w:val="21"/>
                      <w:highlight w:val="none"/>
                      <w:u w:val="none" w:color="auto"/>
                      <w:lang w:eastAsia="zh-CN"/>
                    </w:rPr>
                    <w:t>。</w:t>
                  </w:r>
                </w:p>
              </w:tc>
            </w:tr>
            <w:tr w14:paraId="17C9D0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5000" w:type="pct"/>
                  <w:gridSpan w:val="3"/>
                  <w:tcBorders>
                    <w:tl2br w:val="nil"/>
                    <w:tr2bl w:val="nil"/>
                  </w:tcBorders>
                  <w:vAlign w:val="center"/>
                </w:tcPr>
                <w:p w14:paraId="7C1B6D49">
                  <w:pPr>
                    <w:pStyle w:val="45"/>
                    <w:adjustRightInd w:val="0"/>
                    <w:snapToGrid w:val="0"/>
                    <w:spacing w:beforeLines="0" w:after="0" w:afterAutospacing="0" w:line="240" w:lineRule="auto"/>
                    <w:jc w:val="left"/>
                    <w:rPr>
                      <w:rFonts w:hint="default" w:ascii="Times New Roman" w:hAnsi="Times New Roman" w:eastAsia="宋体" w:cs="Times New Roman"/>
                      <w:b w:val="0"/>
                      <w:bCs w:val="0"/>
                      <w:snapToGrid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二、重点流域总体准入要求</w:t>
                  </w:r>
                </w:p>
              </w:tc>
            </w:tr>
            <w:tr w14:paraId="6C0D01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865" w:type="pct"/>
                  <w:tcBorders>
                    <w:tl2br w:val="nil"/>
                    <w:tr2bl w:val="nil"/>
                  </w:tcBorders>
                  <w:vAlign w:val="center"/>
                </w:tcPr>
                <w:p w14:paraId="0E5A0A6B">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管控领域</w:t>
                  </w:r>
                </w:p>
              </w:tc>
              <w:tc>
                <w:tcPr>
                  <w:tcW w:w="2504" w:type="pct"/>
                  <w:tcBorders>
                    <w:tl2br w:val="nil"/>
                    <w:tr2bl w:val="nil"/>
                  </w:tcBorders>
                  <w:vAlign w:val="center"/>
                </w:tcPr>
                <w:p w14:paraId="6E4114A4">
                  <w:pPr>
                    <w:pStyle w:val="45"/>
                    <w:adjustRightInd w:val="0"/>
                    <w:snapToGrid w:val="0"/>
                    <w:spacing w:beforeLines="0" w:after="0" w:afterAutospacing="0" w:line="240" w:lineRule="auto"/>
                    <w:rPr>
                      <w:rFonts w:hint="eastAsia"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环境准入及管控要求</w:t>
                  </w:r>
                  <w:r>
                    <w:rPr>
                      <w:rFonts w:hint="eastAsia" w:ascii="Times New Roman" w:hAnsi="Times New Roman" w:eastAsia="宋体" w:cs="Times New Roman"/>
                      <w:b w:val="0"/>
                      <w:bCs w:val="0"/>
                      <w:color w:val="auto"/>
                      <w:kern w:val="0"/>
                      <w:szCs w:val="21"/>
                      <w:highlight w:val="none"/>
                      <w:u w:val="none" w:color="auto"/>
                      <w:lang w:eastAsia="zh-CN"/>
                    </w:rPr>
                    <w:t>（</w:t>
                  </w:r>
                  <w:r>
                    <w:rPr>
                      <w:rFonts w:hint="default" w:ascii="Times New Roman" w:hAnsi="Times New Roman" w:eastAsia="宋体" w:cs="Times New Roman"/>
                      <w:b w:val="0"/>
                      <w:bCs w:val="0"/>
                      <w:color w:val="auto"/>
                      <w:kern w:val="0"/>
                      <w:szCs w:val="21"/>
                      <w:highlight w:val="none"/>
                      <w:u w:val="none" w:color="auto"/>
                    </w:rPr>
                    <w:t>松花江流域</w:t>
                  </w:r>
                  <w:r>
                    <w:rPr>
                      <w:rFonts w:hint="eastAsia" w:ascii="Times New Roman" w:hAnsi="Times New Roman" w:eastAsia="宋体" w:cs="Times New Roman"/>
                      <w:b w:val="0"/>
                      <w:bCs w:val="0"/>
                      <w:color w:val="auto"/>
                      <w:kern w:val="0"/>
                      <w:szCs w:val="21"/>
                      <w:highlight w:val="none"/>
                      <w:u w:val="none" w:color="auto"/>
                      <w:lang w:eastAsia="zh-CN"/>
                    </w:rPr>
                    <w:t>）</w:t>
                  </w:r>
                </w:p>
              </w:tc>
              <w:tc>
                <w:tcPr>
                  <w:tcW w:w="1629" w:type="pct"/>
                  <w:tcBorders>
                    <w:tl2br w:val="nil"/>
                    <w:tr2bl w:val="nil"/>
                  </w:tcBorders>
                  <w:vAlign w:val="center"/>
                </w:tcPr>
                <w:p w14:paraId="45B7982F">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符合性分析</w:t>
                  </w:r>
                </w:p>
              </w:tc>
            </w:tr>
            <w:tr w14:paraId="573C7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65" w:type="pct"/>
                  <w:vMerge w:val="restart"/>
                  <w:tcBorders>
                    <w:tl2br w:val="nil"/>
                    <w:tr2bl w:val="nil"/>
                  </w:tcBorders>
                  <w:vAlign w:val="center"/>
                </w:tcPr>
                <w:p w14:paraId="4549D1A5">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空间布局约束</w:t>
                  </w:r>
                </w:p>
              </w:tc>
              <w:tc>
                <w:tcPr>
                  <w:tcW w:w="2504" w:type="pct"/>
                  <w:tcBorders>
                    <w:tl2br w:val="nil"/>
                    <w:tr2bl w:val="nil"/>
                  </w:tcBorders>
                  <w:vAlign w:val="center"/>
                </w:tcPr>
                <w:p w14:paraId="554DAC0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合理规划松花江干流沿岸的石油加工、化学原料和化学制品制造、医药制造、化学纤维制造、有色金属冶炼、制浆造纸、纺织印染等产业发展。</w:t>
                  </w:r>
                </w:p>
              </w:tc>
              <w:tc>
                <w:tcPr>
                  <w:tcW w:w="1629" w:type="pct"/>
                  <w:tcBorders>
                    <w:tl2br w:val="nil"/>
                    <w:tr2bl w:val="nil"/>
                  </w:tcBorders>
                </w:tcPr>
                <w:p w14:paraId="2D99340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069FE17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本项目不属于上述各类建设项目。</w:t>
                  </w:r>
                </w:p>
              </w:tc>
            </w:tr>
            <w:tr w14:paraId="4D8CD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65" w:type="pct"/>
                  <w:vMerge w:val="continue"/>
                  <w:tcBorders>
                    <w:tl2br w:val="nil"/>
                    <w:tr2bl w:val="nil"/>
                  </w:tcBorders>
                  <w:vAlign w:val="center"/>
                </w:tcPr>
                <w:p w14:paraId="63BB40D9">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3EE49E6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辉发河、饮马河、伊通河等重点支流及查干湖、松花湖等重要湿地要实施生态修复、合理建设生态隔离带。</w:t>
                  </w:r>
                </w:p>
              </w:tc>
              <w:tc>
                <w:tcPr>
                  <w:tcW w:w="1629" w:type="pct"/>
                  <w:tcBorders>
                    <w:tl2br w:val="nil"/>
                    <w:tr2bl w:val="nil"/>
                  </w:tcBorders>
                </w:tcPr>
                <w:p w14:paraId="360D69F2">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652934C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本项目不在辉发河、饮马河、伊通河等重点支流及查干湖、松花湖等重要湿地内。</w:t>
                  </w:r>
                </w:p>
              </w:tc>
            </w:tr>
            <w:tr w14:paraId="626709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65" w:type="pct"/>
                  <w:vMerge w:val="restart"/>
                  <w:tcBorders>
                    <w:tl2br w:val="nil"/>
                    <w:tr2bl w:val="nil"/>
                  </w:tcBorders>
                  <w:vAlign w:val="center"/>
                </w:tcPr>
                <w:p w14:paraId="53814BA5">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污染物排放管控</w:t>
                  </w:r>
                </w:p>
              </w:tc>
              <w:tc>
                <w:tcPr>
                  <w:tcW w:w="2504" w:type="pct"/>
                  <w:tcBorders>
                    <w:tl2br w:val="nil"/>
                    <w:tr2bl w:val="nil"/>
                  </w:tcBorders>
                  <w:vAlign w:val="center"/>
                </w:tcPr>
                <w:p w14:paraId="4CDB496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严格执行《吉林省松花江流域水污染防治条例》。</w:t>
                  </w:r>
                </w:p>
              </w:tc>
              <w:tc>
                <w:tcPr>
                  <w:tcW w:w="1629" w:type="pct"/>
                  <w:tcBorders>
                    <w:tl2br w:val="nil"/>
                    <w:tr2bl w:val="nil"/>
                  </w:tcBorders>
                </w:tcPr>
                <w:p w14:paraId="62D1153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16DAAE8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w:t>
                  </w:r>
                  <w:r>
                    <w:rPr>
                      <w:rFonts w:hint="eastAsia" w:ascii="Times New Roman" w:hAnsi="Times New Roman" w:eastAsia="宋体" w:cs="Times New Roman"/>
                      <w:b w:val="0"/>
                      <w:bCs w:val="0"/>
                      <w:color w:val="auto"/>
                      <w:kern w:val="0"/>
                      <w:szCs w:val="21"/>
                      <w:highlight w:val="none"/>
                      <w:u w:val="none" w:color="auto"/>
                      <w:lang w:val="en-US" w:eastAsia="zh-CN"/>
                    </w:rPr>
                    <w:t>无生产废水产生，生活废水排入防渗旱厕，</w:t>
                  </w:r>
                  <w:r>
                    <w:rPr>
                      <w:rFonts w:hint="default" w:ascii="Times New Roman" w:hAnsi="Times New Roman" w:eastAsia="宋体" w:cs="Times New Roman"/>
                      <w:b w:val="0"/>
                      <w:bCs w:val="0"/>
                      <w:color w:val="auto"/>
                      <w:kern w:val="0"/>
                      <w:szCs w:val="21"/>
                      <w:highlight w:val="none"/>
                      <w:u w:val="none" w:color="auto"/>
                      <w:lang w:eastAsia="zh-CN"/>
                    </w:rPr>
                    <w:t>定期</w:t>
                  </w:r>
                  <w:r>
                    <w:rPr>
                      <w:rFonts w:hint="eastAsia" w:ascii="Times New Roman" w:hAnsi="Times New Roman" w:eastAsia="宋体" w:cs="Times New Roman"/>
                      <w:b w:val="0"/>
                      <w:bCs w:val="0"/>
                      <w:color w:val="auto"/>
                      <w:kern w:val="0"/>
                      <w:szCs w:val="21"/>
                      <w:highlight w:val="none"/>
                      <w:u w:val="none" w:color="auto"/>
                      <w:lang w:val="en-US" w:eastAsia="zh-CN"/>
                    </w:rPr>
                    <w:t>清掏还田</w:t>
                  </w:r>
                  <w:r>
                    <w:rPr>
                      <w:rFonts w:hint="default" w:ascii="Times New Roman" w:hAnsi="Times New Roman" w:eastAsia="宋体" w:cs="Times New Roman"/>
                      <w:b w:val="0"/>
                      <w:bCs w:val="0"/>
                      <w:color w:val="auto"/>
                      <w:kern w:val="0"/>
                      <w:szCs w:val="21"/>
                      <w:highlight w:val="none"/>
                      <w:u w:val="none" w:color="auto"/>
                    </w:rPr>
                    <w:t>。</w:t>
                  </w:r>
                </w:p>
              </w:tc>
            </w:tr>
            <w:tr w14:paraId="69B3D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65" w:type="pct"/>
                  <w:vMerge w:val="continue"/>
                  <w:tcBorders>
                    <w:tl2br w:val="nil"/>
                    <w:tr2bl w:val="nil"/>
                  </w:tcBorders>
                  <w:vAlign w:val="center"/>
                </w:tcPr>
                <w:p w14:paraId="6ECA1D2B">
                  <w:pPr>
                    <w:pStyle w:val="45"/>
                    <w:adjustRightInd w:val="0"/>
                    <w:snapToGrid w:val="0"/>
                    <w:spacing w:beforeLines="0" w:after="0" w:afterAutospacing="0" w:line="240" w:lineRule="auto"/>
                    <w:jc w:val="left"/>
                    <w:rPr>
                      <w:rFonts w:hint="default" w:ascii="Times New Roman" w:hAnsi="Times New Roman" w:cs="Times New Roman"/>
                      <w:color w:val="auto"/>
                      <w:highlight w:val="none"/>
                      <w:u w:val="none" w:color="auto"/>
                    </w:rPr>
                  </w:pPr>
                </w:p>
              </w:tc>
              <w:tc>
                <w:tcPr>
                  <w:tcW w:w="2504" w:type="pct"/>
                  <w:tcBorders>
                    <w:tl2br w:val="nil"/>
                    <w:tr2bl w:val="nil"/>
                  </w:tcBorders>
                  <w:vAlign w:val="center"/>
                </w:tcPr>
                <w:p w14:paraId="5D56FF3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推进城镇污水处理设施及配套管网建设与改造，加快实施雨污分流。现有污水处理厂要适时进行扩容和建设再生水利用工程，因地制宜建设人工湿地尾水净化工程。</w:t>
                  </w:r>
                </w:p>
              </w:tc>
              <w:tc>
                <w:tcPr>
                  <w:tcW w:w="1629" w:type="pct"/>
                  <w:tcBorders>
                    <w:tl2br w:val="nil"/>
                    <w:tr2bl w:val="nil"/>
                  </w:tcBorders>
                  <w:vAlign w:val="top"/>
                </w:tcPr>
                <w:p w14:paraId="19B66D1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7832D67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本项目</w:t>
                  </w:r>
                  <w:r>
                    <w:rPr>
                      <w:rFonts w:hint="default" w:ascii="Times New Roman" w:hAnsi="Times New Roman" w:eastAsia="宋体" w:cs="Times New Roman"/>
                      <w:b w:val="0"/>
                      <w:bCs w:val="0"/>
                      <w:color w:val="auto"/>
                      <w:kern w:val="0"/>
                      <w:szCs w:val="21"/>
                      <w:highlight w:val="none"/>
                      <w:u w:val="none" w:color="auto"/>
                      <w:lang w:eastAsia="zh-CN"/>
                    </w:rPr>
                    <w:t>不涉及</w:t>
                  </w:r>
                  <w:r>
                    <w:rPr>
                      <w:rFonts w:hint="default" w:ascii="Times New Roman" w:hAnsi="Times New Roman" w:eastAsia="宋体" w:cs="Times New Roman"/>
                      <w:b w:val="0"/>
                      <w:bCs w:val="0"/>
                      <w:color w:val="auto"/>
                      <w:kern w:val="0"/>
                      <w:szCs w:val="21"/>
                      <w:highlight w:val="none"/>
                      <w:u w:val="none" w:color="auto"/>
                    </w:rPr>
                    <w:t>。</w:t>
                  </w:r>
                </w:p>
              </w:tc>
            </w:tr>
            <w:tr w14:paraId="681A3F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65" w:type="pct"/>
                  <w:vMerge w:val="continue"/>
                  <w:tcBorders>
                    <w:tl2br w:val="nil"/>
                    <w:tr2bl w:val="nil"/>
                  </w:tcBorders>
                  <w:vAlign w:val="center"/>
                </w:tcPr>
                <w:p w14:paraId="751D50F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297A2F3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加快推进乡镇和农村生活污水处理设施建设，推进农村生活污水治理。</w:t>
                  </w:r>
                </w:p>
              </w:tc>
              <w:tc>
                <w:tcPr>
                  <w:tcW w:w="1629" w:type="pct"/>
                  <w:tcBorders>
                    <w:tl2br w:val="nil"/>
                    <w:tr2bl w:val="nil"/>
                  </w:tcBorders>
                </w:tcPr>
                <w:p w14:paraId="74144DB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5410A2F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本项目生活污水排入</w:t>
                  </w:r>
                  <w:r>
                    <w:rPr>
                      <w:rFonts w:hint="eastAsia" w:ascii="Times New Roman" w:hAnsi="Times New Roman" w:eastAsia="宋体" w:cs="Times New Roman"/>
                      <w:b w:val="0"/>
                      <w:bCs w:val="0"/>
                      <w:color w:val="auto"/>
                      <w:kern w:val="0"/>
                      <w:szCs w:val="21"/>
                      <w:highlight w:val="none"/>
                      <w:u w:val="none" w:color="auto"/>
                      <w:lang w:val="en-US" w:eastAsia="zh-CN"/>
                    </w:rPr>
                    <w:t>防渗旱厕</w:t>
                  </w:r>
                  <w:r>
                    <w:rPr>
                      <w:rFonts w:hint="default" w:ascii="Times New Roman" w:hAnsi="Times New Roman" w:eastAsia="宋体" w:cs="Times New Roman"/>
                      <w:b w:val="0"/>
                      <w:bCs w:val="0"/>
                      <w:color w:val="auto"/>
                      <w:kern w:val="0"/>
                      <w:szCs w:val="21"/>
                      <w:highlight w:val="none"/>
                      <w:u w:val="none" w:color="auto"/>
                      <w:lang w:eastAsia="zh-CN"/>
                    </w:rPr>
                    <w:t>，定期</w:t>
                  </w:r>
                  <w:r>
                    <w:rPr>
                      <w:rFonts w:hint="eastAsia" w:ascii="Times New Roman" w:hAnsi="Times New Roman" w:eastAsia="宋体" w:cs="Times New Roman"/>
                      <w:b w:val="0"/>
                      <w:bCs w:val="0"/>
                      <w:color w:val="auto"/>
                      <w:kern w:val="0"/>
                      <w:szCs w:val="21"/>
                      <w:highlight w:val="none"/>
                      <w:u w:val="none" w:color="auto"/>
                      <w:lang w:val="en-US" w:eastAsia="zh-CN"/>
                    </w:rPr>
                    <w:t>清掏还田</w:t>
                  </w:r>
                  <w:r>
                    <w:rPr>
                      <w:rFonts w:hint="default" w:ascii="Times New Roman" w:hAnsi="Times New Roman" w:eastAsia="宋体" w:cs="Times New Roman"/>
                      <w:b w:val="0"/>
                      <w:bCs w:val="0"/>
                      <w:color w:val="auto"/>
                      <w:kern w:val="0"/>
                      <w:szCs w:val="21"/>
                      <w:highlight w:val="none"/>
                      <w:u w:val="none" w:color="auto"/>
                      <w:lang w:eastAsia="zh-CN"/>
                    </w:rPr>
                    <w:t>。</w:t>
                  </w:r>
                </w:p>
              </w:tc>
            </w:tr>
            <w:tr w14:paraId="5ED75D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65" w:type="pct"/>
                  <w:vMerge w:val="continue"/>
                  <w:tcBorders>
                    <w:tl2br w:val="nil"/>
                    <w:tr2bl w:val="nil"/>
                  </w:tcBorders>
                  <w:vAlign w:val="center"/>
                </w:tcPr>
                <w:p w14:paraId="2023510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730441F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加快入江（河、湖、库）排污口规范化建设，严控入江、河、湖、库污染源。</w:t>
                  </w:r>
                </w:p>
              </w:tc>
              <w:tc>
                <w:tcPr>
                  <w:tcW w:w="1629" w:type="pct"/>
                  <w:tcBorders>
                    <w:tl2br w:val="nil"/>
                    <w:tr2bl w:val="nil"/>
                  </w:tcBorders>
                  <w:vAlign w:val="top"/>
                </w:tcPr>
                <w:p w14:paraId="23F4532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4F3E441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本项目</w:t>
                  </w:r>
                  <w:r>
                    <w:rPr>
                      <w:rFonts w:hint="eastAsia" w:ascii="Times New Roman" w:hAnsi="Times New Roman" w:eastAsia="宋体" w:cs="Times New Roman"/>
                      <w:b w:val="0"/>
                      <w:bCs w:val="0"/>
                      <w:color w:val="auto"/>
                      <w:kern w:val="0"/>
                      <w:szCs w:val="21"/>
                      <w:highlight w:val="none"/>
                      <w:u w:val="none" w:color="auto"/>
                      <w:lang w:val="en-US" w:eastAsia="zh-CN"/>
                    </w:rPr>
                    <w:t>不涉及</w:t>
                  </w:r>
                  <w:r>
                    <w:rPr>
                      <w:rFonts w:hint="default" w:ascii="Times New Roman" w:hAnsi="Times New Roman" w:eastAsia="宋体" w:cs="Times New Roman"/>
                      <w:b w:val="0"/>
                      <w:bCs w:val="0"/>
                      <w:color w:val="auto"/>
                      <w:kern w:val="0"/>
                      <w:szCs w:val="21"/>
                      <w:highlight w:val="none"/>
                      <w:u w:val="none" w:color="auto"/>
                    </w:rPr>
                    <w:t>。</w:t>
                  </w:r>
                </w:p>
              </w:tc>
            </w:tr>
            <w:tr w14:paraId="4CE572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65" w:type="pct"/>
                  <w:vMerge w:val="continue"/>
                  <w:tcBorders>
                    <w:tl2br w:val="nil"/>
                    <w:tr2bl w:val="nil"/>
                  </w:tcBorders>
                  <w:vAlign w:val="center"/>
                </w:tcPr>
                <w:p w14:paraId="3620D83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3C1DDC5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严格控制农业面源污染，推广测土配方施肥和高效、低毒、低残留农药等减量控害技术和统防统治，控制化肥和农药使用量。</w:t>
                  </w:r>
                </w:p>
              </w:tc>
              <w:tc>
                <w:tcPr>
                  <w:tcW w:w="1629" w:type="pct"/>
                  <w:tcBorders>
                    <w:tl2br w:val="nil"/>
                    <w:tr2bl w:val="nil"/>
                  </w:tcBorders>
                </w:tcPr>
                <w:p w14:paraId="2EC8781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101818C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本项目不涉及。</w:t>
                  </w:r>
                </w:p>
              </w:tc>
            </w:tr>
            <w:tr w14:paraId="25D991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65" w:type="pct"/>
                  <w:vMerge w:val="continue"/>
                  <w:tcBorders>
                    <w:tl2br w:val="nil"/>
                    <w:tr2bl w:val="nil"/>
                  </w:tcBorders>
                  <w:vAlign w:val="center"/>
                </w:tcPr>
                <w:p w14:paraId="0A84FC3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66B0537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加大查干湖农田退水污染防治，推进生态护岸和湖滨生态隔离保护带建设，形成岸上、水面和水下“立体防护网”。</w:t>
                  </w:r>
                </w:p>
              </w:tc>
              <w:tc>
                <w:tcPr>
                  <w:tcW w:w="1629" w:type="pct"/>
                  <w:tcBorders>
                    <w:tl2br w:val="nil"/>
                    <w:tr2bl w:val="nil"/>
                  </w:tcBorders>
                </w:tcPr>
                <w:p w14:paraId="2E36A16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4C0006C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本项目不涉及。</w:t>
                  </w:r>
                </w:p>
              </w:tc>
            </w:tr>
            <w:tr w14:paraId="5FCA6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65" w:type="pct"/>
                  <w:vMerge w:val="continue"/>
                  <w:tcBorders>
                    <w:tl2br w:val="nil"/>
                    <w:tr2bl w:val="nil"/>
                  </w:tcBorders>
                  <w:vAlign w:val="center"/>
                </w:tcPr>
                <w:p w14:paraId="5613CEE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35F24D2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val="en-US" w:eastAsia="zh-CN"/>
                    </w:rPr>
                  </w:pPr>
                  <w:r>
                    <w:rPr>
                      <w:rFonts w:hint="default" w:ascii="Times New Roman" w:hAnsi="Times New Roman" w:eastAsia="宋体" w:cs="Times New Roman"/>
                      <w:b w:val="0"/>
                      <w:bCs w:val="0"/>
                      <w:color w:val="auto"/>
                      <w:kern w:val="0"/>
                      <w:szCs w:val="21"/>
                      <w:highlight w:val="none"/>
                      <w:u w:val="none" w:color="auto"/>
                    </w:rPr>
                    <w:t>开展规模化养殖场标准化建设，防治畜禽养殖污染。</w:t>
                  </w:r>
                </w:p>
              </w:tc>
              <w:tc>
                <w:tcPr>
                  <w:tcW w:w="1629" w:type="pct"/>
                  <w:tcBorders>
                    <w:tl2br w:val="nil"/>
                    <w:tr2bl w:val="nil"/>
                  </w:tcBorders>
                </w:tcPr>
                <w:p w14:paraId="104D4E6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71F0F3E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本项目不涉及。</w:t>
                  </w:r>
                </w:p>
              </w:tc>
            </w:tr>
            <w:tr w14:paraId="511660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65" w:type="pct"/>
                  <w:vMerge w:val="restart"/>
                  <w:tcBorders>
                    <w:tl2br w:val="nil"/>
                    <w:tr2bl w:val="nil"/>
                  </w:tcBorders>
                  <w:vAlign w:val="center"/>
                </w:tcPr>
                <w:p w14:paraId="5DF592CE">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环境风险防控</w:t>
                  </w:r>
                </w:p>
              </w:tc>
              <w:tc>
                <w:tcPr>
                  <w:tcW w:w="2504" w:type="pct"/>
                  <w:tcBorders>
                    <w:tl2br w:val="nil"/>
                    <w:tr2bl w:val="nil"/>
                  </w:tcBorders>
                  <w:vAlign w:val="center"/>
                </w:tcPr>
                <w:p w14:paraId="12B1D24F">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防范沿江环境风险，优化松花江干流和嫩江、辉发河、饮马河、伊通河等重点江河沿岸现有石油化工、制药、尾矿库等高风险行业空间布局，合理布局生产装置及危险化学品仓储等设施，做好突发水污染事件的风险防控。</w:t>
                  </w:r>
                </w:p>
              </w:tc>
              <w:tc>
                <w:tcPr>
                  <w:tcW w:w="1629" w:type="pct"/>
                  <w:tcBorders>
                    <w:tl2br w:val="nil"/>
                    <w:tr2bl w:val="nil"/>
                  </w:tcBorders>
                </w:tcPr>
                <w:p w14:paraId="04E6FAF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0497AE7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本项目不属于上述各类建设项目。</w:t>
                  </w:r>
                </w:p>
              </w:tc>
            </w:tr>
            <w:tr w14:paraId="1A9A0C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65" w:type="pct"/>
                  <w:vMerge w:val="continue"/>
                  <w:tcBorders>
                    <w:tl2br w:val="nil"/>
                    <w:tr2bl w:val="nil"/>
                  </w:tcBorders>
                  <w:vAlign w:val="center"/>
                </w:tcPr>
                <w:p w14:paraId="68246BD0">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1594A50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加强饮用水水源地环境风险管控，完善风险防控与应急能力建设和相关管理措施，保证饮用水水源水质达标和安全。</w:t>
                  </w:r>
                </w:p>
              </w:tc>
              <w:tc>
                <w:tcPr>
                  <w:tcW w:w="1629" w:type="pct"/>
                  <w:tcBorders>
                    <w:tl2br w:val="nil"/>
                    <w:tr2bl w:val="nil"/>
                  </w:tcBorders>
                </w:tcPr>
                <w:p w14:paraId="1D91CA4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3108586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本项目不涉及。</w:t>
                  </w:r>
                </w:p>
              </w:tc>
            </w:tr>
            <w:tr w14:paraId="691F4F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65" w:type="pct"/>
                  <w:vMerge w:val="restart"/>
                  <w:tcBorders>
                    <w:tl2br w:val="nil"/>
                    <w:tr2bl w:val="nil"/>
                  </w:tcBorders>
                  <w:vAlign w:val="center"/>
                </w:tcPr>
                <w:p w14:paraId="2EA33924">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资源利用要求</w:t>
                  </w:r>
                </w:p>
              </w:tc>
              <w:tc>
                <w:tcPr>
                  <w:tcW w:w="2504" w:type="pct"/>
                  <w:tcBorders>
                    <w:tl2br w:val="nil"/>
                    <w:tr2bl w:val="nil"/>
                  </w:tcBorders>
                  <w:vAlign w:val="center"/>
                </w:tcPr>
                <w:p w14:paraId="4E2AEB5F">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引导推动造纸、石油化工、玉米深加工等高耗水行业企业实施节水改造和污水深度处理回用，建设节水型企业。</w:t>
                  </w:r>
                </w:p>
              </w:tc>
              <w:tc>
                <w:tcPr>
                  <w:tcW w:w="1629" w:type="pct"/>
                  <w:tcBorders>
                    <w:tl2br w:val="nil"/>
                    <w:tr2bl w:val="nil"/>
                  </w:tcBorders>
                </w:tcPr>
                <w:p w14:paraId="1EB57F0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29636D5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本项目不属于上述高耗水行业。</w:t>
                  </w:r>
                </w:p>
              </w:tc>
            </w:tr>
            <w:tr w14:paraId="26E5FC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65" w:type="pct"/>
                  <w:vMerge w:val="continue"/>
                  <w:tcBorders>
                    <w:tl2br w:val="nil"/>
                    <w:tr2bl w:val="nil"/>
                  </w:tcBorders>
                  <w:vAlign w:val="center"/>
                </w:tcPr>
                <w:p w14:paraId="0C2CE562">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1D64F2D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统筹流域来水、水利工程与任务，</w:t>
                  </w:r>
                  <w:r>
                    <w:rPr>
                      <w:rFonts w:hint="eastAsia" w:ascii="Times New Roman" w:hAnsi="Times New Roman" w:eastAsia="宋体" w:cs="Times New Roman"/>
                      <w:b w:val="0"/>
                      <w:bCs w:val="0"/>
                      <w:color w:val="auto"/>
                      <w:kern w:val="0"/>
                      <w:szCs w:val="21"/>
                      <w:highlight w:val="none"/>
                      <w:u w:val="none" w:color="auto"/>
                      <w:lang w:eastAsia="zh-CN"/>
                    </w:rPr>
                    <w:t>因地制宜</w:t>
                  </w:r>
                  <w:r>
                    <w:rPr>
                      <w:rFonts w:hint="default" w:ascii="Times New Roman" w:hAnsi="Times New Roman" w:eastAsia="宋体" w:cs="Times New Roman"/>
                      <w:b w:val="0"/>
                      <w:bCs w:val="0"/>
                      <w:color w:val="auto"/>
                      <w:kern w:val="0"/>
                      <w:szCs w:val="21"/>
                      <w:highlight w:val="none"/>
                      <w:u w:val="none" w:color="auto"/>
                    </w:rPr>
                    <w:t>实施生态补水。按照流域生态流量调控方案，统筹调控新立城、石头口门水库及辉发河上游蓄水、引水等水利工程供水能力和供水任务，保障饮马河、伊通河、辉发河等重点河流生态流量。</w:t>
                  </w:r>
                </w:p>
              </w:tc>
              <w:tc>
                <w:tcPr>
                  <w:tcW w:w="1629" w:type="pct"/>
                  <w:tcBorders>
                    <w:tl2br w:val="nil"/>
                    <w:tr2bl w:val="nil"/>
                  </w:tcBorders>
                </w:tcPr>
                <w:p w14:paraId="4C159CB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6B6DF8C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本项目不涉及。</w:t>
                  </w:r>
                </w:p>
              </w:tc>
            </w:tr>
            <w:tr w14:paraId="62275A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865" w:type="pct"/>
                  <w:vMerge w:val="continue"/>
                  <w:tcBorders>
                    <w:tl2br w:val="nil"/>
                    <w:tr2bl w:val="nil"/>
                  </w:tcBorders>
                  <w:vAlign w:val="center"/>
                </w:tcPr>
                <w:p w14:paraId="12A14098">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p>
              </w:tc>
              <w:tc>
                <w:tcPr>
                  <w:tcW w:w="2504" w:type="pct"/>
                  <w:tcBorders>
                    <w:tl2br w:val="nil"/>
                    <w:tr2bl w:val="nil"/>
                  </w:tcBorders>
                  <w:vAlign w:val="center"/>
                </w:tcPr>
                <w:p w14:paraId="312CE8AD">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落实最严格水资源管理制度，严控河湖水资源开发强度。</w:t>
                  </w:r>
                </w:p>
              </w:tc>
              <w:tc>
                <w:tcPr>
                  <w:tcW w:w="1629" w:type="pct"/>
                  <w:tcBorders>
                    <w:tl2br w:val="nil"/>
                    <w:tr2bl w:val="nil"/>
                  </w:tcBorders>
                </w:tcPr>
                <w:p w14:paraId="5A0AB93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3EEC02D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本项目不涉及河湖水资源开发。</w:t>
                  </w:r>
                </w:p>
              </w:tc>
            </w:tr>
          </w:tbl>
          <w:p w14:paraId="2A348963">
            <w:pPr>
              <w:pStyle w:val="5"/>
              <w:adjustRightInd w:val="0"/>
              <w:snapToGrid w:val="0"/>
              <w:spacing w:line="360" w:lineRule="auto"/>
              <w:jc w:val="center"/>
              <w:rPr>
                <w:rFonts w:hint="default" w:ascii="Times New Roman" w:hAnsi="Times New Roman" w:cs="Times New Roman"/>
                <w:b/>
                <w:bCs/>
                <w:color w:val="auto"/>
                <w:sz w:val="24"/>
                <w:szCs w:val="24"/>
                <w:highlight w:val="none"/>
                <w:u w:val="none" w:color="auto"/>
              </w:rPr>
            </w:pPr>
            <w:r>
              <w:rPr>
                <w:rFonts w:hint="default" w:ascii="Times New Roman" w:hAnsi="Times New Roman" w:cs="Times New Roman"/>
                <w:b/>
                <w:bCs/>
                <w:color w:val="auto"/>
                <w:sz w:val="24"/>
                <w:szCs w:val="24"/>
                <w:highlight w:val="none"/>
                <w:u w:val="none" w:color="auto"/>
              </w:rPr>
              <w:t>表</w:t>
            </w:r>
            <w:r>
              <w:rPr>
                <w:rFonts w:hint="default" w:ascii="Times New Roman" w:hAnsi="Times New Roman" w:cs="Times New Roman"/>
                <w:b/>
                <w:bCs/>
                <w:color w:val="auto"/>
                <w:sz w:val="24"/>
                <w:szCs w:val="24"/>
                <w:highlight w:val="none"/>
                <w:u w:val="none" w:color="auto"/>
                <w:lang w:val="en-US" w:eastAsia="zh-CN"/>
              </w:rPr>
              <w:t>1-</w:t>
            </w:r>
            <w:r>
              <w:rPr>
                <w:rFonts w:hint="default" w:ascii="Times New Roman" w:hAnsi="Times New Roman" w:cs="Times New Roman"/>
                <w:b/>
                <w:bCs/>
                <w:color w:val="auto"/>
                <w:sz w:val="24"/>
                <w:szCs w:val="24"/>
                <w:highlight w:val="none"/>
                <w:u w:val="none" w:color="auto"/>
              </w:rPr>
              <w:t>2与吉林市生态环境总体准入要求符合性分析</w:t>
            </w:r>
          </w:p>
          <w:tbl>
            <w:tblPr>
              <w:tblStyle w:val="28"/>
              <w:tblW w:w="755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0"/>
              <w:gridCol w:w="767"/>
              <w:gridCol w:w="3093"/>
              <w:gridCol w:w="1"/>
              <w:gridCol w:w="56"/>
              <w:gridCol w:w="2511"/>
              <w:gridCol w:w="1"/>
              <w:gridCol w:w="4"/>
              <w:gridCol w:w="85"/>
            </w:tblGrid>
            <w:tr w14:paraId="6AEB15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55" w:type="pct"/>
                <w:trHeight w:val="90" w:hRule="atLeast"/>
                <w:jc w:val="center"/>
              </w:trPr>
              <w:tc>
                <w:tcPr>
                  <w:tcW w:w="4944" w:type="pct"/>
                  <w:gridSpan w:val="9"/>
                  <w:tcBorders>
                    <w:tl2br w:val="nil"/>
                    <w:tr2bl w:val="nil"/>
                  </w:tcBorders>
                  <w:vAlign w:val="center"/>
                </w:tcPr>
                <w:p w14:paraId="7FF68E4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一、吉林市生态环境总体准入要求</w:t>
                  </w:r>
                </w:p>
              </w:tc>
            </w:tr>
            <w:tr w14:paraId="5442A7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55" w:type="pct"/>
                <w:trHeight w:val="90" w:hRule="atLeast"/>
                <w:jc w:val="center"/>
              </w:trPr>
              <w:tc>
                <w:tcPr>
                  <w:tcW w:w="677" w:type="pct"/>
                  <w:tcBorders>
                    <w:tl2br w:val="nil"/>
                    <w:tr2bl w:val="nil"/>
                  </w:tcBorders>
                  <w:vAlign w:val="center"/>
                </w:tcPr>
                <w:p w14:paraId="3D6354DC">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管控领域</w:t>
                  </w:r>
                </w:p>
              </w:tc>
              <w:tc>
                <w:tcPr>
                  <w:tcW w:w="2564" w:type="pct"/>
                  <w:gridSpan w:val="4"/>
                  <w:tcBorders>
                    <w:tl2br w:val="nil"/>
                    <w:tr2bl w:val="nil"/>
                  </w:tcBorders>
                  <w:vAlign w:val="center"/>
                </w:tcPr>
                <w:p w14:paraId="7A5CABE8">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环境准入及管控要求</w:t>
                  </w:r>
                </w:p>
              </w:tc>
              <w:tc>
                <w:tcPr>
                  <w:tcW w:w="1701" w:type="pct"/>
                  <w:gridSpan w:val="3"/>
                  <w:tcBorders>
                    <w:tl2br w:val="nil"/>
                    <w:tr2bl w:val="nil"/>
                  </w:tcBorders>
                  <w:vAlign w:val="center"/>
                </w:tcPr>
                <w:p w14:paraId="4601562E">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符合性分析</w:t>
                  </w:r>
                </w:p>
              </w:tc>
            </w:tr>
            <w:tr w14:paraId="4187B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55" w:type="pct"/>
                <w:trHeight w:val="1446" w:hRule="atLeast"/>
                <w:jc w:val="center"/>
              </w:trPr>
              <w:tc>
                <w:tcPr>
                  <w:tcW w:w="677" w:type="pct"/>
                  <w:tcBorders>
                    <w:tl2br w:val="nil"/>
                    <w:tr2bl w:val="nil"/>
                  </w:tcBorders>
                  <w:vAlign w:val="center"/>
                </w:tcPr>
                <w:p w14:paraId="3B3FBDA6">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空间布局约束</w:t>
                  </w:r>
                </w:p>
              </w:tc>
              <w:tc>
                <w:tcPr>
                  <w:tcW w:w="2564" w:type="pct"/>
                  <w:gridSpan w:val="4"/>
                  <w:tcBorders>
                    <w:tl2br w:val="nil"/>
                    <w:tr2bl w:val="nil"/>
                  </w:tcBorders>
                  <w:vAlign w:val="center"/>
                </w:tcPr>
                <w:p w14:paraId="32FCADF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结合产业结构调整和城市转型升级，研究解决结构性污染问题，有计划地推进重污染企业退城入园。</w:t>
                  </w:r>
                </w:p>
              </w:tc>
              <w:tc>
                <w:tcPr>
                  <w:tcW w:w="1701" w:type="pct"/>
                  <w:gridSpan w:val="3"/>
                  <w:tcBorders>
                    <w:tl2br w:val="nil"/>
                    <w:tr2bl w:val="nil"/>
                  </w:tcBorders>
                  <w:vAlign w:val="center"/>
                </w:tcPr>
                <w:p w14:paraId="25AEF65A">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Cs w:val="21"/>
                      <w:highlight w:val="none"/>
                      <w:u w:val="none" w:color="auto"/>
                      <w:lang w:val="en-US" w:eastAsia="zh-CN"/>
                    </w:rPr>
                  </w:pPr>
                  <w:r>
                    <w:rPr>
                      <w:rFonts w:hint="eastAsia" w:ascii="Times New Roman" w:hAnsi="Times New Roman" w:eastAsia="宋体" w:cs="Times New Roman"/>
                      <w:b w:val="0"/>
                      <w:bCs w:val="0"/>
                      <w:color w:val="auto"/>
                      <w:kern w:val="0"/>
                      <w:szCs w:val="21"/>
                      <w:highlight w:val="none"/>
                      <w:u w:val="none" w:color="auto"/>
                      <w:lang w:val="en-US" w:eastAsia="zh-CN"/>
                    </w:rPr>
                    <w:t>符合。</w:t>
                  </w:r>
                </w:p>
                <w:p w14:paraId="27054A49">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根据《产业结构调整指导目录</w:t>
                  </w:r>
                  <w:r>
                    <w:rPr>
                      <w:rFonts w:hint="eastAsia" w:ascii="Times New Roman" w:hAnsi="Times New Roman" w:eastAsia="宋体" w:cs="Times New Roman"/>
                      <w:b w:val="0"/>
                      <w:bCs w:val="0"/>
                      <w:color w:val="auto"/>
                      <w:kern w:val="0"/>
                      <w:szCs w:val="21"/>
                      <w:highlight w:val="none"/>
                      <w:u w:val="none" w:color="auto"/>
                    </w:rPr>
                    <w:t>（</w:t>
                  </w:r>
                  <w:r>
                    <w:rPr>
                      <w:rFonts w:hint="default" w:ascii="Times New Roman" w:hAnsi="Times New Roman" w:eastAsia="宋体" w:cs="Times New Roman"/>
                      <w:b w:val="0"/>
                      <w:bCs w:val="0"/>
                      <w:color w:val="auto"/>
                      <w:kern w:val="0"/>
                      <w:szCs w:val="21"/>
                      <w:highlight w:val="none"/>
                      <w:u w:val="none" w:color="auto"/>
                    </w:rPr>
                    <w:t>20</w:t>
                  </w:r>
                  <w:r>
                    <w:rPr>
                      <w:rFonts w:hint="eastAsia" w:ascii="Times New Roman" w:hAnsi="Times New Roman" w:eastAsia="宋体" w:cs="Times New Roman"/>
                      <w:b w:val="0"/>
                      <w:bCs w:val="0"/>
                      <w:color w:val="auto"/>
                      <w:kern w:val="0"/>
                      <w:szCs w:val="21"/>
                      <w:highlight w:val="none"/>
                      <w:u w:val="none" w:color="auto"/>
                    </w:rPr>
                    <w:t>24</w:t>
                  </w:r>
                  <w:r>
                    <w:rPr>
                      <w:rFonts w:hint="default" w:ascii="Times New Roman" w:hAnsi="Times New Roman" w:eastAsia="宋体" w:cs="Times New Roman"/>
                      <w:b w:val="0"/>
                      <w:bCs w:val="0"/>
                      <w:color w:val="auto"/>
                      <w:kern w:val="0"/>
                      <w:szCs w:val="21"/>
                      <w:highlight w:val="none"/>
                      <w:u w:val="none" w:color="auto"/>
                    </w:rPr>
                    <w:t>年本</w:t>
                  </w:r>
                  <w:r>
                    <w:rPr>
                      <w:rFonts w:hint="eastAsia" w:ascii="Times New Roman" w:hAnsi="Times New Roman" w:eastAsia="宋体" w:cs="Times New Roman"/>
                      <w:b w:val="0"/>
                      <w:bCs w:val="0"/>
                      <w:color w:val="auto"/>
                      <w:kern w:val="0"/>
                      <w:szCs w:val="21"/>
                      <w:highlight w:val="none"/>
                      <w:u w:val="none" w:color="auto"/>
                    </w:rPr>
                    <w:t>）</w:t>
                  </w:r>
                  <w:r>
                    <w:rPr>
                      <w:rFonts w:hint="default" w:ascii="Times New Roman" w:hAnsi="Times New Roman" w:eastAsia="宋体" w:cs="Times New Roman"/>
                      <w:b w:val="0"/>
                      <w:bCs w:val="0"/>
                      <w:color w:val="auto"/>
                      <w:kern w:val="0"/>
                      <w:szCs w:val="21"/>
                      <w:highlight w:val="none"/>
                      <w:u w:val="none" w:color="auto"/>
                    </w:rPr>
                    <w:t>》</w:t>
                  </w:r>
                  <w:r>
                    <w:rPr>
                      <w:rFonts w:hint="eastAsia" w:ascii="Times New Roman" w:hAnsi="Times New Roman" w:eastAsia="宋体" w:cs="Times New Roman"/>
                      <w:b w:val="0"/>
                      <w:bCs w:val="0"/>
                      <w:color w:val="auto"/>
                      <w:kern w:val="0"/>
                      <w:szCs w:val="21"/>
                      <w:highlight w:val="none"/>
                      <w:u w:val="none" w:color="auto"/>
                    </w:rPr>
                    <w:t>中的相关规定</w:t>
                  </w:r>
                  <w:r>
                    <w:rPr>
                      <w:rFonts w:hint="default" w:ascii="Times New Roman" w:hAnsi="Times New Roman" w:eastAsia="宋体" w:cs="Times New Roman"/>
                      <w:b w:val="0"/>
                      <w:bCs w:val="0"/>
                      <w:color w:val="auto"/>
                      <w:kern w:val="0"/>
                      <w:szCs w:val="21"/>
                      <w:highlight w:val="none"/>
                      <w:u w:val="none" w:color="auto"/>
                    </w:rPr>
                    <w:t>，</w:t>
                  </w:r>
                  <w:r>
                    <w:rPr>
                      <w:rFonts w:hint="eastAsia" w:ascii="Times New Roman" w:hAnsi="Times New Roman" w:eastAsia="宋体" w:cs="Times New Roman"/>
                      <w:b w:val="0"/>
                      <w:bCs w:val="0"/>
                      <w:color w:val="auto"/>
                      <w:kern w:val="0"/>
                      <w:szCs w:val="21"/>
                      <w:highlight w:val="none"/>
                      <w:u w:val="none" w:color="auto"/>
                    </w:rPr>
                    <w:t>本项目</w:t>
                  </w:r>
                  <w:r>
                    <w:rPr>
                      <w:rFonts w:hint="eastAsia" w:ascii="Times New Roman" w:hAnsi="Times New Roman" w:eastAsia="宋体" w:cs="Times New Roman"/>
                      <w:b w:val="0"/>
                      <w:bCs w:val="0"/>
                      <w:color w:val="auto"/>
                      <w:kern w:val="0"/>
                      <w:szCs w:val="21"/>
                      <w:highlight w:val="none"/>
                      <w:u w:val="none" w:color="auto"/>
                      <w:lang w:val="en-US" w:eastAsia="zh-CN"/>
                    </w:rPr>
                    <w:t>不属于</w:t>
                  </w:r>
                  <w:r>
                    <w:rPr>
                      <w:rFonts w:hint="eastAsia" w:ascii="Times New Roman" w:hAnsi="Times New Roman" w:eastAsia="宋体" w:cs="Times New Roman"/>
                      <w:b w:val="0"/>
                      <w:bCs w:val="0"/>
                      <w:color w:val="auto"/>
                      <w:kern w:val="0"/>
                      <w:szCs w:val="21"/>
                      <w:highlight w:val="none"/>
                      <w:u w:val="none" w:color="auto"/>
                    </w:rPr>
                    <w:t>鼓励类、限制类及淘汰类范畴，为允许类，因此</w:t>
                  </w:r>
                  <w:r>
                    <w:rPr>
                      <w:rFonts w:hint="default" w:ascii="Times New Roman" w:hAnsi="Times New Roman" w:eastAsia="宋体" w:cs="Times New Roman"/>
                      <w:b w:val="0"/>
                      <w:bCs w:val="0"/>
                      <w:color w:val="auto"/>
                      <w:kern w:val="0"/>
                      <w:szCs w:val="21"/>
                      <w:highlight w:val="none"/>
                      <w:u w:val="none" w:color="auto"/>
                    </w:rPr>
                    <w:t>符合产业政策</w:t>
                  </w:r>
                  <w:r>
                    <w:rPr>
                      <w:rFonts w:hint="eastAsia" w:ascii="Times New Roman" w:hAnsi="Times New Roman" w:eastAsia="宋体" w:cs="Times New Roman"/>
                      <w:b w:val="0"/>
                      <w:bCs w:val="0"/>
                      <w:color w:val="auto"/>
                      <w:kern w:val="0"/>
                      <w:szCs w:val="21"/>
                      <w:highlight w:val="none"/>
                      <w:u w:val="none" w:color="auto"/>
                    </w:rPr>
                    <w:t>；且本项目未被列入《市场准入负面清单》（现行）禁止准入类事项。</w:t>
                  </w:r>
                </w:p>
                <w:p w14:paraId="3CD65F7D">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eastAsia" w:ascii="Times New Roman" w:hAnsi="Times New Roman" w:cs="Times New Roman"/>
                      <w:b w:val="0"/>
                      <w:bCs w:val="0"/>
                      <w:color w:val="auto"/>
                      <w:kern w:val="2"/>
                      <w:sz w:val="21"/>
                      <w:szCs w:val="21"/>
                      <w:highlight w:val="none"/>
                      <w:u w:val="none" w:color="auto"/>
                    </w:rPr>
                    <w:t>本项目严格遵守吉林市生态准入的空间布局约束要求</w:t>
                  </w:r>
                  <w:r>
                    <w:rPr>
                      <w:rFonts w:hint="eastAsia" w:ascii="Times New Roman" w:hAnsi="Times New Roman" w:eastAsia="宋体" w:cs="Times New Roman"/>
                      <w:b w:val="0"/>
                      <w:bCs w:val="0"/>
                      <w:color w:val="auto"/>
                      <w:kern w:val="2"/>
                      <w:sz w:val="21"/>
                      <w:szCs w:val="21"/>
                      <w:highlight w:val="none"/>
                      <w:u w:val="none" w:color="auto"/>
                      <w:lang w:eastAsia="zh-CN"/>
                    </w:rPr>
                    <w:t>。</w:t>
                  </w:r>
                </w:p>
              </w:tc>
            </w:tr>
            <w:tr w14:paraId="4212C9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3"/>
                <w:wAfter w:w="55" w:type="pct"/>
                <w:trHeight w:val="738" w:hRule="atLeast"/>
                <w:jc w:val="center"/>
              </w:trPr>
              <w:tc>
                <w:tcPr>
                  <w:tcW w:w="677" w:type="pct"/>
                  <w:vMerge w:val="restart"/>
                  <w:tcBorders>
                    <w:tl2br w:val="nil"/>
                    <w:tr2bl w:val="nil"/>
                  </w:tcBorders>
                  <w:vAlign w:val="center"/>
                </w:tcPr>
                <w:p w14:paraId="1CE33B67">
                  <w:pPr>
                    <w:pStyle w:val="45"/>
                    <w:adjustRightInd w:val="0"/>
                    <w:snapToGrid w:val="0"/>
                    <w:spacing w:before="120" w:after="0" w:line="240" w:lineRule="auto"/>
                    <w:rPr>
                      <w:rFonts w:hint="default" w:ascii="Times New Roman" w:hAnsi="Times New Roman" w:eastAsia="宋体" w:cs="Times New Roman"/>
                      <w:b w:val="0"/>
                      <w:bCs w:val="0"/>
                      <w:color w:val="auto"/>
                      <w:sz w:val="21"/>
                      <w:szCs w:val="21"/>
                      <w:highlight w:val="none"/>
                      <w:u w:val="none" w:color="auto"/>
                    </w:rPr>
                  </w:pPr>
                  <w:r>
                    <w:rPr>
                      <w:rFonts w:hint="default" w:ascii="Times New Roman" w:hAnsi="Times New Roman" w:eastAsia="宋体" w:cs="Times New Roman"/>
                      <w:b w:val="0"/>
                      <w:bCs w:val="0"/>
                      <w:color w:val="auto"/>
                      <w:sz w:val="21"/>
                      <w:szCs w:val="21"/>
                      <w:highlight w:val="none"/>
                      <w:u w:val="none" w:color="auto"/>
                    </w:rPr>
                    <w:t>污染物排放管控</w:t>
                  </w:r>
                </w:p>
              </w:tc>
              <w:tc>
                <w:tcPr>
                  <w:tcW w:w="515" w:type="pct"/>
                  <w:gridSpan w:val="2"/>
                  <w:vMerge w:val="restart"/>
                  <w:tcBorders>
                    <w:tl2br w:val="nil"/>
                    <w:tr2bl w:val="nil"/>
                  </w:tcBorders>
                </w:tcPr>
                <w:p w14:paraId="13A9FCD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环境</w:t>
                  </w:r>
                </w:p>
                <w:p w14:paraId="38BCCAC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质量目标</w:t>
                  </w:r>
                </w:p>
              </w:tc>
              <w:tc>
                <w:tcPr>
                  <w:tcW w:w="2049" w:type="pct"/>
                  <w:tcBorders>
                    <w:tl2br w:val="nil"/>
                    <w:tr2bl w:val="nil"/>
                  </w:tcBorders>
                  <w:vAlign w:val="center"/>
                </w:tcPr>
                <w:p w14:paraId="629230D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大气环境质量持续改善。2025年全市PM2.5年均浓度达到30微克/立方米，优良天数比例达到90%；2035年继续改善（沙尘影响不计入）。</w:t>
                  </w:r>
                </w:p>
              </w:tc>
              <w:tc>
                <w:tcPr>
                  <w:tcW w:w="1701" w:type="pct"/>
                  <w:gridSpan w:val="3"/>
                  <w:tcBorders>
                    <w:tl2br w:val="nil"/>
                    <w:tr2bl w:val="nil"/>
                  </w:tcBorders>
                </w:tcPr>
                <w:p w14:paraId="43E74FC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符合。</w:t>
                  </w:r>
                </w:p>
                <w:p w14:paraId="7BBB255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本项目废气均采取有效措施，达标排放。</w:t>
                  </w:r>
                </w:p>
              </w:tc>
            </w:tr>
            <w:tr w14:paraId="136F2E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3"/>
                <w:wAfter w:w="55" w:type="pct"/>
                <w:trHeight w:val="906" w:hRule="atLeast"/>
                <w:jc w:val="center"/>
              </w:trPr>
              <w:tc>
                <w:tcPr>
                  <w:tcW w:w="677" w:type="pct"/>
                  <w:vMerge w:val="continue"/>
                  <w:tcBorders>
                    <w:tl2br w:val="nil"/>
                    <w:tr2bl w:val="nil"/>
                  </w:tcBorders>
                  <w:vAlign w:val="center"/>
                </w:tcPr>
                <w:p w14:paraId="3D3EAC07">
                  <w:pPr>
                    <w:pStyle w:val="45"/>
                    <w:adjustRightInd w:val="0"/>
                    <w:snapToGrid w:val="0"/>
                    <w:spacing w:before="120" w:after="0" w:line="240" w:lineRule="auto"/>
                    <w:rPr>
                      <w:rFonts w:hint="default" w:ascii="Times New Roman" w:hAnsi="Times New Roman" w:eastAsia="宋体" w:cs="Times New Roman"/>
                      <w:b w:val="0"/>
                      <w:bCs w:val="0"/>
                      <w:color w:val="auto"/>
                      <w:sz w:val="21"/>
                      <w:szCs w:val="21"/>
                      <w:highlight w:val="none"/>
                      <w:u w:val="none" w:color="auto"/>
                    </w:rPr>
                  </w:pPr>
                </w:p>
              </w:tc>
              <w:tc>
                <w:tcPr>
                  <w:tcW w:w="515" w:type="pct"/>
                  <w:gridSpan w:val="2"/>
                  <w:vMerge w:val="continue"/>
                  <w:tcBorders>
                    <w:tl2br w:val="nil"/>
                    <w:tr2bl w:val="nil"/>
                  </w:tcBorders>
                </w:tcPr>
                <w:p w14:paraId="61DD1CA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2049" w:type="pct"/>
                  <w:tcBorders>
                    <w:tl2br w:val="nil"/>
                    <w:tr2bl w:val="nil"/>
                  </w:tcBorders>
                  <w:vAlign w:val="center"/>
                </w:tcPr>
                <w:p w14:paraId="0AB33D8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水环境质量持续改善。2025年，全市水环境质量全面改善，劣Ⅴ类水体全面消除，国控考核断面地表水质量达到或优于Ⅲ类水体比例达到94.7%以上，用水效率明显提高，生态流量得到基本保障，水污染治理水平及水环境管理水平进一步提高，主要水污染物排放总量持续削减。县级及以上城市集中式饮用水水源地水质达到或优于Ⅲ类，流域水环境保护水平与全面建成小康社会目标相适应。</w:t>
                  </w:r>
                </w:p>
              </w:tc>
              <w:tc>
                <w:tcPr>
                  <w:tcW w:w="1701" w:type="pct"/>
                  <w:gridSpan w:val="3"/>
                  <w:tcBorders>
                    <w:tl2br w:val="nil"/>
                    <w:tr2bl w:val="nil"/>
                  </w:tcBorders>
                </w:tcPr>
                <w:p w14:paraId="5B28158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符合。</w:t>
                  </w:r>
                </w:p>
                <w:p w14:paraId="6C9536D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本项目不新增外排废水，项目所在区域主要地表水体</w:t>
                  </w:r>
                  <w:r>
                    <w:rPr>
                      <w:rFonts w:hint="eastAsia" w:ascii="Times New Roman" w:hAnsi="Times New Roman" w:eastAsia="宋体" w:cs="Times New Roman"/>
                      <w:b w:val="0"/>
                      <w:bCs w:val="0"/>
                      <w:color w:val="auto"/>
                      <w:kern w:val="0"/>
                      <w:sz w:val="21"/>
                      <w:szCs w:val="21"/>
                      <w:highlight w:val="none"/>
                      <w:u w:val="none" w:color="auto"/>
                      <w:lang w:val="en-US" w:eastAsia="zh-CN"/>
                    </w:rPr>
                    <w:t>岔路河</w:t>
                  </w:r>
                  <w:r>
                    <w:rPr>
                      <w:rFonts w:hint="default" w:ascii="Times New Roman" w:hAnsi="Times New Roman" w:eastAsia="宋体" w:cs="Times New Roman"/>
                      <w:b w:val="0"/>
                      <w:bCs w:val="0"/>
                      <w:color w:val="auto"/>
                      <w:kern w:val="0"/>
                      <w:sz w:val="21"/>
                      <w:szCs w:val="21"/>
                      <w:highlight w:val="none"/>
                      <w:u w:val="none" w:color="auto"/>
                      <w:lang w:val="en-US" w:eastAsia="zh-CN"/>
                    </w:rPr>
                    <w:t>水质可满足相应水质目标。</w:t>
                  </w:r>
                </w:p>
              </w:tc>
            </w:tr>
            <w:tr w14:paraId="5C34FF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3"/>
                <w:wAfter w:w="55" w:type="pct"/>
                <w:trHeight w:val="848" w:hRule="atLeast"/>
                <w:jc w:val="center"/>
              </w:trPr>
              <w:tc>
                <w:tcPr>
                  <w:tcW w:w="677" w:type="pct"/>
                  <w:vMerge w:val="continue"/>
                  <w:tcBorders>
                    <w:tl2br w:val="nil"/>
                    <w:tr2bl w:val="nil"/>
                  </w:tcBorders>
                  <w:vAlign w:val="center"/>
                </w:tcPr>
                <w:p w14:paraId="4CCE8DE7">
                  <w:pPr>
                    <w:pStyle w:val="45"/>
                    <w:adjustRightInd w:val="0"/>
                    <w:snapToGrid w:val="0"/>
                    <w:spacing w:before="120" w:after="0" w:line="240" w:lineRule="auto"/>
                    <w:rPr>
                      <w:rFonts w:hint="default" w:ascii="Times New Roman" w:hAnsi="Times New Roman" w:eastAsia="宋体" w:cs="Times New Roman"/>
                      <w:b w:val="0"/>
                      <w:bCs w:val="0"/>
                      <w:color w:val="auto"/>
                      <w:sz w:val="21"/>
                      <w:szCs w:val="21"/>
                      <w:highlight w:val="none"/>
                      <w:u w:val="none" w:color="auto"/>
                    </w:rPr>
                  </w:pPr>
                </w:p>
              </w:tc>
              <w:tc>
                <w:tcPr>
                  <w:tcW w:w="515" w:type="pct"/>
                  <w:gridSpan w:val="2"/>
                  <w:vMerge w:val="restart"/>
                  <w:tcBorders>
                    <w:tl2br w:val="nil"/>
                    <w:tr2bl w:val="nil"/>
                  </w:tcBorders>
                </w:tcPr>
                <w:p w14:paraId="1A61467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污染物</w:t>
                  </w:r>
                </w:p>
                <w:p w14:paraId="1B10097D">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控制要求</w:t>
                  </w:r>
                </w:p>
              </w:tc>
              <w:tc>
                <w:tcPr>
                  <w:tcW w:w="2049" w:type="pct"/>
                  <w:tcBorders>
                    <w:tl2br w:val="nil"/>
                    <w:tr2bl w:val="nil"/>
                  </w:tcBorders>
                  <w:vAlign w:val="center"/>
                </w:tcPr>
                <w:p w14:paraId="61F8F6D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2025年，全市基本消除城市建成区生活污水直排口和收集处理设施空白区，污水收集处理率达到98%。</w:t>
                  </w:r>
                </w:p>
              </w:tc>
              <w:tc>
                <w:tcPr>
                  <w:tcW w:w="1701" w:type="pct"/>
                  <w:gridSpan w:val="3"/>
                  <w:tcBorders>
                    <w:tl2br w:val="nil"/>
                    <w:tr2bl w:val="nil"/>
                  </w:tcBorders>
                  <w:vAlign w:val="top"/>
                </w:tcPr>
                <w:p w14:paraId="6D64538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符合。</w:t>
                  </w:r>
                </w:p>
                <w:p w14:paraId="75446E3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default" w:ascii="Times New Roman" w:hAnsi="Times New Roman" w:eastAsia="宋体" w:cs="Times New Roman"/>
                      <w:b w:val="0"/>
                      <w:bCs w:val="0"/>
                      <w:color w:val="auto"/>
                      <w:kern w:val="0"/>
                      <w:sz w:val="21"/>
                      <w:szCs w:val="21"/>
                      <w:highlight w:val="none"/>
                      <w:u w:val="none" w:color="auto"/>
                    </w:rPr>
                    <w:t>本项目不涉及。</w:t>
                  </w:r>
                </w:p>
              </w:tc>
            </w:tr>
            <w:tr w14:paraId="609F2F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3"/>
                <w:wAfter w:w="55" w:type="pct"/>
                <w:trHeight w:val="796" w:hRule="atLeast"/>
                <w:jc w:val="center"/>
              </w:trPr>
              <w:tc>
                <w:tcPr>
                  <w:tcW w:w="677" w:type="pct"/>
                  <w:vMerge w:val="continue"/>
                  <w:tcBorders>
                    <w:tl2br w:val="nil"/>
                    <w:tr2bl w:val="nil"/>
                  </w:tcBorders>
                  <w:vAlign w:val="center"/>
                </w:tcPr>
                <w:p w14:paraId="3AC7F66E">
                  <w:pPr>
                    <w:pStyle w:val="45"/>
                    <w:adjustRightInd w:val="0"/>
                    <w:snapToGrid w:val="0"/>
                    <w:spacing w:before="120" w:after="0" w:line="240" w:lineRule="auto"/>
                    <w:rPr>
                      <w:rFonts w:hint="default" w:ascii="Times New Roman" w:hAnsi="Times New Roman" w:eastAsia="宋体" w:cs="Times New Roman"/>
                      <w:b w:val="0"/>
                      <w:bCs w:val="0"/>
                      <w:color w:val="auto"/>
                      <w:sz w:val="21"/>
                      <w:szCs w:val="21"/>
                      <w:highlight w:val="none"/>
                      <w:u w:val="none" w:color="auto"/>
                    </w:rPr>
                  </w:pPr>
                </w:p>
              </w:tc>
              <w:tc>
                <w:tcPr>
                  <w:tcW w:w="515" w:type="pct"/>
                  <w:gridSpan w:val="2"/>
                  <w:vMerge w:val="continue"/>
                  <w:tcBorders>
                    <w:tl2br w:val="nil"/>
                    <w:tr2bl w:val="nil"/>
                  </w:tcBorders>
                </w:tcPr>
                <w:p w14:paraId="545F577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2049" w:type="pct"/>
                  <w:tcBorders>
                    <w:tl2br w:val="nil"/>
                    <w:tr2bl w:val="nil"/>
                  </w:tcBorders>
                  <w:vAlign w:val="center"/>
                </w:tcPr>
                <w:p w14:paraId="2BAB760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2025年，城市生活垃圾回收利用率达到35%以上，全市建筑垃圾资源化利用率达到100%。</w:t>
                  </w:r>
                </w:p>
              </w:tc>
              <w:tc>
                <w:tcPr>
                  <w:tcW w:w="1701" w:type="pct"/>
                  <w:gridSpan w:val="3"/>
                  <w:tcBorders>
                    <w:tl2br w:val="nil"/>
                    <w:tr2bl w:val="nil"/>
                  </w:tcBorders>
                  <w:vAlign w:val="top"/>
                </w:tcPr>
                <w:p w14:paraId="60242A1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符合。</w:t>
                  </w:r>
                </w:p>
                <w:p w14:paraId="219B6E5D">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bidi="ar-SA"/>
                    </w:rPr>
                  </w:pPr>
                  <w:r>
                    <w:rPr>
                      <w:rFonts w:hint="eastAsia" w:ascii="Times New Roman" w:hAnsi="Times New Roman" w:eastAsia="宋体" w:cs="Times New Roman"/>
                      <w:b w:val="0"/>
                      <w:bCs w:val="0"/>
                      <w:color w:val="auto"/>
                      <w:kern w:val="0"/>
                      <w:sz w:val="21"/>
                      <w:szCs w:val="21"/>
                      <w:highlight w:val="none"/>
                      <w:u w:val="none" w:color="auto"/>
                      <w:lang w:val="en-US" w:eastAsia="zh-CN"/>
                    </w:rPr>
                    <w:t>本项目</w:t>
                  </w:r>
                  <w:r>
                    <w:rPr>
                      <w:rFonts w:hint="default" w:ascii="Times New Roman" w:hAnsi="Times New Roman" w:eastAsia="宋体" w:cs="Times New Roman"/>
                      <w:b w:val="0"/>
                      <w:bCs w:val="0"/>
                      <w:color w:val="auto"/>
                      <w:kern w:val="0"/>
                      <w:sz w:val="21"/>
                      <w:szCs w:val="21"/>
                      <w:highlight w:val="none"/>
                      <w:u w:val="none" w:color="auto"/>
                    </w:rPr>
                    <w:t>固废全部合理处置。</w:t>
                  </w:r>
                </w:p>
              </w:tc>
            </w:tr>
            <w:tr w14:paraId="6E374F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3"/>
                <w:wAfter w:w="55" w:type="pct"/>
                <w:trHeight w:val="1190" w:hRule="atLeast"/>
                <w:jc w:val="center"/>
              </w:trPr>
              <w:tc>
                <w:tcPr>
                  <w:tcW w:w="677" w:type="pct"/>
                  <w:vMerge w:val="restart"/>
                  <w:tcBorders>
                    <w:tl2br w:val="nil"/>
                    <w:tr2bl w:val="nil"/>
                  </w:tcBorders>
                  <w:vAlign w:val="center"/>
                </w:tcPr>
                <w:p w14:paraId="2D6A043A">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rPr>
                    <w:t>资源利用要求</w:t>
                  </w:r>
                </w:p>
              </w:tc>
              <w:tc>
                <w:tcPr>
                  <w:tcW w:w="515" w:type="pct"/>
                  <w:gridSpan w:val="2"/>
                  <w:tcBorders>
                    <w:tl2br w:val="nil"/>
                    <w:tr2bl w:val="nil"/>
                  </w:tcBorders>
                  <w:vAlign w:val="center"/>
                </w:tcPr>
                <w:p w14:paraId="421ACE42">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水资源</w:t>
                  </w:r>
                </w:p>
              </w:tc>
              <w:tc>
                <w:tcPr>
                  <w:tcW w:w="2049" w:type="pct"/>
                  <w:tcBorders>
                    <w:tl2br w:val="nil"/>
                    <w:tr2bl w:val="nil"/>
                  </w:tcBorders>
                  <w:vAlign w:val="center"/>
                </w:tcPr>
                <w:p w14:paraId="2C1FA66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2025年用水量控制在24.44亿立方米，2035年用水量控制在31.3亿立方米。</w:t>
                  </w:r>
                </w:p>
              </w:tc>
              <w:tc>
                <w:tcPr>
                  <w:tcW w:w="1701" w:type="pct"/>
                  <w:gridSpan w:val="3"/>
                  <w:tcBorders>
                    <w:tl2br w:val="nil"/>
                    <w:tr2bl w:val="nil"/>
                  </w:tcBorders>
                </w:tcPr>
                <w:p w14:paraId="59BAA00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符合。</w:t>
                  </w:r>
                </w:p>
                <w:p w14:paraId="304A1A8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本项目不属于高耗水行业。</w:t>
                  </w:r>
                </w:p>
              </w:tc>
            </w:tr>
            <w:tr w14:paraId="4F23CF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3"/>
                <w:wAfter w:w="55" w:type="pct"/>
                <w:trHeight w:val="1190" w:hRule="atLeast"/>
                <w:jc w:val="center"/>
              </w:trPr>
              <w:tc>
                <w:tcPr>
                  <w:tcW w:w="677" w:type="pct"/>
                  <w:vMerge w:val="continue"/>
                  <w:tcBorders>
                    <w:tl2br w:val="nil"/>
                    <w:tr2bl w:val="nil"/>
                  </w:tcBorders>
                  <w:vAlign w:val="center"/>
                </w:tcPr>
                <w:p w14:paraId="7CE75FF9">
                  <w:pPr>
                    <w:pStyle w:val="45"/>
                    <w:adjustRightInd w:val="0"/>
                    <w:snapToGrid w:val="0"/>
                    <w:spacing w:beforeLines="0" w:after="0" w:afterAutospacing="0" w:line="240" w:lineRule="auto"/>
                    <w:jc w:val="left"/>
                    <w:rPr>
                      <w:rFonts w:hint="default" w:ascii="Times New Roman" w:hAnsi="Times New Roman" w:cs="Times New Roman"/>
                      <w:color w:val="auto"/>
                      <w:sz w:val="21"/>
                      <w:szCs w:val="21"/>
                      <w:highlight w:val="none"/>
                      <w:u w:val="none" w:color="auto"/>
                    </w:rPr>
                  </w:pPr>
                </w:p>
              </w:tc>
              <w:tc>
                <w:tcPr>
                  <w:tcW w:w="515" w:type="pct"/>
                  <w:gridSpan w:val="2"/>
                  <w:tcBorders>
                    <w:tl2br w:val="nil"/>
                    <w:tr2bl w:val="nil"/>
                  </w:tcBorders>
                  <w:vAlign w:val="center"/>
                </w:tcPr>
                <w:p w14:paraId="2A104D0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土地资源</w:t>
                  </w:r>
                </w:p>
              </w:tc>
              <w:tc>
                <w:tcPr>
                  <w:tcW w:w="2049" w:type="pct"/>
                  <w:tcBorders>
                    <w:tl2br w:val="nil"/>
                    <w:tr2bl w:val="nil"/>
                  </w:tcBorders>
                  <w:vAlign w:val="center"/>
                </w:tcPr>
                <w:p w14:paraId="4BE1D94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2025年耕地保有量不低于9031.12平方千米；永久基本农田保护面积不低于6191.27平方千米；城镇开发边界控制在468.38平方千米以内。</w:t>
                  </w:r>
                </w:p>
              </w:tc>
              <w:tc>
                <w:tcPr>
                  <w:tcW w:w="1701" w:type="pct"/>
                  <w:gridSpan w:val="3"/>
                  <w:tcBorders>
                    <w:tl2br w:val="nil"/>
                    <w:tr2bl w:val="nil"/>
                  </w:tcBorders>
                </w:tcPr>
                <w:p w14:paraId="0A02B94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符合。</w:t>
                  </w:r>
                </w:p>
                <w:p w14:paraId="09C432A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本项目用地为工业用地。</w:t>
                  </w:r>
                </w:p>
              </w:tc>
            </w:tr>
            <w:tr w14:paraId="2D25D7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3"/>
                <w:wAfter w:w="55" w:type="pct"/>
                <w:trHeight w:val="1190" w:hRule="atLeast"/>
                <w:jc w:val="center"/>
              </w:trPr>
              <w:tc>
                <w:tcPr>
                  <w:tcW w:w="677" w:type="pct"/>
                  <w:vMerge w:val="continue"/>
                  <w:tcBorders>
                    <w:tl2br w:val="nil"/>
                    <w:tr2bl w:val="nil"/>
                  </w:tcBorders>
                  <w:vAlign w:val="center"/>
                </w:tcPr>
                <w:p w14:paraId="5268159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515" w:type="pct"/>
                  <w:gridSpan w:val="2"/>
                  <w:tcBorders>
                    <w:tl2br w:val="nil"/>
                    <w:tr2bl w:val="nil"/>
                  </w:tcBorders>
                  <w:vAlign w:val="center"/>
                </w:tcPr>
                <w:p w14:paraId="5A9F84B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能源</w:t>
                  </w:r>
                </w:p>
              </w:tc>
              <w:tc>
                <w:tcPr>
                  <w:tcW w:w="2049" w:type="pct"/>
                  <w:tcBorders>
                    <w:tl2br w:val="nil"/>
                    <w:tr2bl w:val="nil"/>
                  </w:tcBorders>
                  <w:vAlign w:val="center"/>
                </w:tcPr>
                <w:p w14:paraId="09BF225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2025年，煤炭消费总量控制在1382.54万吨以内。</w:t>
                  </w:r>
                </w:p>
              </w:tc>
              <w:tc>
                <w:tcPr>
                  <w:tcW w:w="1701" w:type="pct"/>
                  <w:gridSpan w:val="3"/>
                  <w:tcBorders>
                    <w:tl2br w:val="nil"/>
                    <w:tr2bl w:val="nil"/>
                  </w:tcBorders>
                </w:tcPr>
                <w:p w14:paraId="6916227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符合。</w:t>
                  </w:r>
                </w:p>
                <w:p w14:paraId="343DB6E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本项目</w:t>
                  </w:r>
                  <w:r>
                    <w:rPr>
                      <w:rFonts w:hint="eastAsia" w:ascii="Times New Roman" w:hAnsi="Times New Roman" w:eastAsia="宋体" w:cs="Times New Roman"/>
                      <w:b w:val="0"/>
                      <w:bCs w:val="0"/>
                      <w:color w:val="auto"/>
                      <w:kern w:val="0"/>
                      <w:sz w:val="21"/>
                      <w:szCs w:val="21"/>
                      <w:highlight w:val="none"/>
                      <w:u w:val="none" w:color="auto"/>
                      <w:lang w:val="en-US" w:eastAsia="zh-CN"/>
                    </w:rPr>
                    <w:t>热风炉使用燃料为生物质，</w:t>
                  </w:r>
                  <w:r>
                    <w:rPr>
                      <w:rFonts w:hint="default" w:ascii="Times New Roman" w:hAnsi="Times New Roman" w:eastAsia="宋体" w:cs="Times New Roman"/>
                      <w:b w:val="0"/>
                      <w:bCs w:val="0"/>
                      <w:color w:val="auto"/>
                      <w:kern w:val="0"/>
                      <w:sz w:val="21"/>
                      <w:szCs w:val="21"/>
                      <w:highlight w:val="none"/>
                      <w:u w:val="none" w:color="auto"/>
                      <w:lang w:eastAsia="zh-CN"/>
                    </w:rPr>
                    <w:t>不涉及煤炭。</w:t>
                  </w:r>
                </w:p>
              </w:tc>
            </w:tr>
            <w:tr w14:paraId="7EC3C8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3"/>
                <w:wAfter w:w="55" w:type="pct"/>
                <w:trHeight w:val="1190" w:hRule="atLeast"/>
                <w:jc w:val="center"/>
              </w:trPr>
              <w:tc>
                <w:tcPr>
                  <w:tcW w:w="677" w:type="pct"/>
                  <w:vMerge w:val="continue"/>
                  <w:tcBorders>
                    <w:tl2br w:val="nil"/>
                    <w:tr2bl w:val="nil"/>
                  </w:tcBorders>
                  <w:vAlign w:val="center"/>
                </w:tcPr>
                <w:p w14:paraId="6EE2335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515" w:type="pct"/>
                  <w:gridSpan w:val="2"/>
                  <w:tcBorders>
                    <w:tl2br w:val="nil"/>
                    <w:tr2bl w:val="nil"/>
                  </w:tcBorders>
                  <w:vAlign w:val="center"/>
                </w:tcPr>
                <w:p w14:paraId="23E6BA62">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其他</w:t>
                  </w:r>
                </w:p>
              </w:tc>
              <w:tc>
                <w:tcPr>
                  <w:tcW w:w="2049" w:type="pct"/>
                  <w:tcBorders>
                    <w:tl2br w:val="nil"/>
                    <w:tr2bl w:val="nil"/>
                  </w:tcBorders>
                  <w:vAlign w:val="center"/>
                </w:tcPr>
                <w:p w14:paraId="3F8CB85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rPr>
                    <w:t>实施工业绿色生产，促进固体废物减量和循环利用；推动大宗工业固体废物资源化利用；逐步解决工业固体废物历史遗留问题。推行农业绿色生产，促进主要农业废弃物再利用。逐步实现畜禽粪污就近就地综合利用；加大秸秆禁烧力度，推动区域农作物秸秆综合利用；提升废旧农膜及农药包装废弃物再利用水平；建立政府引导、企业主体、农户参与的回收利用体系。推动生活垃圾、建筑垃圾源头减量和资源化利用，加强生活垃圾分类。</w:t>
                  </w:r>
                </w:p>
              </w:tc>
              <w:tc>
                <w:tcPr>
                  <w:tcW w:w="1701" w:type="pct"/>
                  <w:gridSpan w:val="3"/>
                  <w:tcBorders>
                    <w:tl2br w:val="nil"/>
                    <w:tr2bl w:val="nil"/>
                  </w:tcBorders>
                </w:tcPr>
                <w:p w14:paraId="5C530B6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符合。</w:t>
                  </w:r>
                </w:p>
                <w:p w14:paraId="3EE9EB0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lang w:eastAsia="zh-CN"/>
                    </w:rPr>
                    <w:t>本项目产生的生物质灰渣、烘干过程收集的玉米皮均可再利用，符合工业绿色生产的要求。</w:t>
                  </w:r>
                </w:p>
              </w:tc>
            </w:tr>
            <w:tr w14:paraId="3BDCA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000" w:type="pct"/>
                  <w:gridSpan w:val="10"/>
                  <w:tcBorders>
                    <w:tl2br w:val="nil"/>
                    <w:tr2bl w:val="nil"/>
                  </w:tcBorders>
                  <w:vAlign w:val="center"/>
                </w:tcPr>
                <w:p w14:paraId="18A0039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 w:val="21"/>
                      <w:szCs w:val="21"/>
                      <w:highlight w:val="none"/>
                      <w:u w:val="none" w:color="auto"/>
                    </w:rPr>
                    <w:t>二、重点流域总体准入要求</w:t>
                  </w:r>
                </w:p>
              </w:tc>
            </w:tr>
            <w:tr w14:paraId="7EF81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restart"/>
                  <w:tcBorders>
                    <w:tl2br w:val="nil"/>
                    <w:tr2bl w:val="nil"/>
                  </w:tcBorders>
                  <w:vAlign w:val="center"/>
                </w:tcPr>
                <w:p w14:paraId="5D4BAD3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lang w:val="en-US" w:eastAsia="zh-CN"/>
                    </w:rPr>
                    <w:t xml:space="preserve">空间布局 </w:t>
                  </w:r>
                </w:p>
                <w:p w14:paraId="6A6D3A8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eastAsia" w:ascii="Times New Roman" w:hAnsi="Times New Roman" w:eastAsia="宋体" w:cs="Times New Roman"/>
                      <w:b w:val="0"/>
                      <w:bCs w:val="0"/>
                      <w:color w:val="auto"/>
                      <w:kern w:val="0"/>
                      <w:sz w:val="21"/>
                      <w:szCs w:val="21"/>
                      <w:highlight w:val="none"/>
                      <w:u w:val="none" w:color="auto"/>
                      <w:lang w:val="en-US" w:eastAsia="zh-CN"/>
                    </w:rPr>
                    <w:t>约束</w:t>
                  </w:r>
                </w:p>
              </w:tc>
              <w:tc>
                <w:tcPr>
                  <w:tcW w:w="2594" w:type="pct"/>
                  <w:gridSpan w:val="4"/>
                  <w:tcBorders>
                    <w:tl2br w:val="nil"/>
                    <w:tr2bl w:val="nil"/>
                  </w:tcBorders>
                  <w:vAlign w:val="center"/>
                </w:tcPr>
                <w:p w14:paraId="18E4230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lang w:val="en-US" w:eastAsia="zh-CN"/>
                    </w:rPr>
                    <w:t>合理规划松花江干流沿岸的石油加工、化学原料和化学制品制造、医药制造、化学纤维制造、有色金属冶炼、制浆造纸、纺织印染等</w:t>
                  </w:r>
                  <w:r>
                    <w:rPr>
                      <w:rFonts w:hint="eastAsia" w:ascii="Times New Roman" w:hAnsi="Times New Roman" w:eastAsia="宋体" w:cs="Times New Roman"/>
                      <w:b w:val="0"/>
                      <w:bCs w:val="0"/>
                      <w:color w:val="auto"/>
                      <w:kern w:val="0"/>
                      <w:sz w:val="21"/>
                      <w:szCs w:val="21"/>
                      <w:highlight w:val="none"/>
                      <w:u w:val="none" w:color="auto"/>
                      <w:lang w:val="en-US" w:eastAsia="zh-CN"/>
                    </w:rPr>
                    <w:t>产业发展。</w:t>
                  </w:r>
                </w:p>
              </w:tc>
              <w:tc>
                <w:tcPr>
                  <w:tcW w:w="1721" w:type="pct"/>
                  <w:gridSpan w:val="4"/>
                  <w:tcBorders>
                    <w:tl2br w:val="nil"/>
                    <w:tr2bl w:val="nil"/>
                  </w:tcBorders>
                  <w:vAlign w:val="top"/>
                </w:tcPr>
                <w:p w14:paraId="006B883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3C7B6FC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本项目不属于上述各类建设项目。</w:t>
                  </w:r>
                </w:p>
              </w:tc>
            </w:tr>
            <w:tr w14:paraId="65A0D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continue"/>
                  <w:tcBorders>
                    <w:tl2br w:val="nil"/>
                    <w:tr2bl w:val="nil"/>
                  </w:tcBorders>
                  <w:vAlign w:val="center"/>
                </w:tcPr>
                <w:p w14:paraId="587A3042">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2594" w:type="pct"/>
                  <w:gridSpan w:val="4"/>
                  <w:tcBorders>
                    <w:tl2br w:val="nil"/>
                    <w:tr2bl w:val="nil"/>
                  </w:tcBorders>
                  <w:vAlign w:val="center"/>
                </w:tcPr>
                <w:p w14:paraId="7409FDB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lang w:val="en-US" w:eastAsia="zh-CN"/>
                    </w:rPr>
                    <w:t>饮马河等重点支流及松花湖等重要湿地要实施生态修复、合理建设生态隔离带。</w:t>
                  </w:r>
                </w:p>
              </w:tc>
              <w:tc>
                <w:tcPr>
                  <w:tcW w:w="1721" w:type="pct"/>
                  <w:gridSpan w:val="4"/>
                  <w:tcBorders>
                    <w:tl2br w:val="nil"/>
                    <w:tr2bl w:val="nil"/>
                  </w:tcBorders>
                  <w:vAlign w:val="top"/>
                </w:tcPr>
                <w:p w14:paraId="3CB475CF">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302AA29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本项目不在饮马河等重点支流及松花湖等重要湿地内。</w:t>
                  </w:r>
                </w:p>
              </w:tc>
            </w:tr>
            <w:tr w14:paraId="3F8F0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restart"/>
                  <w:tcBorders>
                    <w:tl2br w:val="nil"/>
                    <w:tr2bl w:val="nil"/>
                  </w:tcBorders>
                  <w:vAlign w:val="center"/>
                </w:tcPr>
                <w:p w14:paraId="5054DD3F">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r>
                    <w:rPr>
                      <w:rFonts w:hint="default" w:ascii="Times New Roman" w:hAnsi="Times New Roman" w:eastAsia="宋体" w:cs="Times New Roman"/>
                      <w:b w:val="0"/>
                      <w:bCs w:val="0"/>
                      <w:color w:val="auto"/>
                      <w:kern w:val="0"/>
                      <w:sz w:val="21"/>
                      <w:szCs w:val="21"/>
                      <w:highlight w:val="none"/>
                      <w:u w:val="none" w:color="auto"/>
                      <w:lang w:val="en-US" w:eastAsia="zh-CN"/>
                    </w:rPr>
                    <w:t>污染物</w:t>
                  </w:r>
                  <w:r>
                    <w:rPr>
                      <w:rFonts w:hint="eastAsia" w:ascii="Times New Roman" w:hAnsi="Times New Roman" w:eastAsia="宋体" w:cs="Times New Roman"/>
                      <w:b w:val="0"/>
                      <w:bCs w:val="0"/>
                      <w:color w:val="auto"/>
                      <w:kern w:val="0"/>
                      <w:sz w:val="21"/>
                      <w:szCs w:val="21"/>
                      <w:highlight w:val="none"/>
                      <w:u w:val="none" w:color="auto"/>
                      <w:lang w:val="en-US" w:eastAsia="zh-CN"/>
                    </w:rPr>
                    <w:t>排放管控</w:t>
                  </w:r>
                </w:p>
              </w:tc>
              <w:tc>
                <w:tcPr>
                  <w:tcW w:w="2594" w:type="pct"/>
                  <w:gridSpan w:val="4"/>
                  <w:tcBorders>
                    <w:tl2br w:val="nil"/>
                    <w:tr2bl w:val="nil"/>
                  </w:tcBorders>
                  <w:vAlign w:val="center"/>
                </w:tcPr>
                <w:p w14:paraId="2842E1E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严格执行《吉林省松花江流域水污染防治条例》。</w:t>
                  </w:r>
                </w:p>
              </w:tc>
              <w:tc>
                <w:tcPr>
                  <w:tcW w:w="1721" w:type="pct"/>
                  <w:gridSpan w:val="4"/>
                  <w:tcBorders>
                    <w:tl2br w:val="nil"/>
                    <w:tr2bl w:val="nil"/>
                  </w:tcBorders>
                  <w:vAlign w:val="top"/>
                </w:tcPr>
                <w:p w14:paraId="55D804F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57FF1302">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w:t>
                  </w:r>
                  <w:r>
                    <w:rPr>
                      <w:rFonts w:hint="eastAsia" w:ascii="Times New Roman" w:hAnsi="Times New Roman" w:eastAsia="宋体" w:cs="Times New Roman"/>
                      <w:b w:val="0"/>
                      <w:bCs w:val="0"/>
                      <w:color w:val="auto"/>
                      <w:kern w:val="0"/>
                      <w:szCs w:val="21"/>
                      <w:highlight w:val="none"/>
                      <w:u w:val="none" w:color="auto"/>
                      <w:lang w:val="en-US" w:eastAsia="zh-CN"/>
                    </w:rPr>
                    <w:t>无生产废水产生，生活污水排入防渗旱厕，</w:t>
                  </w:r>
                  <w:r>
                    <w:rPr>
                      <w:rFonts w:hint="default" w:ascii="Times New Roman" w:hAnsi="Times New Roman" w:eastAsia="宋体" w:cs="Times New Roman"/>
                      <w:b w:val="0"/>
                      <w:bCs w:val="0"/>
                      <w:color w:val="auto"/>
                      <w:kern w:val="0"/>
                      <w:szCs w:val="21"/>
                      <w:highlight w:val="none"/>
                      <w:u w:val="none" w:color="auto"/>
                      <w:lang w:eastAsia="zh-CN"/>
                    </w:rPr>
                    <w:t>定期</w:t>
                  </w:r>
                  <w:r>
                    <w:rPr>
                      <w:rFonts w:hint="eastAsia" w:ascii="Times New Roman" w:hAnsi="Times New Roman" w:eastAsia="宋体" w:cs="Times New Roman"/>
                      <w:b w:val="0"/>
                      <w:bCs w:val="0"/>
                      <w:color w:val="auto"/>
                      <w:kern w:val="0"/>
                      <w:szCs w:val="21"/>
                      <w:highlight w:val="none"/>
                      <w:u w:val="none" w:color="auto"/>
                      <w:lang w:val="en-US" w:eastAsia="zh-CN"/>
                    </w:rPr>
                    <w:t>清掏还田</w:t>
                  </w:r>
                  <w:r>
                    <w:rPr>
                      <w:rFonts w:hint="default" w:ascii="Times New Roman" w:hAnsi="Times New Roman" w:eastAsia="宋体" w:cs="Times New Roman"/>
                      <w:b w:val="0"/>
                      <w:bCs w:val="0"/>
                      <w:color w:val="auto"/>
                      <w:kern w:val="0"/>
                      <w:szCs w:val="21"/>
                      <w:highlight w:val="none"/>
                      <w:u w:val="none" w:color="auto"/>
                    </w:rPr>
                    <w:t>。</w:t>
                  </w:r>
                </w:p>
              </w:tc>
            </w:tr>
            <w:tr w14:paraId="2329EC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continue"/>
                  <w:tcBorders>
                    <w:tl2br w:val="nil"/>
                    <w:tr2bl w:val="nil"/>
                  </w:tcBorders>
                  <w:vAlign w:val="center"/>
                </w:tcPr>
                <w:p w14:paraId="07C2783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2594" w:type="pct"/>
                  <w:gridSpan w:val="4"/>
                  <w:tcBorders>
                    <w:tl2br w:val="nil"/>
                    <w:tr2bl w:val="nil"/>
                  </w:tcBorders>
                  <w:vAlign w:val="center"/>
                </w:tcPr>
                <w:p w14:paraId="47684E0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推进城镇污水处理设施及配套管网建设与改造，加快实施雨污分流。现有污水处理厂要适时进行扩容和建设再生水利用工程，因地制</w:t>
                  </w:r>
                  <w:r>
                    <w:rPr>
                      <w:rFonts w:hint="eastAsia" w:ascii="Times New Roman" w:hAnsi="Times New Roman" w:eastAsia="宋体" w:cs="Times New Roman"/>
                      <w:b w:val="0"/>
                      <w:bCs w:val="0"/>
                      <w:color w:val="auto"/>
                      <w:kern w:val="0"/>
                      <w:sz w:val="21"/>
                      <w:szCs w:val="21"/>
                      <w:highlight w:val="none"/>
                      <w:u w:val="none" w:color="auto"/>
                      <w:lang w:val="en-US" w:eastAsia="zh-CN"/>
                    </w:rPr>
                    <w:t>宜建设人工湿地尾水净化工程。</w:t>
                  </w:r>
                </w:p>
              </w:tc>
              <w:tc>
                <w:tcPr>
                  <w:tcW w:w="1721" w:type="pct"/>
                  <w:gridSpan w:val="4"/>
                  <w:tcBorders>
                    <w:tl2br w:val="nil"/>
                    <w:tr2bl w:val="nil"/>
                  </w:tcBorders>
                  <w:vAlign w:val="top"/>
                </w:tcPr>
                <w:p w14:paraId="3C82B06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15A125F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w:t>
                  </w:r>
                  <w:r>
                    <w:rPr>
                      <w:rFonts w:hint="default" w:ascii="Times New Roman" w:hAnsi="Times New Roman" w:eastAsia="宋体" w:cs="Times New Roman"/>
                      <w:b w:val="0"/>
                      <w:bCs w:val="0"/>
                      <w:color w:val="auto"/>
                      <w:kern w:val="0"/>
                      <w:szCs w:val="21"/>
                      <w:highlight w:val="none"/>
                      <w:u w:val="none" w:color="auto"/>
                      <w:lang w:eastAsia="zh-CN"/>
                    </w:rPr>
                    <w:t>不涉及</w:t>
                  </w:r>
                  <w:r>
                    <w:rPr>
                      <w:rFonts w:hint="default" w:ascii="Times New Roman" w:hAnsi="Times New Roman" w:eastAsia="宋体" w:cs="Times New Roman"/>
                      <w:b w:val="0"/>
                      <w:bCs w:val="0"/>
                      <w:color w:val="auto"/>
                      <w:kern w:val="0"/>
                      <w:szCs w:val="21"/>
                      <w:highlight w:val="none"/>
                      <w:u w:val="none" w:color="auto"/>
                    </w:rPr>
                    <w:t>。</w:t>
                  </w:r>
                </w:p>
              </w:tc>
            </w:tr>
            <w:tr w14:paraId="2E1C7A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continue"/>
                  <w:tcBorders>
                    <w:tl2br w:val="nil"/>
                    <w:tr2bl w:val="nil"/>
                  </w:tcBorders>
                  <w:vAlign w:val="center"/>
                </w:tcPr>
                <w:p w14:paraId="062FD37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2594" w:type="pct"/>
                  <w:gridSpan w:val="4"/>
                  <w:tcBorders>
                    <w:tl2br w:val="nil"/>
                    <w:tr2bl w:val="nil"/>
                  </w:tcBorders>
                  <w:vAlign w:val="center"/>
                </w:tcPr>
                <w:p w14:paraId="19A7105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加快推进乡镇和农村生活污水处理设施建设，推进农村生活污水治理。</w:t>
                  </w:r>
                </w:p>
              </w:tc>
              <w:tc>
                <w:tcPr>
                  <w:tcW w:w="1721" w:type="pct"/>
                  <w:gridSpan w:val="4"/>
                  <w:tcBorders>
                    <w:tl2br w:val="nil"/>
                    <w:tr2bl w:val="nil"/>
                  </w:tcBorders>
                  <w:vAlign w:val="top"/>
                </w:tcPr>
                <w:p w14:paraId="05DC517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符合。</w:t>
                  </w:r>
                </w:p>
                <w:p w14:paraId="22B67392">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lang w:eastAsia="zh-CN"/>
                    </w:rPr>
                    <w:t>本项目生活污水排入</w:t>
                  </w:r>
                  <w:r>
                    <w:rPr>
                      <w:rFonts w:hint="eastAsia" w:ascii="Times New Roman" w:hAnsi="Times New Roman" w:eastAsia="宋体" w:cs="Times New Roman"/>
                      <w:b w:val="0"/>
                      <w:bCs w:val="0"/>
                      <w:color w:val="auto"/>
                      <w:kern w:val="0"/>
                      <w:szCs w:val="21"/>
                      <w:highlight w:val="none"/>
                      <w:u w:val="none" w:color="auto"/>
                      <w:lang w:val="en-US" w:eastAsia="zh-CN"/>
                    </w:rPr>
                    <w:t>防渗旱厕</w:t>
                  </w:r>
                  <w:r>
                    <w:rPr>
                      <w:rFonts w:hint="default" w:ascii="Times New Roman" w:hAnsi="Times New Roman" w:eastAsia="宋体" w:cs="Times New Roman"/>
                      <w:b w:val="0"/>
                      <w:bCs w:val="0"/>
                      <w:color w:val="auto"/>
                      <w:kern w:val="0"/>
                      <w:szCs w:val="21"/>
                      <w:highlight w:val="none"/>
                      <w:u w:val="none" w:color="auto"/>
                      <w:lang w:eastAsia="zh-CN"/>
                    </w:rPr>
                    <w:t>，定期</w:t>
                  </w:r>
                  <w:r>
                    <w:rPr>
                      <w:rFonts w:hint="eastAsia" w:ascii="Times New Roman" w:hAnsi="Times New Roman" w:eastAsia="宋体" w:cs="Times New Roman"/>
                      <w:b w:val="0"/>
                      <w:bCs w:val="0"/>
                      <w:color w:val="auto"/>
                      <w:kern w:val="0"/>
                      <w:szCs w:val="21"/>
                      <w:highlight w:val="none"/>
                      <w:u w:val="none" w:color="auto"/>
                      <w:lang w:val="en-US" w:eastAsia="zh-CN"/>
                    </w:rPr>
                    <w:t>清掏还田</w:t>
                  </w:r>
                  <w:r>
                    <w:rPr>
                      <w:rFonts w:hint="default" w:ascii="Times New Roman" w:hAnsi="Times New Roman" w:eastAsia="宋体" w:cs="Times New Roman"/>
                      <w:b w:val="0"/>
                      <w:bCs w:val="0"/>
                      <w:color w:val="auto"/>
                      <w:kern w:val="0"/>
                      <w:szCs w:val="21"/>
                      <w:highlight w:val="none"/>
                      <w:u w:val="none" w:color="auto"/>
                      <w:lang w:eastAsia="zh-CN"/>
                    </w:rPr>
                    <w:t>。</w:t>
                  </w:r>
                </w:p>
              </w:tc>
            </w:tr>
            <w:tr w14:paraId="2977A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continue"/>
                  <w:tcBorders>
                    <w:tl2br w:val="nil"/>
                    <w:tr2bl w:val="nil"/>
                  </w:tcBorders>
                  <w:vAlign w:val="center"/>
                </w:tcPr>
                <w:p w14:paraId="4944217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2594" w:type="pct"/>
                  <w:gridSpan w:val="4"/>
                  <w:tcBorders>
                    <w:tl2br w:val="nil"/>
                    <w:tr2bl w:val="nil"/>
                  </w:tcBorders>
                  <w:vAlign w:val="center"/>
                </w:tcPr>
                <w:p w14:paraId="205EF75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加快入江（河、湖、库）排污口规范化建设，严控入江、河、湖、库污染源。</w:t>
                  </w:r>
                </w:p>
                <w:p w14:paraId="10807C7D">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严格控制农业面源污染，推广测土配方施肥和高效、低毒、低残留农药等减量控害技术和统防统治，控制化肥和农药使用量。</w:t>
                  </w:r>
                </w:p>
              </w:tc>
              <w:tc>
                <w:tcPr>
                  <w:tcW w:w="1721" w:type="pct"/>
                  <w:gridSpan w:val="4"/>
                  <w:tcBorders>
                    <w:tl2br w:val="nil"/>
                    <w:tr2bl w:val="nil"/>
                  </w:tcBorders>
                  <w:vAlign w:val="top"/>
                </w:tcPr>
                <w:p w14:paraId="00726E5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266E6E1F">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w:t>
                  </w:r>
                  <w:r>
                    <w:rPr>
                      <w:rFonts w:hint="eastAsia" w:ascii="Times New Roman" w:hAnsi="Times New Roman" w:eastAsia="宋体" w:cs="Times New Roman"/>
                      <w:b w:val="0"/>
                      <w:bCs w:val="0"/>
                      <w:color w:val="auto"/>
                      <w:kern w:val="0"/>
                      <w:szCs w:val="21"/>
                      <w:highlight w:val="none"/>
                      <w:u w:val="none" w:color="auto"/>
                      <w:lang w:val="en-US" w:eastAsia="zh-CN"/>
                    </w:rPr>
                    <w:t>不涉及</w:t>
                  </w:r>
                  <w:r>
                    <w:rPr>
                      <w:rFonts w:hint="default" w:ascii="Times New Roman" w:hAnsi="Times New Roman" w:eastAsia="宋体" w:cs="Times New Roman"/>
                      <w:b w:val="0"/>
                      <w:bCs w:val="0"/>
                      <w:color w:val="auto"/>
                      <w:kern w:val="0"/>
                      <w:szCs w:val="21"/>
                      <w:highlight w:val="none"/>
                      <w:u w:val="none" w:color="auto"/>
                    </w:rPr>
                    <w:t>。</w:t>
                  </w:r>
                </w:p>
              </w:tc>
            </w:tr>
            <w:tr w14:paraId="2D6E96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continue"/>
                  <w:tcBorders>
                    <w:tl2br w:val="nil"/>
                    <w:tr2bl w:val="nil"/>
                  </w:tcBorders>
                  <w:vAlign w:val="center"/>
                </w:tcPr>
                <w:p w14:paraId="33BE5A7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rPr>
                  </w:pPr>
                </w:p>
              </w:tc>
              <w:tc>
                <w:tcPr>
                  <w:tcW w:w="2594" w:type="pct"/>
                  <w:gridSpan w:val="4"/>
                  <w:tcBorders>
                    <w:tl2br w:val="nil"/>
                    <w:tr2bl w:val="nil"/>
                  </w:tcBorders>
                  <w:vAlign w:val="center"/>
                </w:tcPr>
                <w:p w14:paraId="1534847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开展规模化养殖场标准化建设，防治畜禽养殖污染。</w:t>
                  </w:r>
                </w:p>
              </w:tc>
              <w:tc>
                <w:tcPr>
                  <w:tcW w:w="1721" w:type="pct"/>
                  <w:gridSpan w:val="4"/>
                  <w:tcBorders>
                    <w:tl2br w:val="nil"/>
                    <w:tr2bl w:val="nil"/>
                  </w:tcBorders>
                </w:tcPr>
                <w:p w14:paraId="0765928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5A5BBD0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w:t>
                  </w:r>
                  <w:r>
                    <w:rPr>
                      <w:rFonts w:hint="eastAsia" w:ascii="Times New Roman" w:hAnsi="Times New Roman" w:eastAsia="宋体" w:cs="Times New Roman"/>
                      <w:b w:val="0"/>
                      <w:bCs w:val="0"/>
                      <w:color w:val="auto"/>
                      <w:kern w:val="0"/>
                      <w:szCs w:val="21"/>
                      <w:highlight w:val="none"/>
                      <w:u w:val="none" w:color="auto"/>
                      <w:lang w:val="en-US" w:eastAsia="zh-CN"/>
                    </w:rPr>
                    <w:t>不涉及</w:t>
                  </w:r>
                  <w:r>
                    <w:rPr>
                      <w:rFonts w:hint="default" w:ascii="Times New Roman" w:hAnsi="Times New Roman" w:eastAsia="宋体" w:cs="Times New Roman"/>
                      <w:b w:val="0"/>
                      <w:bCs w:val="0"/>
                      <w:color w:val="auto"/>
                      <w:kern w:val="0"/>
                      <w:szCs w:val="21"/>
                      <w:highlight w:val="none"/>
                      <w:u w:val="none" w:color="auto"/>
                    </w:rPr>
                    <w:t>。</w:t>
                  </w:r>
                </w:p>
              </w:tc>
            </w:tr>
            <w:tr w14:paraId="60D48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restart"/>
                  <w:tcBorders>
                    <w:tl2br w:val="nil"/>
                    <w:tr2bl w:val="nil"/>
                  </w:tcBorders>
                  <w:vAlign w:val="center"/>
                </w:tcPr>
                <w:p w14:paraId="4C0F976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环境风险防控</w:t>
                  </w:r>
                </w:p>
              </w:tc>
              <w:tc>
                <w:tcPr>
                  <w:tcW w:w="2594" w:type="pct"/>
                  <w:gridSpan w:val="4"/>
                  <w:tcBorders>
                    <w:tl2br w:val="nil"/>
                    <w:tr2bl w:val="nil"/>
                  </w:tcBorders>
                  <w:vAlign w:val="center"/>
                </w:tcPr>
                <w:p w14:paraId="55BA43A2">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防范沿江环境风险，优化松花江干流和饮马河等重点江河沿岸现有石油化工、制药、尾矿库等高风险行业空间布局，合理布局生产装</w:t>
                  </w:r>
                  <w:r>
                    <w:rPr>
                      <w:rFonts w:hint="eastAsia" w:ascii="Times New Roman" w:hAnsi="Times New Roman" w:eastAsia="宋体" w:cs="Times New Roman"/>
                      <w:b w:val="0"/>
                      <w:bCs w:val="0"/>
                      <w:color w:val="auto"/>
                      <w:kern w:val="0"/>
                      <w:sz w:val="21"/>
                      <w:szCs w:val="21"/>
                      <w:highlight w:val="none"/>
                      <w:u w:val="none" w:color="auto"/>
                      <w:lang w:val="en-US" w:eastAsia="zh-CN"/>
                    </w:rPr>
                    <w:t>置及危险化学品仓储等设施，做好突发水污染事件的风险防控。</w:t>
                  </w:r>
                </w:p>
              </w:tc>
              <w:tc>
                <w:tcPr>
                  <w:tcW w:w="1721" w:type="pct"/>
                  <w:gridSpan w:val="4"/>
                  <w:tcBorders>
                    <w:tl2br w:val="nil"/>
                    <w:tr2bl w:val="nil"/>
                  </w:tcBorders>
                  <w:vAlign w:val="top"/>
                </w:tcPr>
                <w:p w14:paraId="19C5173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32FDCFC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本项目不属于上述各类建设项目。</w:t>
                  </w:r>
                </w:p>
              </w:tc>
            </w:tr>
            <w:tr w14:paraId="055625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continue"/>
                  <w:tcBorders>
                    <w:tl2br w:val="nil"/>
                    <w:tr2bl w:val="nil"/>
                  </w:tcBorders>
                  <w:vAlign w:val="center"/>
                </w:tcPr>
                <w:p w14:paraId="257071B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p>
              </w:tc>
              <w:tc>
                <w:tcPr>
                  <w:tcW w:w="2594" w:type="pct"/>
                  <w:gridSpan w:val="4"/>
                  <w:tcBorders>
                    <w:tl2br w:val="nil"/>
                    <w:tr2bl w:val="nil"/>
                  </w:tcBorders>
                  <w:vAlign w:val="center"/>
                </w:tcPr>
                <w:p w14:paraId="421A821D">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加强饮用水水源地环境风险管控，完善风险防控与应急能力建设和相关管理措施，保证饮用水水源水质达标和安全。</w:t>
                  </w:r>
                </w:p>
              </w:tc>
              <w:tc>
                <w:tcPr>
                  <w:tcW w:w="1721" w:type="pct"/>
                  <w:gridSpan w:val="4"/>
                  <w:tcBorders>
                    <w:tl2br w:val="nil"/>
                    <w:tr2bl w:val="nil"/>
                  </w:tcBorders>
                  <w:vAlign w:val="top"/>
                </w:tcPr>
                <w:p w14:paraId="4214DCE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412A6D4B">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本项目不涉及。</w:t>
                  </w:r>
                </w:p>
              </w:tc>
            </w:tr>
            <w:tr w14:paraId="7E4BDE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restart"/>
                  <w:tcBorders>
                    <w:tl2br w:val="nil"/>
                    <w:tr2bl w:val="nil"/>
                  </w:tcBorders>
                  <w:vAlign w:val="center"/>
                </w:tcPr>
                <w:p w14:paraId="100D014F">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资源利用要求</w:t>
                  </w:r>
                </w:p>
              </w:tc>
              <w:tc>
                <w:tcPr>
                  <w:tcW w:w="2594" w:type="pct"/>
                  <w:gridSpan w:val="4"/>
                  <w:tcBorders>
                    <w:tl2br w:val="nil"/>
                    <w:tr2bl w:val="nil"/>
                  </w:tcBorders>
                  <w:vAlign w:val="center"/>
                </w:tcPr>
                <w:p w14:paraId="0F070A6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引导推动造纸、石油化工、玉米深加工等高耗水行业企业实施节水改造和污水深度处理回用，建设节水型企业。</w:t>
                  </w:r>
                </w:p>
              </w:tc>
              <w:tc>
                <w:tcPr>
                  <w:tcW w:w="1721" w:type="pct"/>
                  <w:gridSpan w:val="4"/>
                  <w:tcBorders>
                    <w:tl2br w:val="nil"/>
                    <w:tr2bl w:val="nil"/>
                  </w:tcBorders>
                  <w:vAlign w:val="top"/>
                </w:tcPr>
                <w:p w14:paraId="0919CD1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65774C9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本项目不属于上述高耗水行业。</w:t>
                  </w:r>
                </w:p>
              </w:tc>
            </w:tr>
            <w:tr w14:paraId="302D34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continue"/>
                  <w:tcBorders>
                    <w:tl2br w:val="nil"/>
                    <w:tr2bl w:val="nil"/>
                  </w:tcBorders>
                  <w:vAlign w:val="center"/>
                </w:tcPr>
                <w:p w14:paraId="3EC5A02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p>
              </w:tc>
              <w:tc>
                <w:tcPr>
                  <w:tcW w:w="2594" w:type="pct"/>
                  <w:gridSpan w:val="4"/>
                  <w:tcBorders>
                    <w:tl2br w:val="nil"/>
                    <w:tr2bl w:val="nil"/>
                  </w:tcBorders>
                  <w:vAlign w:val="center"/>
                </w:tcPr>
                <w:p w14:paraId="5FC834A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统筹流域来水、水利工程与任务，因地制宜实施生态补水。按照流域生态流量调控方案，统筹调控水利工程供水能力和供水任务，保</w:t>
                  </w:r>
                  <w:r>
                    <w:rPr>
                      <w:rFonts w:hint="eastAsia" w:ascii="Times New Roman" w:hAnsi="Times New Roman" w:eastAsia="宋体" w:cs="Times New Roman"/>
                      <w:b w:val="0"/>
                      <w:bCs w:val="0"/>
                      <w:color w:val="auto"/>
                      <w:kern w:val="0"/>
                      <w:sz w:val="21"/>
                      <w:szCs w:val="21"/>
                      <w:highlight w:val="none"/>
                      <w:u w:val="none" w:color="auto"/>
                      <w:lang w:val="en-US" w:eastAsia="zh-CN"/>
                    </w:rPr>
                    <w:t>障饮马河等重点河流生态流量。</w:t>
                  </w:r>
                </w:p>
              </w:tc>
              <w:tc>
                <w:tcPr>
                  <w:tcW w:w="1721" w:type="pct"/>
                  <w:gridSpan w:val="4"/>
                  <w:tcBorders>
                    <w:tl2br w:val="nil"/>
                    <w:tr2bl w:val="nil"/>
                  </w:tcBorders>
                  <w:vAlign w:val="top"/>
                </w:tcPr>
                <w:p w14:paraId="7B52D60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7960272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本项目不涉及。</w:t>
                  </w:r>
                </w:p>
              </w:tc>
            </w:tr>
            <w:tr w14:paraId="70BA1D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84" w:type="pct"/>
                  <w:gridSpan w:val="2"/>
                  <w:vMerge w:val="continue"/>
                  <w:tcBorders>
                    <w:tl2br w:val="nil"/>
                    <w:tr2bl w:val="nil"/>
                  </w:tcBorders>
                  <w:vAlign w:val="center"/>
                </w:tcPr>
                <w:p w14:paraId="6E7BDC6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p>
              </w:tc>
              <w:tc>
                <w:tcPr>
                  <w:tcW w:w="2594" w:type="pct"/>
                  <w:gridSpan w:val="4"/>
                  <w:tcBorders>
                    <w:tl2br w:val="nil"/>
                    <w:tr2bl w:val="nil"/>
                  </w:tcBorders>
                  <w:vAlign w:val="center"/>
                </w:tcPr>
                <w:p w14:paraId="7991AEF7">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default" w:ascii="Times New Roman" w:hAnsi="Times New Roman" w:eastAsia="宋体" w:cs="Times New Roman"/>
                      <w:b w:val="0"/>
                      <w:bCs w:val="0"/>
                      <w:color w:val="auto"/>
                      <w:kern w:val="0"/>
                      <w:sz w:val="21"/>
                      <w:szCs w:val="21"/>
                      <w:highlight w:val="none"/>
                      <w:u w:val="none" w:color="auto"/>
                      <w:lang w:val="en-US" w:eastAsia="zh-CN"/>
                    </w:rPr>
                    <w:t>落实最严格水资源管理制度，严控河湖水资源开发强度。</w:t>
                  </w:r>
                </w:p>
              </w:tc>
              <w:tc>
                <w:tcPr>
                  <w:tcW w:w="1721" w:type="pct"/>
                  <w:gridSpan w:val="4"/>
                  <w:tcBorders>
                    <w:tl2br w:val="nil"/>
                    <w:tr2bl w:val="nil"/>
                  </w:tcBorders>
                  <w:vAlign w:val="top"/>
                </w:tcPr>
                <w:p w14:paraId="50B8A4D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5E1395D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eastAsia="zh-CN"/>
                    </w:rPr>
                  </w:pPr>
                  <w:r>
                    <w:rPr>
                      <w:rFonts w:hint="default" w:ascii="Times New Roman" w:hAnsi="Times New Roman" w:eastAsia="宋体" w:cs="Times New Roman"/>
                      <w:b w:val="0"/>
                      <w:bCs w:val="0"/>
                      <w:color w:val="auto"/>
                      <w:kern w:val="0"/>
                      <w:szCs w:val="21"/>
                      <w:highlight w:val="none"/>
                      <w:u w:val="none" w:color="auto"/>
                    </w:rPr>
                    <w:t>本项目不涉及河湖水资源开发。</w:t>
                  </w:r>
                </w:p>
              </w:tc>
            </w:tr>
          </w:tbl>
          <w:p w14:paraId="463A1765">
            <w:pPr>
              <w:pStyle w:val="5"/>
              <w:adjustRightInd w:val="0"/>
              <w:snapToGrid w:val="0"/>
              <w:spacing w:line="360" w:lineRule="auto"/>
              <w:jc w:val="both"/>
              <w:rPr>
                <w:rFonts w:hint="default" w:ascii="Times New Roman" w:hAnsi="Times New Roman" w:cs="Times New Roman"/>
                <w:b/>
                <w:bCs/>
                <w:color w:val="auto"/>
                <w:sz w:val="24"/>
                <w:szCs w:val="24"/>
                <w:highlight w:val="none"/>
                <w:u w:val="none" w:color="auto"/>
                <w:lang w:val="en-US" w:eastAsia="zh-CN"/>
              </w:rPr>
            </w:pPr>
          </w:p>
          <w:p w14:paraId="1994C73D">
            <w:pPr>
              <w:pStyle w:val="5"/>
              <w:adjustRightInd w:val="0"/>
              <w:snapToGrid w:val="0"/>
              <w:spacing w:line="360" w:lineRule="auto"/>
              <w:jc w:val="both"/>
              <w:rPr>
                <w:rFonts w:hint="default" w:ascii="Times New Roman" w:hAnsi="Times New Roman" w:cs="Times New Roman"/>
                <w:b/>
                <w:bCs/>
                <w:color w:val="auto"/>
                <w:kern w:val="21"/>
                <w:sz w:val="24"/>
                <w:szCs w:val="24"/>
                <w:highlight w:val="none"/>
                <w:u w:val="none" w:color="auto"/>
              </w:rPr>
            </w:pPr>
            <w:r>
              <w:rPr>
                <w:rFonts w:hint="default" w:ascii="Times New Roman" w:hAnsi="Times New Roman" w:cs="Times New Roman"/>
                <w:b/>
                <w:bCs/>
                <w:color w:val="auto"/>
                <w:sz w:val="24"/>
                <w:szCs w:val="24"/>
                <w:highlight w:val="none"/>
                <w:u w:val="none" w:color="auto"/>
              </w:rPr>
              <w:t>表</w:t>
            </w:r>
            <w:r>
              <w:rPr>
                <w:rFonts w:hint="default" w:ascii="Times New Roman" w:hAnsi="Times New Roman" w:cs="Times New Roman"/>
                <w:b/>
                <w:bCs/>
                <w:color w:val="auto"/>
                <w:sz w:val="24"/>
                <w:szCs w:val="24"/>
                <w:highlight w:val="none"/>
                <w:u w:val="none" w:color="auto"/>
                <w:lang w:val="en-US" w:eastAsia="zh-CN"/>
              </w:rPr>
              <w:t>1-3</w:t>
            </w:r>
            <w:r>
              <w:rPr>
                <w:rFonts w:hint="default" w:ascii="Times New Roman" w:hAnsi="Times New Roman" w:cs="Times New Roman"/>
                <w:b/>
                <w:bCs/>
                <w:color w:val="auto"/>
                <w:sz w:val="24"/>
                <w:szCs w:val="24"/>
                <w:highlight w:val="none"/>
                <w:u w:val="none" w:color="auto"/>
              </w:rPr>
              <w:t>与</w:t>
            </w:r>
            <w:r>
              <w:rPr>
                <w:rFonts w:hint="eastAsia" w:cs="Times New Roman"/>
                <w:b/>
                <w:bCs/>
                <w:color w:val="auto"/>
                <w:sz w:val="24"/>
                <w:szCs w:val="24"/>
                <w:highlight w:val="none"/>
                <w:u w:val="none" w:color="auto"/>
                <w:lang w:eastAsia="zh-CN"/>
              </w:rPr>
              <w:t>永吉县一般管控区</w:t>
            </w:r>
            <w:r>
              <w:rPr>
                <w:rFonts w:hint="default" w:ascii="Times New Roman" w:hAnsi="Times New Roman" w:cs="Times New Roman"/>
                <w:b/>
                <w:bCs/>
                <w:color w:val="auto"/>
                <w:sz w:val="24"/>
                <w:szCs w:val="24"/>
                <w:highlight w:val="none"/>
                <w:u w:val="none" w:color="auto"/>
              </w:rPr>
              <w:t>生态环境准入清单符合性分析</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744"/>
              <w:gridCol w:w="4146"/>
              <w:gridCol w:w="2524"/>
            </w:tblGrid>
            <w:tr w14:paraId="5D0032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82" w:hRule="atLeast"/>
                <w:jc w:val="center"/>
              </w:trPr>
              <w:tc>
                <w:tcPr>
                  <w:tcW w:w="5000" w:type="pct"/>
                  <w:gridSpan w:val="3"/>
                  <w:noWrap w:val="0"/>
                  <w:vAlign w:val="center"/>
                </w:tcPr>
                <w:p w14:paraId="1558B2D1">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 w:val="21"/>
                      <w:szCs w:val="21"/>
                      <w:highlight w:val="none"/>
                      <w:u w:val="none" w:color="auto"/>
                      <w:lang w:eastAsia="zh-CN"/>
                    </w:rPr>
                  </w:pPr>
                  <w:r>
                    <w:rPr>
                      <w:rFonts w:hint="eastAsia" w:ascii="Times New Roman" w:hAnsi="Times New Roman" w:eastAsia="宋体" w:cs="Times New Roman"/>
                      <w:b w:val="0"/>
                      <w:bCs w:val="0"/>
                      <w:color w:val="auto"/>
                      <w:kern w:val="0"/>
                      <w:sz w:val="21"/>
                      <w:szCs w:val="21"/>
                      <w:highlight w:val="none"/>
                      <w:u w:val="none" w:color="auto"/>
                      <w:lang w:eastAsia="zh-CN"/>
                    </w:rPr>
                    <w:t>永吉县一般管控区</w:t>
                  </w:r>
                  <w:r>
                    <w:rPr>
                      <w:rFonts w:hint="eastAsia" w:ascii="Times New Roman" w:hAnsi="Times New Roman" w:eastAsia="宋体" w:cs="Times New Roman"/>
                      <w:b w:val="0"/>
                      <w:bCs w:val="0"/>
                      <w:color w:val="auto"/>
                      <w:kern w:val="0"/>
                      <w:sz w:val="21"/>
                      <w:szCs w:val="21"/>
                      <w:highlight w:val="none"/>
                      <w:u w:val="none" w:color="auto"/>
                      <w:lang w:val="en-US" w:eastAsia="zh-CN"/>
                    </w:rPr>
                    <w:t xml:space="preserve">   一般管控</w:t>
                  </w:r>
                  <w:r>
                    <w:rPr>
                      <w:rFonts w:hint="eastAsia" w:ascii="Times New Roman" w:hAnsi="Times New Roman" w:eastAsia="宋体" w:cs="Times New Roman"/>
                      <w:b w:val="0"/>
                      <w:bCs w:val="0"/>
                      <w:color w:val="auto"/>
                      <w:kern w:val="0"/>
                      <w:sz w:val="21"/>
                      <w:szCs w:val="21"/>
                      <w:highlight w:val="none"/>
                      <w:u w:val="none" w:color="auto"/>
                    </w:rPr>
                    <w:t xml:space="preserve">  ZH220221</w:t>
                  </w:r>
                  <w:r>
                    <w:rPr>
                      <w:rFonts w:hint="eastAsia" w:ascii="Times New Roman" w:hAnsi="Times New Roman" w:eastAsia="宋体" w:cs="Times New Roman"/>
                      <w:b w:val="0"/>
                      <w:bCs w:val="0"/>
                      <w:color w:val="auto"/>
                      <w:kern w:val="0"/>
                      <w:sz w:val="21"/>
                      <w:szCs w:val="21"/>
                      <w:highlight w:val="none"/>
                      <w:u w:val="none" w:color="auto"/>
                      <w:lang w:val="en-US" w:eastAsia="zh-CN"/>
                    </w:rPr>
                    <w:t>3</w:t>
                  </w:r>
                  <w:r>
                    <w:rPr>
                      <w:rFonts w:hint="eastAsia" w:ascii="Times New Roman" w:hAnsi="Times New Roman" w:eastAsia="宋体" w:cs="Times New Roman"/>
                      <w:b w:val="0"/>
                      <w:bCs w:val="0"/>
                      <w:color w:val="auto"/>
                      <w:kern w:val="0"/>
                      <w:sz w:val="21"/>
                      <w:szCs w:val="21"/>
                      <w:highlight w:val="none"/>
                      <w:u w:val="none" w:color="auto"/>
                    </w:rPr>
                    <w:t>000</w:t>
                  </w:r>
                  <w:r>
                    <w:rPr>
                      <w:rFonts w:hint="eastAsia" w:ascii="Times New Roman" w:hAnsi="Times New Roman" w:eastAsia="宋体" w:cs="Times New Roman"/>
                      <w:b w:val="0"/>
                      <w:bCs w:val="0"/>
                      <w:color w:val="auto"/>
                      <w:kern w:val="0"/>
                      <w:sz w:val="21"/>
                      <w:szCs w:val="21"/>
                      <w:highlight w:val="none"/>
                      <w:u w:val="none" w:color="auto"/>
                      <w:lang w:val="en-US" w:eastAsia="zh-CN"/>
                    </w:rPr>
                    <w:t>1</w:t>
                  </w:r>
                </w:p>
              </w:tc>
            </w:tr>
            <w:tr w14:paraId="66538B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9" w:hRule="atLeast"/>
                <w:jc w:val="center"/>
              </w:trPr>
              <w:tc>
                <w:tcPr>
                  <w:tcW w:w="502" w:type="pct"/>
                  <w:noWrap w:val="0"/>
                  <w:vAlign w:val="center"/>
                </w:tcPr>
                <w:p w14:paraId="349115A0">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 w:val="21"/>
                      <w:szCs w:val="21"/>
                      <w:highlight w:val="none"/>
                      <w:u w:val="none" w:color="auto"/>
                    </w:rPr>
                  </w:pPr>
                  <w:r>
                    <w:rPr>
                      <w:rFonts w:hint="eastAsia" w:ascii="Times New Roman" w:hAnsi="Times New Roman" w:eastAsia="宋体" w:cs="Times New Roman"/>
                      <w:b w:val="0"/>
                      <w:bCs w:val="0"/>
                      <w:color w:val="auto"/>
                      <w:kern w:val="0"/>
                      <w:sz w:val="21"/>
                      <w:szCs w:val="21"/>
                      <w:highlight w:val="none"/>
                      <w:u w:val="none" w:color="auto"/>
                    </w:rPr>
                    <w:t>管控</w:t>
                  </w:r>
                </w:p>
                <w:p w14:paraId="2455D507">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 w:val="21"/>
                      <w:szCs w:val="21"/>
                      <w:highlight w:val="none"/>
                      <w:u w:val="none" w:color="auto"/>
                    </w:rPr>
                  </w:pPr>
                  <w:r>
                    <w:rPr>
                      <w:rFonts w:hint="eastAsia" w:ascii="Times New Roman" w:hAnsi="Times New Roman" w:eastAsia="宋体" w:cs="Times New Roman"/>
                      <w:b w:val="0"/>
                      <w:bCs w:val="0"/>
                      <w:color w:val="auto"/>
                      <w:kern w:val="0"/>
                      <w:sz w:val="21"/>
                      <w:szCs w:val="21"/>
                      <w:highlight w:val="none"/>
                      <w:u w:val="none" w:color="auto"/>
                    </w:rPr>
                    <w:t>类别</w:t>
                  </w:r>
                </w:p>
              </w:tc>
              <w:tc>
                <w:tcPr>
                  <w:tcW w:w="2796" w:type="pct"/>
                  <w:noWrap w:val="0"/>
                  <w:vAlign w:val="center"/>
                </w:tcPr>
                <w:p w14:paraId="3ED3E326">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 w:val="21"/>
                      <w:szCs w:val="21"/>
                      <w:highlight w:val="none"/>
                      <w:u w:val="none" w:color="auto"/>
                    </w:rPr>
                  </w:pPr>
                  <w:r>
                    <w:rPr>
                      <w:rFonts w:hint="eastAsia" w:ascii="Times New Roman" w:hAnsi="Times New Roman" w:eastAsia="宋体" w:cs="Times New Roman"/>
                      <w:b w:val="0"/>
                      <w:bCs w:val="0"/>
                      <w:color w:val="auto"/>
                      <w:kern w:val="0"/>
                      <w:sz w:val="21"/>
                      <w:szCs w:val="21"/>
                      <w:highlight w:val="none"/>
                      <w:u w:val="none" w:color="auto"/>
                    </w:rPr>
                    <w:t>管控要求</w:t>
                  </w:r>
                </w:p>
              </w:tc>
              <w:tc>
                <w:tcPr>
                  <w:tcW w:w="1700" w:type="pct"/>
                  <w:noWrap w:val="0"/>
                  <w:vAlign w:val="center"/>
                </w:tcPr>
                <w:p w14:paraId="59542453">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 w:val="21"/>
                      <w:szCs w:val="21"/>
                      <w:highlight w:val="none"/>
                      <w:u w:val="none" w:color="auto"/>
                      <w:lang w:eastAsia="zh-CN"/>
                    </w:rPr>
                  </w:pPr>
                  <w:r>
                    <w:rPr>
                      <w:rFonts w:hint="eastAsia" w:ascii="Times New Roman" w:hAnsi="Times New Roman" w:eastAsia="宋体" w:cs="Times New Roman"/>
                      <w:b w:val="0"/>
                      <w:bCs w:val="0"/>
                      <w:color w:val="auto"/>
                      <w:kern w:val="0"/>
                      <w:sz w:val="21"/>
                      <w:szCs w:val="21"/>
                      <w:highlight w:val="none"/>
                      <w:u w:val="none" w:color="auto"/>
                      <w:lang w:val="en-US" w:eastAsia="zh-CN"/>
                    </w:rPr>
                    <w:t>符合性分析</w:t>
                  </w:r>
                </w:p>
              </w:tc>
            </w:tr>
            <w:tr w14:paraId="153FFB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086" w:hRule="atLeast"/>
                <w:jc w:val="center"/>
              </w:trPr>
              <w:tc>
                <w:tcPr>
                  <w:tcW w:w="502" w:type="pct"/>
                  <w:noWrap w:val="0"/>
                  <w:vAlign w:val="center"/>
                </w:tcPr>
                <w:p w14:paraId="38E15126">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 w:val="21"/>
                      <w:szCs w:val="21"/>
                      <w:highlight w:val="none"/>
                      <w:u w:val="none" w:color="auto"/>
                    </w:rPr>
                  </w:pPr>
                  <w:r>
                    <w:rPr>
                      <w:rFonts w:hint="eastAsia" w:ascii="Times New Roman" w:hAnsi="Times New Roman" w:eastAsia="宋体" w:cs="Times New Roman"/>
                      <w:b w:val="0"/>
                      <w:bCs w:val="0"/>
                      <w:color w:val="auto"/>
                      <w:kern w:val="0"/>
                      <w:sz w:val="21"/>
                      <w:szCs w:val="21"/>
                      <w:highlight w:val="none"/>
                      <w:u w:val="none" w:color="auto"/>
                    </w:rPr>
                    <w:t>污染物排放管控</w:t>
                  </w:r>
                </w:p>
              </w:tc>
              <w:tc>
                <w:tcPr>
                  <w:tcW w:w="2796" w:type="pct"/>
                  <w:shd w:val="clear" w:color="auto" w:fill="auto"/>
                  <w:noWrap w:val="0"/>
                  <w:vAlign w:val="center"/>
                </w:tcPr>
                <w:p w14:paraId="42BE29BC">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 w:val="21"/>
                      <w:szCs w:val="21"/>
                      <w:highlight w:val="none"/>
                      <w:u w:val="none" w:color="auto"/>
                      <w:lang w:val="en-US" w:eastAsia="zh-CN"/>
                    </w:rPr>
                  </w:pPr>
                  <w:r>
                    <w:rPr>
                      <w:rFonts w:hint="eastAsia" w:ascii="Times New Roman" w:hAnsi="Times New Roman" w:eastAsia="宋体" w:cs="Times New Roman"/>
                      <w:b w:val="0"/>
                      <w:bCs w:val="0"/>
                      <w:color w:val="auto"/>
                      <w:kern w:val="0"/>
                      <w:sz w:val="21"/>
                      <w:szCs w:val="21"/>
                      <w:highlight w:val="none"/>
                      <w:u w:val="none" w:color="auto"/>
                    </w:rPr>
                    <w:t>贯彻实施国家与吉林省大气、水污染相关各项标准，深化重点行业污染治理，推进国家和地方确定的各项产业结构调整措施。新、改、扩建项目，满足产业准入、总量控制、排放标准等管理制度要求的前提下，实行工业项目进园、集约高效发展。</w:t>
                  </w:r>
                </w:p>
              </w:tc>
              <w:tc>
                <w:tcPr>
                  <w:tcW w:w="1700" w:type="pct"/>
                  <w:noWrap w:val="0"/>
                  <w:vAlign w:val="center"/>
                </w:tcPr>
                <w:p w14:paraId="03279B72">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 w:val="21"/>
                      <w:szCs w:val="21"/>
                      <w:highlight w:val="none"/>
                      <w:u w:val="single" w:color="auto"/>
                      <w:lang w:eastAsia="zh-CN"/>
                    </w:rPr>
                  </w:pPr>
                  <w:r>
                    <w:rPr>
                      <w:rFonts w:hint="eastAsia" w:ascii="Times New Roman" w:hAnsi="Times New Roman" w:eastAsia="宋体" w:cs="Times New Roman"/>
                      <w:b w:val="0"/>
                      <w:bCs w:val="0"/>
                      <w:color w:val="auto"/>
                      <w:kern w:val="0"/>
                      <w:sz w:val="21"/>
                      <w:szCs w:val="21"/>
                      <w:highlight w:val="none"/>
                      <w:u w:val="single" w:color="auto"/>
                      <w:lang w:eastAsia="zh-CN"/>
                    </w:rPr>
                    <w:t>符合。</w:t>
                  </w:r>
                </w:p>
                <w:p w14:paraId="51BA1F97">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 w:val="21"/>
                      <w:szCs w:val="21"/>
                      <w:highlight w:val="none"/>
                      <w:u w:val="single" w:color="auto"/>
                      <w:lang w:eastAsia="zh-CN"/>
                    </w:rPr>
                  </w:pPr>
                  <w:r>
                    <w:rPr>
                      <w:rFonts w:hint="eastAsia" w:ascii="Times New Roman" w:hAnsi="Times New Roman" w:eastAsia="宋体" w:cs="Times New Roman"/>
                      <w:b w:val="0"/>
                      <w:bCs w:val="0"/>
                      <w:color w:val="auto"/>
                      <w:kern w:val="0"/>
                      <w:sz w:val="21"/>
                      <w:szCs w:val="21"/>
                      <w:highlight w:val="none"/>
                      <w:u w:val="single" w:color="auto"/>
                      <w:lang w:eastAsia="zh-CN"/>
                    </w:rPr>
                    <w:t>本项目符合</w:t>
                  </w:r>
                  <w:r>
                    <w:rPr>
                      <w:rFonts w:hint="eastAsia" w:ascii="Times New Roman" w:hAnsi="Times New Roman" w:eastAsia="宋体" w:cs="Times New Roman"/>
                      <w:b w:val="0"/>
                      <w:bCs w:val="0"/>
                      <w:color w:val="auto"/>
                      <w:kern w:val="0"/>
                      <w:sz w:val="21"/>
                      <w:szCs w:val="21"/>
                      <w:highlight w:val="none"/>
                      <w:u w:val="single" w:color="auto"/>
                    </w:rPr>
                    <w:t>吉林省大气、水污染相关各项标准</w:t>
                  </w:r>
                  <w:r>
                    <w:rPr>
                      <w:rFonts w:hint="eastAsia" w:ascii="Times New Roman" w:hAnsi="Times New Roman" w:eastAsia="宋体" w:cs="Times New Roman"/>
                      <w:b w:val="0"/>
                      <w:bCs w:val="0"/>
                      <w:color w:val="auto"/>
                      <w:kern w:val="0"/>
                      <w:sz w:val="21"/>
                      <w:szCs w:val="21"/>
                      <w:highlight w:val="none"/>
                      <w:u w:val="single" w:color="auto"/>
                      <w:lang w:eastAsia="zh-CN"/>
                    </w:rPr>
                    <w:t>，</w:t>
                  </w:r>
                  <w:r>
                    <w:rPr>
                      <w:rFonts w:hint="eastAsia" w:ascii="Times New Roman" w:hAnsi="Times New Roman" w:eastAsia="宋体" w:cs="Times New Roman"/>
                      <w:b w:val="0"/>
                      <w:bCs w:val="0"/>
                      <w:color w:val="auto"/>
                      <w:kern w:val="0"/>
                      <w:sz w:val="21"/>
                      <w:szCs w:val="21"/>
                      <w:highlight w:val="none"/>
                      <w:u w:val="single" w:color="auto"/>
                    </w:rPr>
                    <w:t>满足产业准入、总量控制、排放标准等</w:t>
                  </w:r>
                  <w:r>
                    <w:rPr>
                      <w:rFonts w:hint="eastAsia" w:ascii="Times New Roman" w:hAnsi="Times New Roman" w:eastAsia="宋体" w:cs="Times New Roman"/>
                      <w:b w:val="0"/>
                      <w:bCs w:val="0"/>
                      <w:color w:val="auto"/>
                      <w:kern w:val="0"/>
                      <w:sz w:val="21"/>
                      <w:szCs w:val="21"/>
                      <w:highlight w:val="none"/>
                      <w:u w:val="single" w:color="auto"/>
                      <w:lang w:eastAsia="zh-CN"/>
                    </w:rPr>
                    <w:t>要求。本项目为粮食烘干项目，不属于工业项目，无需进园区，热风炉废气采用高效布袋除尘器处理达标后排放，筛分、烘干等无组织废气均采用合理无组织控制措施，满足无组织废气标准要求。</w:t>
                  </w:r>
                </w:p>
              </w:tc>
            </w:tr>
          </w:tbl>
          <w:p w14:paraId="2185910E">
            <w:pPr>
              <w:pStyle w:val="5"/>
              <w:keepNext w:val="0"/>
              <w:keepLines w:val="0"/>
              <w:pageBreakBefore w:val="0"/>
              <w:widowControl/>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auto"/>
                <w:sz w:val="24"/>
                <w:szCs w:val="24"/>
                <w:highlight w:val="none"/>
                <w:u w:val="none" w:color="auto"/>
              </w:rPr>
            </w:pPr>
            <w:r>
              <w:rPr>
                <w:rFonts w:hint="default" w:ascii="Times New Roman" w:hAnsi="Times New Roman" w:cs="Times New Roman"/>
                <w:color w:val="auto"/>
                <w:sz w:val="24"/>
                <w:szCs w:val="24"/>
                <w:highlight w:val="none"/>
                <w:u w:val="none" w:color="auto"/>
              </w:rPr>
              <w:t>综上，本项目符合“</w:t>
            </w:r>
            <w:r>
              <w:rPr>
                <w:rFonts w:ascii="宋体" w:hAnsi="宋体" w:eastAsia="宋体" w:cs="宋体"/>
                <w:color w:val="auto"/>
                <w:sz w:val="24"/>
                <w:szCs w:val="24"/>
                <w:highlight w:val="none"/>
                <w:u w:val="none" w:color="auto"/>
              </w:rPr>
              <w:t>生态环境分区管控</w:t>
            </w:r>
            <w:r>
              <w:rPr>
                <w:rFonts w:hint="default" w:ascii="Times New Roman" w:hAnsi="Times New Roman" w:cs="Times New Roman"/>
                <w:color w:val="auto"/>
                <w:sz w:val="24"/>
                <w:szCs w:val="24"/>
                <w:highlight w:val="none"/>
                <w:u w:val="none" w:color="auto"/>
              </w:rPr>
              <w:t>”要求。</w:t>
            </w:r>
          </w:p>
          <w:p w14:paraId="1ACBA3BF">
            <w:pPr>
              <w:pStyle w:val="5"/>
              <w:keepNext w:val="0"/>
              <w:keepLines w:val="0"/>
              <w:pageBreakBefore w:val="0"/>
              <w:widowControl/>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auto"/>
                <w:sz w:val="24"/>
                <w:szCs w:val="24"/>
                <w:highlight w:val="none"/>
                <w:u w:val="none" w:color="auto"/>
              </w:rPr>
            </w:pPr>
            <w:r>
              <w:rPr>
                <w:rFonts w:hint="default" w:ascii="Times New Roman" w:hAnsi="Times New Roman" w:cs="Times New Roman"/>
                <w:color w:val="auto"/>
                <w:sz w:val="24"/>
                <w:szCs w:val="24"/>
                <w:highlight w:val="none"/>
                <w:u w:val="none" w:color="auto"/>
              </w:rPr>
              <w:t>4、与质量巩固提升行动方案符合性分析</w:t>
            </w:r>
          </w:p>
          <w:p w14:paraId="06D63EC0">
            <w:pPr>
              <w:pStyle w:val="5"/>
              <w:keepNext w:val="0"/>
              <w:keepLines w:val="0"/>
              <w:pageBreakBefore w:val="0"/>
              <w:widowControl/>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auto"/>
                <w:sz w:val="24"/>
                <w:szCs w:val="24"/>
                <w:highlight w:val="none"/>
                <w:u w:val="none" w:color="auto"/>
              </w:rPr>
            </w:pPr>
            <w:r>
              <w:rPr>
                <w:rFonts w:hint="default" w:ascii="Times New Roman" w:hAnsi="Times New Roman" w:cs="Times New Roman"/>
                <w:color w:val="auto"/>
                <w:sz w:val="24"/>
                <w:szCs w:val="24"/>
                <w:highlight w:val="none"/>
                <w:u w:val="none" w:color="auto"/>
              </w:rPr>
              <w:t>根据《吉林省人民政府办公厅关于印发吉林省空气、水环境、土壤环境质量巩固提升三个行动方案的通知》（吉政办发</w:t>
            </w:r>
            <w:r>
              <w:rPr>
                <w:rFonts w:hint="eastAsia" w:cs="Times New Roman"/>
                <w:color w:val="auto"/>
                <w:sz w:val="24"/>
                <w:szCs w:val="24"/>
                <w:highlight w:val="none"/>
                <w:u w:val="none" w:color="auto"/>
                <w:lang w:eastAsia="zh-CN"/>
              </w:rPr>
              <w:t>〔2021〕10号</w:t>
            </w:r>
            <w:r>
              <w:rPr>
                <w:rFonts w:hint="default" w:ascii="Times New Roman" w:hAnsi="Times New Roman" w:cs="Times New Roman"/>
                <w:color w:val="auto"/>
                <w:sz w:val="24"/>
                <w:szCs w:val="24"/>
                <w:highlight w:val="none"/>
                <w:u w:val="none" w:color="auto"/>
              </w:rPr>
              <w:t>），《吉林市生态环境保护委员会办公室关于印发吉林市空气、水环境、土壤环境质量巩固提升三个行动方案</w:t>
            </w:r>
            <w:r>
              <w:rPr>
                <w:rFonts w:hint="eastAsia" w:cs="Times New Roman"/>
                <w:color w:val="auto"/>
                <w:sz w:val="24"/>
                <w:szCs w:val="24"/>
                <w:highlight w:val="none"/>
                <w:u w:val="none" w:color="auto"/>
                <w:lang w:eastAsia="zh-CN"/>
              </w:rPr>
              <w:t>，</w:t>
            </w:r>
            <w:r>
              <w:rPr>
                <w:rFonts w:hint="default" w:ascii="Times New Roman" w:hAnsi="Times New Roman" w:cs="Times New Roman"/>
                <w:color w:val="auto"/>
                <w:sz w:val="24"/>
                <w:szCs w:val="24"/>
                <w:highlight w:val="none"/>
                <w:u w:val="none" w:color="auto"/>
              </w:rPr>
              <w:t>本项目符合性分析如下表。</w:t>
            </w:r>
          </w:p>
          <w:p w14:paraId="0C6F9C0F">
            <w:pPr>
              <w:keepNext w:val="0"/>
              <w:keepLines w:val="0"/>
              <w:pageBreakBefore w:val="0"/>
              <w:widowControl/>
              <w:kinsoku/>
              <w:wordWrap/>
              <w:overflowPunct/>
              <w:topLinePunct w:val="0"/>
              <w:autoSpaceDE/>
              <w:autoSpaceDN/>
              <w:bidi w:val="0"/>
              <w:spacing w:line="360" w:lineRule="auto"/>
              <w:ind w:firstLine="482" w:firstLineChars="200"/>
              <w:jc w:val="center"/>
              <w:textAlignment w:val="auto"/>
              <w:rPr>
                <w:rFonts w:hint="default" w:ascii="Times New Roman" w:hAnsi="Times New Roman" w:cs="Times New Roman"/>
                <w:b/>
                <w:bCs/>
                <w:color w:val="auto"/>
                <w:sz w:val="24"/>
                <w:highlight w:val="none"/>
                <w:u w:val="none" w:color="auto"/>
              </w:rPr>
            </w:pPr>
            <w:r>
              <w:rPr>
                <w:rFonts w:hint="default" w:ascii="Times New Roman" w:hAnsi="Times New Roman" w:cs="Times New Roman"/>
                <w:b/>
                <w:bCs/>
                <w:color w:val="auto"/>
                <w:sz w:val="24"/>
                <w:highlight w:val="none"/>
                <w:u w:val="none" w:color="auto"/>
              </w:rPr>
              <w:t>表</w:t>
            </w:r>
            <w:r>
              <w:rPr>
                <w:rFonts w:hint="eastAsia" w:cs="Times New Roman"/>
                <w:b/>
                <w:bCs/>
                <w:color w:val="auto"/>
                <w:sz w:val="24"/>
                <w:highlight w:val="none"/>
                <w:u w:val="none" w:color="auto"/>
                <w:lang w:val="en-US" w:eastAsia="zh-CN"/>
              </w:rPr>
              <w:t>1-</w:t>
            </w:r>
            <w:r>
              <w:rPr>
                <w:rFonts w:hint="default" w:ascii="Times New Roman" w:hAnsi="Times New Roman" w:cs="Times New Roman"/>
                <w:b/>
                <w:bCs/>
                <w:color w:val="auto"/>
                <w:sz w:val="24"/>
                <w:highlight w:val="none"/>
                <w:u w:val="none" w:color="auto"/>
              </w:rPr>
              <w:t>4与吉政办发</w:t>
            </w:r>
            <w:r>
              <w:rPr>
                <w:rFonts w:hint="eastAsia" w:cs="Times New Roman"/>
                <w:b/>
                <w:bCs/>
                <w:color w:val="auto"/>
                <w:sz w:val="24"/>
                <w:highlight w:val="none"/>
                <w:u w:val="none" w:color="auto"/>
                <w:lang w:eastAsia="zh-CN"/>
              </w:rPr>
              <w:t>〔2021〕10号</w:t>
            </w:r>
            <w:r>
              <w:rPr>
                <w:rFonts w:hint="default" w:ascii="Times New Roman" w:hAnsi="Times New Roman" w:cs="Times New Roman"/>
                <w:b/>
                <w:bCs/>
                <w:color w:val="auto"/>
                <w:sz w:val="24"/>
                <w:highlight w:val="none"/>
                <w:u w:val="none" w:color="auto"/>
              </w:rPr>
              <w:t>文件要求符合性分析</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97"/>
              <w:gridCol w:w="2413"/>
            </w:tblGrid>
            <w:tr w14:paraId="578BFF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72" w:type="pct"/>
                  <w:tcBorders>
                    <w:tl2br w:val="nil"/>
                    <w:tr2bl w:val="nil"/>
                  </w:tcBorders>
                  <w:vAlign w:val="center"/>
                </w:tcPr>
                <w:p w14:paraId="4A6E8AFC">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实施方案</w:t>
                  </w:r>
                </w:p>
              </w:tc>
              <w:tc>
                <w:tcPr>
                  <w:tcW w:w="1627" w:type="pct"/>
                  <w:tcBorders>
                    <w:tl2br w:val="nil"/>
                    <w:tr2bl w:val="nil"/>
                  </w:tcBorders>
                  <w:vAlign w:val="center"/>
                </w:tcPr>
                <w:p w14:paraId="3E4E581D">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符合性分析</w:t>
                  </w:r>
                </w:p>
              </w:tc>
            </w:tr>
            <w:tr w14:paraId="0C33A6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2"/>
                  <w:tcBorders>
                    <w:tl2br w:val="nil"/>
                    <w:tr2bl w:val="nil"/>
                  </w:tcBorders>
                  <w:vAlign w:val="center"/>
                </w:tcPr>
                <w:p w14:paraId="646AA72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吉林省环境空气质量巩固提升行动方案</w:t>
                  </w:r>
                </w:p>
              </w:tc>
            </w:tr>
            <w:tr w14:paraId="70536F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4784" w:type="dxa"/>
                  <w:tcBorders>
                    <w:tl2br w:val="nil"/>
                    <w:tr2bl w:val="nil"/>
                  </w:tcBorders>
                  <w:vAlign w:val="center"/>
                </w:tcPr>
                <w:p w14:paraId="427450F8">
                  <w:pPr>
                    <w:pStyle w:val="46"/>
                    <w:spacing w:line="240" w:lineRule="auto"/>
                    <w:jc w:val="left"/>
                    <w:rPr>
                      <w:rFonts w:hint="default" w:ascii="Times New Roman" w:hAnsi="Times New Roman" w:eastAsia="宋体" w:cs="Times New Roman"/>
                      <w:b w:val="0"/>
                      <w:bCs w:val="0"/>
                      <w:color w:val="auto"/>
                      <w:kern w:val="0"/>
                      <w:szCs w:val="21"/>
                      <w:highlight w:val="none"/>
                      <w:u w:val="none" w:color="auto"/>
                    </w:rPr>
                  </w:pPr>
                  <w:r>
                    <w:rPr>
                      <w:color w:val="auto"/>
                      <w:sz w:val="21"/>
                      <w:szCs w:val="21"/>
                      <w:highlight w:val="none"/>
                      <w:u w:val="none" w:color="auto"/>
                    </w:rPr>
                    <w:t>7.加大燃煤锅炉淘汰力度。严控新建燃煤锅炉，县级以上城市建成区原则上不再新建每小时35蒸吨以下燃煤锅炉，其他地区原则上不再新建每小时10蒸吨以下燃煤锅炉。按照国家政策的调整和要求，逐步开展燃煤锅炉淘汰工作。</w:t>
                  </w:r>
                </w:p>
              </w:tc>
              <w:tc>
                <w:tcPr>
                  <w:tcW w:w="2309" w:type="dxa"/>
                  <w:tcBorders>
                    <w:tl2br w:val="nil"/>
                    <w:tr2bl w:val="nil"/>
                  </w:tcBorders>
                  <w:vAlign w:val="center"/>
                </w:tcPr>
                <w:p w14:paraId="365D27EC">
                  <w:pPr>
                    <w:pStyle w:val="46"/>
                    <w:spacing w:line="240" w:lineRule="auto"/>
                    <w:jc w:val="left"/>
                    <w:rPr>
                      <w:rFonts w:hint="eastAsia"/>
                      <w:color w:val="auto"/>
                      <w:kern w:val="2"/>
                      <w:sz w:val="21"/>
                      <w:szCs w:val="21"/>
                      <w:highlight w:val="none"/>
                      <w:u w:val="none" w:color="auto"/>
                      <w:lang w:val="en-US" w:eastAsia="zh-CN"/>
                    </w:rPr>
                  </w:pPr>
                  <w:r>
                    <w:rPr>
                      <w:rFonts w:hint="eastAsia"/>
                      <w:color w:val="auto"/>
                      <w:kern w:val="2"/>
                      <w:sz w:val="21"/>
                      <w:szCs w:val="21"/>
                      <w:highlight w:val="none"/>
                      <w:u w:val="none" w:color="auto"/>
                      <w:lang w:val="en-US" w:eastAsia="zh-CN"/>
                    </w:rPr>
                    <w:t>符合。</w:t>
                  </w:r>
                </w:p>
                <w:p w14:paraId="4C2AFC8F">
                  <w:pPr>
                    <w:pStyle w:val="46"/>
                    <w:spacing w:line="240" w:lineRule="auto"/>
                    <w:jc w:val="left"/>
                    <w:rPr>
                      <w:rFonts w:hint="default" w:ascii="Times New Roman" w:hAnsi="Times New Roman" w:eastAsia="宋体" w:cs="Times New Roman"/>
                      <w:b w:val="0"/>
                      <w:bCs w:val="0"/>
                      <w:color w:val="auto"/>
                      <w:kern w:val="0"/>
                      <w:szCs w:val="21"/>
                      <w:highlight w:val="none"/>
                      <w:u w:val="none" w:color="auto"/>
                    </w:rPr>
                  </w:pPr>
                  <w:r>
                    <w:rPr>
                      <w:rFonts w:hint="eastAsia"/>
                      <w:color w:val="auto"/>
                      <w:kern w:val="2"/>
                      <w:sz w:val="21"/>
                      <w:szCs w:val="21"/>
                      <w:highlight w:val="none"/>
                      <w:u w:val="none" w:color="auto"/>
                    </w:rPr>
                    <w:t>本项目生产使用的是燃生物质热风炉</w:t>
                  </w:r>
                  <w:r>
                    <w:rPr>
                      <w:rFonts w:hint="eastAsia"/>
                      <w:color w:val="auto"/>
                      <w:kern w:val="2"/>
                      <w:sz w:val="21"/>
                      <w:szCs w:val="21"/>
                      <w:highlight w:val="none"/>
                      <w:u w:val="none" w:color="auto"/>
                      <w:lang w:eastAsia="zh-CN"/>
                    </w:rPr>
                    <w:t>，不涉及燃煤锅炉</w:t>
                  </w:r>
                  <w:r>
                    <w:rPr>
                      <w:rFonts w:hint="eastAsia"/>
                      <w:color w:val="auto"/>
                      <w:kern w:val="2"/>
                      <w:sz w:val="21"/>
                      <w:szCs w:val="21"/>
                      <w:highlight w:val="none"/>
                      <w:u w:val="none" w:color="auto"/>
                    </w:rPr>
                    <w:t>。</w:t>
                  </w:r>
                </w:p>
              </w:tc>
            </w:tr>
            <w:tr w14:paraId="0B8BB7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4784" w:type="dxa"/>
                  <w:tcBorders>
                    <w:tl2br w:val="nil"/>
                    <w:tr2bl w:val="nil"/>
                  </w:tcBorders>
                  <w:vAlign w:val="center"/>
                </w:tcPr>
                <w:p w14:paraId="54F98C0E">
                  <w:pPr>
                    <w:pStyle w:val="46"/>
                    <w:spacing w:line="240" w:lineRule="auto"/>
                    <w:jc w:val="left"/>
                    <w:rPr>
                      <w:rFonts w:hint="default" w:ascii="Times New Roman" w:hAnsi="Times New Roman" w:eastAsia="宋体" w:cs="Times New Roman"/>
                      <w:b w:val="0"/>
                      <w:bCs w:val="0"/>
                      <w:color w:val="auto"/>
                      <w:kern w:val="0"/>
                      <w:szCs w:val="21"/>
                      <w:highlight w:val="none"/>
                      <w:u w:val="none" w:color="auto"/>
                    </w:rPr>
                  </w:pPr>
                  <w:r>
                    <w:rPr>
                      <w:color w:val="auto"/>
                      <w:sz w:val="21"/>
                      <w:szCs w:val="21"/>
                      <w:highlight w:val="none"/>
                      <w:u w:val="none" w:color="auto"/>
                    </w:rPr>
                    <w:t>10.持续推进工业污染源全面达标排放。加大工业污染源烟气高效脱硫脱硝、除尘改造力度，确保各项污染物稳定达标排放。重点排污单位全部安装自动监控设备并与生态环境部门联网。对排放不达标的企业按照“一企一策”的原则，限期整改到位。全面加强工业无组织排放管控。</w:t>
                  </w:r>
                </w:p>
              </w:tc>
              <w:tc>
                <w:tcPr>
                  <w:tcW w:w="2309" w:type="dxa"/>
                  <w:tcBorders>
                    <w:tl2br w:val="nil"/>
                    <w:tr2bl w:val="nil"/>
                  </w:tcBorders>
                  <w:vAlign w:val="center"/>
                </w:tcPr>
                <w:p w14:paraId="6A8B9CBD">
                  <w:pPr>
                    <w:pStyle w:val="46"/>
                    <w:spacing w:line="240" w:lineRule="auto"/>
                    <w:jc w:val="left"/>
                    <w:rPr>
                      <w:rFonts w:hint="eastAsia"/>
                      <w:color w:val="auto"/>
                      <w:kern w:val="2"/>
                      <w:sz w:val="21"/>
                      <w:szCs w:val="21"/>
                      <w:highlight w:val="none"/>
                      <w:u w:val="single" w:color="auto"/>
                      <w:lang w:val="en-US" w:eastAsia="zh-CN"/>
                    </w:rPr>
                  </w:pPr>
                  <w:r>
                    <w:rPr>
                      <w:rFonts w:hint="eastAsia"/>
                      <w:color w:val="auto"/>
                      <w:kern w:val="2"/>
                      <w:sz w:val="21"/>
                      <w:szCs w:val="21"/>
                      <w:highlight w:val="none"/>
                      <w:u w:val="single" w:color="auto"/>
                      <w:lang w:val="en-US" w:eastAsia="zh-CN"/>
                    </w:rPr>
                    <w:t>符合。</w:t>
                  </w:r>
                </w:p>
                <w:p w14:paraId="7041DCA7">
                  <w:pPr>
                    <w:pStyle w:val="46"/>
                    <w:spacing w:line="240" w:lineRule="auto"/>
                    <w:jc w:val="left"/>
                    <w:rPr>
                      <w:rFonts w:hint="eastAsia" w:ascii="Times New Roman" w:hAnsi="Times New Roman" w:eastAsia="宋体" w:cs="Times New Roman"/>
                      <w:b w:val="0"/>
                      <w:bCs w:val="0"/>
                      <w:color w:val="auto"/>
                      <w:kern w:val="0"/>
                      <w:szCs w:val="21"/>
                      <w:highlight w:val="none"/>
                      <w:u w:val="single" w:color="auto"/>
                      <w:lang w:eastAsia="zh-CN"/>
                    </w:rPr>
                  </w:pPr>
                  <w:r>
                    <w:rPr>
                      <w:rFonts w:hint="eastAsia"/>
                      <w:color w:val="auto"/>
                      <w:kern w:val="2"/>
                      <w:sz w:val="21"/>
                      <w:szCs w:val="21"/>
                      <w:highlight w:val="none"/>
                      <w:u w:val="single" w:color="auto"/>
                      <w:lang w:eastAsia="zh-CN"/>
                    </w:rPr>
                    <w:t>本项目热风炉采用高效布袋除尘器</w:t>
                  </w:r>
                  <w:r>
                    <w:rPr>
                      <w:rFonts w:hint="eastAsia"/>
                      <w:color w:val="auto"/>
                      <w:sz w:val="21"/>
                      <w:szCs w:val="21"/>
                      <w:highlight w:val="none"/>
                      <w:u w:val="single" w:color="auto"/>
                    </w:rPr>
                    <w:t>处理后达标排放</w:t>
                  </w:r>
                  <w:r>
                    <w:rPr>
                      <w:rFonts w:hint="eastAsia"/>
                      <w:color w:val="auto"/>
                      <w:sz w:val="21"/>
                      <w:szCs w:val="21"/>
                      <w:highlight w:val="none"/>
                      <w:u w:val="single" w:color="auto"/>
                      <w:lang w:eastAsia="zh-CN"/>
                    </w:rPr>
                    <w:t>，本项目不属于重点排污单位，筛分、烘干等无组织废气均采用合理无组织控制措施，满足无组织废气标准要求。</w:t>
                  </w:r>
                </w:p>
              </w:tc>
            </w:tr>
            <w:tr w14:paraId="37242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4784" w:type="dxa"/>
                  <w:tcBorders>
                    <w:tl2br w:val="nil"/>
                    <w:tr2bl w:val="nil"/>
                  </w:tcBorders>
                  <w:vAlign w:val="center"/>
                </w:tcPr>
                <w:p w14:paraId="79F7A8CE">
                  <w:pPr>
                    <w:pStyle w:val="46"/>
                    <w:spacing w:line="240" w:lineRule="auto"/>
                    <w:jc w:val="left"/>
                    <w:rPr>
                      <w:rFonts w:hint="default" w:ascii="Times New Roman" w:hAnsi="Times New Roman" w:eastAsia="宋体" w:cs="Times New Roman"/>
                      <w:b w:val="0"/>
                      <w:bCs w:val="0"/>
                      <w:color w:val="auto"/>
                      <w:kern w:val="0"/>
                      <w:szCs w:val="21"/>
                      <w:highlight w:val="none"/>
                      <w:u w:val="none" w:color="auto"/>
                    </w:rPr>
                  </w:pPr>
                  <w:r>
                    <w:rPr>
                      <w:rFonts w:hint="eastAsia"/>
                      <w:color w:val="auto"/>
                      <w:sz w:val="21"/>
                      <w:szCs w:val="21"/>
                      <w:highlight w:val="none"/>
                      <w:u w:val="none" w:color="auto"/>
                    </w:rPr>
                    <w:t>7.推进“散、乱、污”企业深度整治。持续开展“散、乱、污”企业整治回头看，对存在严重涉水环境问题的“散、乱、污”企业，按照规范改造一批、扶持提升一批、搬迁入园一批的要求，予以整改。</w:t>
                  </w:r>
                </w:p>
              </w:tc>
              <w:tc>
                <w:tcPr>
                  <w:tcW w:w="2309" w:type="dxa"/>
                  <w:tcBorders>
                    <w:tl2br w:val="nil"/>
                    <w:tr2bl w:val="nil"/>
                  </w:tcBorders>
                  <w:vAlign w:val="center"/>
                </w:tcPr>
                <w:p w14:paraId="327630BA">
                  <w:pPr>
                    <w:pStyle w:val="46"/>
                    <w:spacing w:line="240" w:lineRule="auto"/>
                    <w:jc w:val="left"/>
                    <w:rPr>
                      <w:rFonts w:hint="eastAsia"/>
                      <w:color w:val="auto"/>
                      <w:sz w:val="21"/>
                      <w:szCs w:val="21"/>
                      <w:highlight w:val="none"/>
                      <w:u w:val="none" w:color="auto"/>
                      <w:lang w:val="en-US" w:eastAsia="zh-CN"/>
                    </w:rPr>
                  </w:pPr>
                  <w:r>
                    <w:rPr>
                      <w:rFonts w:hint="eastAsia"/>
                      <w:color w:val="auto"/>
                      <w:sz w:val="21"/>
                      <w:szCs w:val="21"/>
                      <w:highlight w:val="none"/>
                      <w:u w:val="none" w:color="auto"/>
                      <w:lang w:val="en-US" w:eastAsia="zh-CN"/>
                    </w:rPr>
                    <w:t>符合。</w:t>
                  </w:r>
                </w:p>
                <w:p w14:paraId="5C1AA42A">
                  <w:pPr>
                    <w:pStyle w:val="46"/>
                    <w:spacing w:line="240" w:lineRule="auto"/>
                    <w:jc w:val="left"/>
                    <w:rPr>
                      <w:rFonts w:hint="default" w:ascii="Times New Roman" w:hAnsi="Times New Roman" w:eastAsia="宋体" w:cs="Times New Roman"/>
                      <w:b w:val="0"/>
                      <w:bCs w:val="0"/>
                      <w:color w:val="auto"/>
                      <w:kern w:val="0"/>
                      <w:szCs w:val="21"/>
                      <w:highlight w:val="none"/>
                      <w:u w:val="none" w:color="auto"/>
                    </w:rPr>
                  </w:pPr>
                  <w:r>
                    <w:rPr>
                      <w:rFonts w:hint="eastAsia"/>
                      <w:color w:val="auto"/>
                      <w:sz w:val="21"/>
                      <w:szCs w:val="21"/>
                      <w:highlight w:val="none"/>
                      <w:u w:val="none" w:color="auto"/>
                    </w:rPr>
                    <w:t>本项目</w:t>
                  </w:r>
                  <w:r>
                    <w:rPr>
                      <w:rFonts w:hint="eastAsia"/>
                      <w:color w:val="auto"/>
                      <w:sz w:val="21"/>
                      <w:szCs w:val="21"/>
                      <w:highlight w:val="none"/>
                      <w:u w:val="none" w:color="auto"/>
                      <w:lang w:eastAsia="zh-CN"/>
                    </w:rPr>
                    <w:t>不涉及</w:t>
                  </w:r>
                  <w:r>
                    <w:rPr>
                      <w:rFonts w:hint="eastAsia"/>
                      <w:color w:val="auto"/>
                      <w:sz w:val="21"/>
                      <w:szCs w:val="21"/>
                      <w:highlight w:val="none"/>
                      <w:u w:val="none" w:color="auto"/>
                    </w:rPr>
                    <w:t>。</w:t>
                  </w:r>
                </w:p>
              </w:tc>
            </w:tr>
            <w:tr w14:paraId="3A19F6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2"/>
                  <w:tcBorders>
                    <w:tl2br w:val="nil"/>
                    <w:tr2bl w:val="nil"/>
                  </w:tcBorders>
                  <w:vAlign w:val="center"/>
                </w:tcPr>
                <w:p w14:paraId="665474D3">
                  <w:pPr>
                    <w:pStyle w:val="45"/>
                    <w:adjustRightInd w:val="0"/>
                    <w:snapToGrid w:val="0"/>
                    <w:spacing w:beforeLines="0" w:after="0" w:afterAutospacing="0" w:line="240" w:lineRule="auto"/>
                    <w:jc w:val="both"/>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吉林省水环境质量巩固提升行动方案</w:t>
                  </w:r>
                </w:p>
              </w:tc>
            </w:tr>
            <w:tr w14:paraId="6F4F61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6" w:hRule="atLeast"/>
                <w:jc w:val="center"/>
              </w:trPr>
              <w:tc>
                <w:tcPr>
                  <w:tcW w:w="3372" w:type="pct"/>
                  <w:tcBorders>
                    <w:tl2br w:val="nil"/>
                    <w:tr2bl w:val="nil"/>
                  </w:tcBorders>
                </w:tcPr>
                <w:p w14:paraId="39B9347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规范工业企业排水管理。经济技术开发区、高新技术产业开发区、出口加工区等工业集聚区应当按规定建设污水集中处理设施。各地政府或工业园区管理机构要组织有关部门和单位对进入市政污水收集设施的工业企业进行排查，开展评估，经评估认定污染物不能被城镇污水厂有效处理或可能影响城镇污水处理厂出水稳定达标的，要依法责令限期退出；经评估可继续接入污水管网的，应当依法取得排污许可。</w:t>
                  </w:r>
                </w:p>
              </w:tc>
              <w:tc>
                <w:tcPr>
                  <w:tcW w:w="1627" w:type="pct"/>
                  <w:tcBorders>
                    <w:tl2br w:val="nil"/>
                    <w:tr2bl w:val="nil"/>
                  </w:tcBorders>
                </w:tcPr>
                <w:p w14:paraId="010BD59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single" w:color="auto"/>
                    </w:rPr>
                  </w:pPr>
                  <w:r>
                    <w:rPr>
                      <w:rFonts w:hint="default" w:ascii="Times New Roman" w:hAnsi="Times New Roman" w:eastAsia="宋体" w:cs="Times New Roman"/>
                      <w:b w:val="0"/>
                      <w:bCs w:val="0"/>
                      <w:color w:val="auto"/>
                      <w:kern w:val="0"/>
                      <w:szCs w:val="21"/>
                      <w:highlight w:val="none"/>
                      <w:u w:val="single" w:color="auto"/>
                    </w:rPr>
                    <w:t>符合。</w:t>
                  </w:r>
                </w:p>
                <w:p w14:paraId="1499D44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single" w:color="auto"/>
                      <w:lang w:val="en-US"/>
                    </w:rPr>
                  </w:pPr>
                  <w:r>
                    <w:rPr>
                      <w:rFonts w:hint="default" w:ascii="Times New Roman" w:hAnsi="Times New Roman" w:eastAsia="宋体" w:cs="Times New Roman"/>
                      <w:b w:val="0"/>
                      <w:bCs w:val="0"/>
                      <w:color w:val="auto"/>
                      <w:kern w:val="0"/>
                      <w:szCs w:val="21"/>
                      <w:highlight w:val="none"/>
                      <w:u w:val="single" w:color="auto"/>
                    </w:rPr>
                    <w:t>本项目</w:t>
                  </w:r>
                  <w:r>
                    <w:rPr>
                      <w:rFonts w:hint="eastAsia" w:ascii="Times New Roman" w:hAnsi="Times New Roman" w:eastAsia="宋体" w:cs="Times New Roman"/>
                      <w:b w:val="0"/>
                      <w:bCs w:val="0"/>
                      <w:color w:val="auto"/>
                      <w:kern w:val="0"/>
                      <w:szCs w:val="21"/>
                      <w:highlight w:val="none"/>
                      <w:u w:val="single" w:color="auto"/>
                      <w:lang w:val="en-US" w:eastAsia="zh-CN"/>
                    </w:rPr>
                    <w:t>无生产废水排放，不涉及排入污水管网。</w:t>
                  </w:r>
                </w:p>
              </w:tc>
            </w:tr>
            <w:tr w14:paraId="7B5E59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3372" w:type="pct"/>
                  <w:tcBorders>
                    <w:tl2br w:val="nil"/>
                    <w:tr2bl w:val="nil"/>
                  </w:tcBorders>
                </w:tcPr>
                <w:p w14:paraId="2EDD872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加强重点行业管控和清洁化改造。严格落实“三线一单”环境管控要求，按照环境管控单元和环境准入清单实施分类管理，对不符合生态环境准入清单要求的企业一律禁止准入。全面推动农副食品加工、化工、造纸、钢铁、氮肥、印染、制药、农药、电镀、染料颜料等行业实施绿色化改造，推进清洁生产，减少工业企业污染物排放量。</w:t>
                  </w:r>
                </w:p>
              </w:tc>
              <w:tc>
                <w:tcPr>
                  <w:tcW w:w="1627" w:type="pct"/>
                  <w:tcBorders>
                    <w:tl2br w:val="nil"/>
                    <w:tr2bl w:val="nil"/>
                  </w:tcBorders>
                </w:tcPr>
                <w:p w14:paraId="43A770F1">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2792938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w:t>
                  </w:r>
                  <w:r>
                    <w:rPr>
                      <w:rFonts w:hint="eastAsia" w:ascii="Times New Roman" w:hAnsi="Times New Roman" w:eastAsia="宋体" w:cs="Times New Roman"/>
                      <w:b w:val="0"/>
                      <w:bCs w:val="0"/>
                      <w:color w:val="auto"/>
                      <w:kern w:val="0"/>
                      <w:szCs w:val="21"/>
                      <w:highlight w:val="none"/>
                      <w:u w:val="none" w:color="auto"/>
                      <w:lang w:eastAsia="zh-CN"/>
                    </w:rPr>
                    <w:t>符合</w:t>
                  </w:r>
                  <w:r>
                    <w:rPr>
                      <w:rFonts w:hint="default" w:ascii="Times New Roman" w:hAnsi="Times New Roman" w:eastAsia="宋体" w:cs="Times New Roman"/>
                      <w:b w:val="0"/>
                      <w:bCs w:val="0"/>
                      <w:color w:val="auto"/>
                      <w:kern w:val="0"/>
                      <w:szCs w:val="21"/>
                      <w:highlight w:val="none"/>
                      <w:u w:val="none" w:color="auto"/>
                    </w:rPr>
                    <w:t>环境管控单元和环境准入清单</w:t>
                  </w:r>
                  <w:r>
                    <w:rPr>
                      <w:rFonts w:hint="eastAsia" w:ascii="Times New Roman" w:hAnsi="Times New Roman" w:eastAsia="宋体" w:cs="Times New Roman"/>
                      <w:b w:val="0"/>
                      <w:bCs w:val="0"/>
                      <w:color w:val="auto"/>
                      <w:kern w:val="0"/>
                      <w:szCs w:val="21"/>
                      <w:highlight w:val="none"/>
                      <w:u w:val="none" w:color="auto"/>
                      <w:lang w:eastAsia="zh-CN"/>
                    </w:rPr>
                    <w:t>要求</w:t>
                  </w:r>
                  <w:r>
                    <w:rPr>
                      <w:rFonts w:hint="default" w:ascii="Times New Roman" w:hAnsi="Times New Roman" w:eastAsia="宋体" w:cs="Times New Roman"/>
                      <w:b w:val="0"/>
                      <w:bCs w:val="0"/>
                      <w:color w:val="auto"/>
                      <w:kern w:val="0"/>
                      <w:szCs w:val="21"/>
                      <w:highlight w:val="none"/>
                      <w:u w:val="none" w:color="auto"/>
                    </w:rPr>
                    <w:t>。</w:t>
                  </w:r>
                </w:p>
              </w:tc>
            </w:tr>
            <w:tr w14:paraId="5DC2D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000" w:type="pct"/>
                  <w:gridSpan w:val="2"/>
                  <w:tcBorders>
                    <w:tl2br w:val="nil"/>
                    <w:tr2bl w:val="nil"/>
                  </w:tcBorders>
                </w:tcPr>
                <w:p w14:paraId="6ECCDBA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吉林省土壤环境质量巩固提升行动方案</w:t>
                  </w:r>
                </w:p>
              </w:tc>
            </w:tr>
            <w:tr w14:paraId="1D8985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3372" w:type="pct"/>
                  <w:tcBorders>
                    <w:tl2br w:val="nil"/>
                    <w:tr2bl w:val="nil"/>
                  </w:tcBorders>
                </w:tcPr>
                <w:p w14:paraId="659CF220">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吉林省土壤环境质量巩固提升行动加强土壤重点监管企业管控。落实有色金属冶炼、石油加工、化工、焦化、电镀、制革等土壤污染重点监管企业污染隐患排查、自行监测、拆除生产设备污染防治方案备案等制度，制定环境污染事件应急预案。完成重点企业地下储罐核实登记。开展重点企业周边土壤环境质量监测，2021年底前更新土壤污染重点监管企业名单。</w:t>
                  </w:r>
                </w:p>
              </w:tc>
              <w:tc>
                <w:tcPr>
                  <w:tcW w:w="1627" w:type="pct"/>
                  <w:tcBorders>
                    <w:tl2br w:val="nil"/>
                    <w:tr2bl w:val="nil"/>
                  </w:tcBorders>
                </w:tcPr>
                <w:p w14:paraId="12715BC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single" w:color="auto"/>
                    </w:rPr>
                  </w:pPr>
                  <w:r>
                    <w:rPr>
                      <w:rFonts w:hint="default" w:ascii="Times New Roman" w:hAnsi="Times New Roman" w:eastAsia="宋体" w:cs="Times New Roman"/>
                      <w:b w:val="0"/>
                      <w:bCs w:val="0"/>
                      <w:color w:val="auto"/>
                      <w:kern w:val="0"/>
                      <w:szCs w:val="21"/>
                      <w:highlight w:val="none"/>
                      <w:u w:val="single" w:color="auto"/>
                    </w:rPr>
                    <w:t>符合。</w:t>
                  </w:r>
                </w:p>
                <w:p w14:paraId="39B65851">
                  <w:pPr>
                    <w:pStyle w:val="45"/>
                    <w:adjustRightInd w:val="0"/>
                    <w:snapToGrid w:val="0"/>
                    <w:spacing w:beforeLines="0" w:after="0" w:afterAutospacing="0" w:line="240" w:lineRule="auto"/>
                    <w:jc w:val="left"/>
                    <w:rPr>
                      <w:rFonts w:hint="eastAsia" w:ascii="Times New Roman" w:hAnsi="Times New Roman" w:eastAsia="宋体" w:cs="Times New Roman"/>
                      <w:b w:val="0"/>
                      <w:bCs w:val="0"/>
                      <w:color w:val="auto"/>
                      <w:kern w:val="0"/>
                      <w:szCs w:val="21"/>
                      <w:highlight w:val="none"/>
                      <w:u w:val="single" w:color="auto"/>
                      <w:lang w:eastAsia="zh-CN"/>
                    </w:rPr>
                  </w:pPr>
                  <w:r>
                    <w:rPr>
                      <w:rFonts w:hint="default" w:ascii="Times New Roman" w:hAnsi="Times New Roman" w:eastAsia="宋体" w:cs="Times New Roman"/>
                      <w:b w:val="0"/>
                      <w:bCs w:val="0"/>
                      <w:color w:val="auto"/>
                      <w:kern w:val="0"/>
                      <w:szCs w:val="21"/>
                      <w:highlight w:val="none"/>
                      <w:u w:val="single" w:color="auto"/>
                    </w:rPr>
                    <w:t>本项目不属于土壤重点监管项目</w:t>
                  </w:r>
                  <w:r>
                    <w:rPr>
                      <w:rFonts w:hint="eastAsia" w:ascii="Times New Roman" w:hAnsi="Times New Roman" w:eastAsia="宋体" w:cs="Times New Roman"/>
                      <w:b w:val="0"/>
                      <w:bCs w:val="0"/>
                      <w:color w:val="auto"/>
                      <w:kern w:val="0"/>
                      <w:szCs w:val="21"/>
                      <w:highlight w:val="none"/>
                      <w:u w:val="single" w:color="auto"/>
                      <w:lang w:eastAsia="zh-CN"/>
                    </w:rPr>
                    <w:t>，不涉及地下储罐。</w:t>
                  </w:r>
                </w:p>
              </w:tc>
            </w:tr>
          </w:tbl>
          <w:p w14:paraId="26DDE932">
            <w:pPr>
              <w:pStyle w:val="5"/>
              <w:adjustRightInd w:val="0"/>
              <w:snapToGrid w:val="0"/>
              <w:spacing w:line="360" w:lineRule="auto"/>
              <w:jc w:val="both"/>
              <w:rPr>
                <w:rFonts w:hint="default" w:ascii="Times New Roman" w:hAnsi="Times New Roman" w:cs="Times New Roman"/>
                <w:color w:val="auto"/>
                <w:sz w:val="24"/>
                <w:szCs w:val="24"/>
                <w:highlight w:val="none"/>
                <w:u w:val="none" w:color="auto"/>
              </w:rPr>
            </w:pPr>
          </w:p>
          <w:p w14:paraId="42D5D13C">
            <w:pPr>
              <w:pStyle w:val="5"/>
              <w:adjustRightInd w:val="0"/>
              <w:snapToGrid w:val="0"/>
              <w:spacing w:line="360" w:lineRule="auto"/>
              <w:jc w:val="both"/>
              <w:rPr>
                <w:rFonts w:hint="default" w:ascii="Times New Roman" w:hAnsi="Times New Roman" w:cs="Times New Roman"/>
                <w:b/>
                <w:bCs/>
                <w:color w:val="auto"/>
                <w:sz w:val="24"/>
                <w:szCs w:val="24"/>
                <w:highlight w:val="none"/>
                <w:u w:val="none" w:color="auto"/>
              </w:rPr>
            </w:pPr>
            <w:r>
              <w:rPr>
                <w:rFonts w:hint="default" w:ascii="Times New Roman" w:hAnsi="Times New Roman" w:cs="Times New Roman"/>
                <w:b/>
                <w:bCs/>
                <w:color w:val="auto"/>
                <w:sz w:val="24"/>
                <w:szCs w:val="24"/>
                <w:highlight w:val="none"/>
                <w:u w:val="none" w:color="auto"/>
              </w:rPr>
              <w:t>表</w:t>
            </w:r>
            <w:r>
              <w:rPr>
                <w:rFonts w:hint="eastAsia" w:cs="Times New Roman"/>
                <w:b/>
                <w:bCs/>
                <w:color w:val="auto"/>
                <w:sz w:val="24"/>
                <w:szCs w:val="24"/>
                <w:highlight w:val="none"/>
                <w:u w:val="none" w:color="auto"/>
                <w:lang w:val="en-US" w:eastAsia="zh-CN"/>
              </w:rPr>
              <w:t>1-</w:t>
            </w:r>
            <w:r>
              <w:rPr>
                <w:rFonts w:hint="default" w:ascii="Times New Roman" w:hAnsi="Times New Roman" w:cs="Times New Roman"/>
                <w:b/>
                <w:bCs/>
                <w:color w:val="auto"/>
                <w:sz w:val="24"/>
                <w:szCs w:val="24"/>
                <w:highlight w:val="none"/>
                <w:u w:val="none" w:color="auto"/>
              </w:rPr>
              <w:t>5与吉市生环委办发</w:t>
            </w:r>
            <w:r>
              <w:rPr>
                <w:rFonts w:hint="eastAsia" w:cs="Times New Roman"/>
                <w:b/>
                <w:bCs/>
                <w:color w:val="auto"/>
                <w:sz w:val="24"/>
                <w:szCs w:val="24"/>
                <w:highlight w:val="none"/>
                <w:u w:val="none" w:color="auto"/>
                <w:lang w:eastAsia="zh-CN"/>
              </w:rPr>
              <w:t>〔2021〕14号</w:t>
            </w:r>
            <w:r>
              <w:rPr>
                <w:rFonts w:hint="default" w:ascii="Times New Roman" w:hAnsi="Times New Roman" w:cs="Times New Roman"/>
                <w:b/>
                <w:bCs/>
                <w:color w:val="auto"/>
                <w:sz w:val="24"/>
                <w:szCs w:val="24"/>
                <w:highlight w:val="none"/>
                <w:u w:val="none" w:color="auto"/>
              </w:rPr>
              <w:t>文件要求符合性分析</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22"/>
              <w:gridCol w:w="2388"/>
            </w:tblGrid>
            <w:tr w14:paraId="54A79A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92" w:hRule="atLeast"/>
                <w:jc w:val="center"/>
              </w:trPr>
              <w:tc>
                <w:tcPr>
                  <w:tcW w:w="3389" w:type="pct"/>
                  <w:tcBorders>
                    <w:tl2br w:val="nil"/>
                    <w:tr2bl w:val="nil"/>
                  </w:tcBorders>
                  <w:vAlign w:val="center"/>
                </w:tcPr>
                <w:p w14:paraId="25DFC42E">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实施方案</w:t>
                  </w:r>
                </w:p>
              </w:tc>
              <w:tc>
                <w:tcPr>
                  <w:tcW w:w="1610" w:type="pct"/>
                  <w:tcBorders>
                    <w:tl2br w:val="nil"/>
                    <w:tr2bl w:val="nil"/>
                  </w:tcBorders>
                  <w:vAlign w:val="center"/>
                </w:tcPr>
                <w:p w14:paraId="6F5E49ED">
                  <w:pPr>
                    <w:pStyle w:val="45"/>
                    <w:adjustRightInd w:val="0"/>
                    <w:snapToGrid w:val="0"/>
                    <w:spacing w:beforeLines="0" w:after="0" w:afterAutospacing="0" w:line="240" w:lineRule="auto"/>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符合性分析</w:t>
                  </w:r>
                </w:p>
              </w:tc>
            </w:tr>
            <w:tr w14:paraId="78685A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5000" w:type="pct"/>
                  <w:gridSpan w:val="2"/>
                  <w:tcBorders>
                    <w:tl2br w:val="nil"/>
                    <w:tr2bl w:val="nil"/>
                  </w:tcBorders>
                </w:tcPr>
                <w:p w14:paraId="6241B1F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吉林市空气质量巩固提升行动方案</w:t>
                  </w:r>
                </w:p>
              </w:tc>
            </w:tr>
            <w:tr w14:paraId="41C588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3389" w:type="pct"/>
                  <w:tcBorders>
                    <w:tl2br w:val="nil"/>
                    <w:tr2bl w:val="nil"/>
                  </w:tcBorders>
                  <w:vAlign w:val="center"/>
                </w:tcPr>
                <w:p w14:paraId="18217F3C">
                  <w:pPr>
                    <w:adjustRightInd w:val="0"/>
                    <w:snapToGrid w:val="0"/>
                    <w:jc w:val="both"/>
                    <w:rPr>
                      <w:rFonts w:hint="default" w:ascii="Times New Roman" w:hAnsi="Times New Roman" w:eastAsia="宋体" w:cs="Times New Roman"/>
                      <w:b w:val="0"/>
                      <w:bCs w:val="0"/>
                      <w:color w:val="auto"/>
                      <w:kern w:val="0"/>
                      <w:szCs w:val="21"/>
                      <w:highlight w:val="none"/>
                      <w:u w:val="none" w:color="auto"/>
                    </w:rPr>
                  </w:pPr>
                  <w:r>
                    <w:rPr>
                      <w:rFonts w:hint="eastAsia"/>
                      <w:snapToGrid w:val="0"/>
                      <w:color w:val="auto"/>
                      <w:kern w:val="0"/>
                      <w:szCs w:val="21"/>
                      <w:highlight w:val="none"/>
                      <w:u w:val="none" w:color="auto"/>
                    </w:rPr>
                    <w:t>7.加大燃煤锅炉淘汰力度。严控新建燃煤锅炉，县级以上城市建成区原则上不再新建每小时35蒸吨以下燃煤锅炉，其他地区原则上不再新建每小时10蒸吨及以下燃煤锅炉。按照国家政策的调整和要求，逐步开展燃煤锅炉淘汰工作。</w:t>
                  </w:r>
                </w:p>
              </w:tc>
              <w:tc>
                <w:tcPr>
                  <w:tcW w:w="1610" w:type="pct"/>
                  <w:tcBorders>
                    <w:tl2br w:val="nil"/>
                    <w:tr2bl w:val="nil"/>
                  </w:tcBorders>
                  <w:vAlign w:val="center"/>
                </w:tcPr>
                <w:p w14:paraId="615EA5E4">
                  <w:pPr>
                    <w:adjustRightInd w:val="0"/>
                    <w:snapToGrid w:val="0"/>
                    <w:jc w:val="both"/>
                    <w:rPr>
                      <w:rFonts w:hint="eastAsia"/>
                      <w:snapToGrid w:val="0"/>
                      <w:color w:val="auto"/>
                      <w:kern w:val="0"/>
                      <w:szCs w:val="21"/>
                      <w:highlight w:val="none"/>
                      <w:u w:val="none" w:color="auto"/>
                      <w:lang w:val="en-US" w:eastAsia="zh-CN"/>
                    </w:rPr>
                  </w:pPr>
                  <w:r>
                    <w:rPr>
                      <w:rFonts w:hint="eastAsia"/>
                      <w:snapToGrid w:val="0"/>
                      <w:color w:val="auto"/>
                      <w:kern w:val="0"/>
                      <w:szCs w:val="21"/>
                      <w:highlight w:val="none"/>
                      <w:u w:val="none" w:color="auto"/>
                      <w:lang w:val="en-US" w:eastAsia="zh-CN"/>
                    </w:rPr>
                    <w:t>符合。</w:t>
                  </w:r>
                </w:p>
                <w:p w14:paraId="18871FDC">
                  <w:pPr>
                    <w:adjustRightInd w:val="0"/>
                    <w:snapToGrid w:val="0"/>
                    <w:jc w:val="both"/>
                    <w:rPr>
                      <w:rFonts w:hint="default" w:ascii="Times New Roman" w:hAnsi="Times New Roman" w:eastAsia="宋体" w:cs="Times New Roman"/>
                      <w:b w:val="0"/>
                      <w:bCs w:val="0"/>
                      <w:color w:val="auto"/>
                      <w:kern w:val="0"/>
                      <w:szCs w:val="21"/>
                      <w:highlight w:val="none"/>
                      <w:u w:val="none" w:color="auto"/>
                    </w:rPr>
                  </w:pPr>
                  <w:r>
                    <w:rPr>
                      <w:rFonts w:hint="eastAsia"/>
                      <w:snapToGrid w:val="0"/>
                      <w:color w:val="auto"/>
                      <w:kern w:val="0"/>
                      <w:szCs w:val="21"/>
                      <w:highlight w:val="none"/>
                      <w:u w:val="none" w:color="auto"/>
                    </w:rPr>
                    <w:t>本项目生产使用的是燃生物质热风炉。</w:t>
                  </w:r>
                </w:p>
              </w:tc>
            </w:tr>
            <w:tr w14:paraId="7FCD20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3389" w:type="pct"/>
                  <w:tcBorders>
                    <w:tl2br w:val="nil"/>
                    <w:tr2bl w:val="nil"/>
                  </w:tcBorders>
                  <w:vAlign w:val="center"/>
                </w:tcPr>
                <w:p w14:paraId="1D846E88">
                  <w:pPr>
                    <w:pStyle w:val="46"/>
                    <w:spacing w:line="240" w:lineRule="auto"/>
                    <w:jc w:val="both"/>
                    <w:rPr>
                      <w:rFonts w:hint="default" w:ascii="Times New Roman" w:hAnsi="Times New Roman" w:eastAsia="宋体" w:cs="Times New Roman"/>
                      <w:b w:val="0"/>
                      <w:bCs w:val="0"/>
                      <w:color w:val="auto"/>
                      <w:kern w:val="0"/>
                      <w:szCs w:val="21"/>
                      <w:highlight w:val="none"/>
                      <w:u w:val="none" w:color="auto"/>
                    </w:rPr>
                  </w:pPr>
                  <w:r>
                    <w:rPr>
                      <w:color w:val="auto"/>
                      <w:sz w:val="21"/>
                      <w:szCs w:val="21"/>
                      <w:highlight w:val="none"/>
                      <w:u w:val="none" w:color="auto"/>
                    </w:rPr>
                    <w:t>10.持续推进工业污染源全面达标排放。加大工业污染源烟气高效脱硫脱硝、除尘改造力度，确保各项污染物稳定达标排放。重点排污单位全部安装自动监控设备并与生态环境部门联网。对排放不达标的企业按照“一企一策”的原则，限期整改到位。全面加强工业无组织排放管控。</w:t>
                  </w:r>
                </w:p>
              </w:tc>
              <w:tc>
                <w:tcPr>
                  <w:tcW w:w="2388" w:type="dxa"/>
                  <w:tcBorders>
                    <w:tl2br w:val="nil"/>
                    <w:tr2bl w:val="nil"/>
                  </w:tcBorders>
                  <w:vAlign w:val="center"/>
                </w:tcPr>
                <w:p w14:paraId="3F653245">
                  <w:pPr>
                    <w:pStyle w:val="46"/>
                    <w:spacing w:line="240" w:lineRule="auto"/>
                    <w:jc w:val="left"/>
                    <w:rPr>
                      <w:rFonts w:hint="eastAsia"/>
                      <w:color w:val="auto"/>
                      <w:kern w:val="2"/>
                      <w:sz w:val="21"/>
                      <w:szCs w:val="21"/>
                      <w:highlight w:val="none"/>
                      <w:u w:val="single" w:color="auto"/>
                      <w:lang w:val="en-US" w:eastAsia="zh-CN"/>
                    </w:rPr>
                  </w:pPr>
                  <w:r>
                    <w:rPr>
                      <w:rFonts w:hint="eastAsia"/>
                      <w:color w:val="auto"/>
                      <w:kern w:val="2"/>
                      <w:sz w:val="21"/>
                      <w:szCs w:val="21"/>
                      <w:highlight w:val="none"/>
                      <w:u w:val="single" w:color="auto"/>
                      <w:lang w:val="en-US" w:eastAsia="zh-CN"/>
                    </w:rPr>
                    <w:t>符合。</w:t>
                  </w:r>
                </w:p>
                <w:p w14:paraId="407046BB">
                  <w:pPr>
                    <w:pStyle w:val="46"/>
                    <w:spacing w:line="240" w:lineRule="auto"/>
                    <w:jc w:val="left"/>
                    <w:rPr>
                      <w:rFonts w:hint="default" w:ascii="Times New Roman" w:hAnsi="Times New Roman" w:eastAsia="宋体" w:cs="Times New Roman"/>
                      <w:b w:val="0"/>
                      <w:bCs w:val="0"/>
                      <w:color w:val="auto"/>
                      <w:kern w:val="0"/>
                      <w:szCs w:val="21"/>
                      <w:highlight w:val="none"/>
                      <w:u w:val="none" w:color="auto"/>
                    </w:rPr>
                  </w:pPr>
                  <w:r>
                    <w:rPr>
                      <w:rFonts w:hint="eastAsia"/>
                      <w:color w:val="auto"/>
                      <w:kern w:val="2"/>
                      <w:sz w:val="21"/>
                      <w:szCs w:val="21"/>
                      <w:highlight w:val="none"/>
                      <w:u w:val="single" w:color="auto"/>
                      <w:lang w:eastAsia="zh-CN"/>
                    </w:rPr>
                    <w:t>本项目热风炉采用高效布袋除尘器</w:t>
                  </w:r>
                  <w:r>
                    <w:rPr>
                      <w:rFonts w:hint="eastAsia"/>
                      <w:color w:val="auto"/>
                      <w:sz w:val="21"/>
                      <w:szCs w:val="21"/>
                      <w:highlight w:val="none"/>
                      <w:u w:val="single" w:color="auto"/>
                    </w:rPr>
                    <w:t>处理后达标排放</w:t>
                  </w:r>
                  <w:r>
                    <w:rPr>
                      <w:rFonts w:hint="eastAsia"/>
                      <w:color w:val="auto"/>
                      <w:sz w:val="21"/>
                      <w:szCs w:val="21"/>
                      <w:highlight w:val="none"/>
                      <w:u w:val="single" w:color="auto"/>
                      <w:lang w:eastAsia="zh-CN"/>
                    </w:rPr>
                    <w:t>，本项目不属于重点排污单位，筛分、烘干等无组织废气均采用合理无组织控制措施，满足无组织废气标准要求。</w:t>
                  </w:r>
                </w:p>
              </w:tc>
            </w:tr>
            <w:tr w14:paraId="14DEBE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000" w:type="pct"/>
                  <w:gridSpan w:val="2"/>
                  <w:tcBorders>
                    <w:tl2br w:val="nil"/>
                    <w:tr2bl w:val="nil"/>
                  </w:tcBorders>
                </w:tcPr>
                <w:p w14:paraId="68684556">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吉林市水环境质量巩固提升行动方案</w:t>
                  </w:r>
                </w:p>
              </w:tc>
            </w:tr>
            <w:tr w14:paraId="6E827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3389" w:type="pct"/>
                  <w:tcBorders>
                    <w:tl2br w:val="nil"/>
                    <w:tr2bl w:val="nil"/>
                  </w:tcBorders>
                </w:tcPr>
                <w:p w14:paraId="42E85A0E">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规范工业企业排水管理。工业企业应当依法取得排水许可和排污许可，住建部门依法开展排水许可监督管理，生态环境部门依法开展排污许可监督管理。工业集聚区应当按规定建设污水集中处理设施。市生态环境、市住建部门加强协调配合，组织对进入市政污水收集设施的工业企业排水进行排查，并开展评估，经评估认定污染物不能被城镇污水处理厂有效处理或可能影响城镇污水处理厂出水稳定达标的，应依法责令限期完成整改或责令工业企业限期退出；经评估可继续接入污水管网的，要纳入日常监管。各县</w:t>
                  </w:r>
                  <w:r>
                    <w:rPr>
                      <w:rFonts w:hint="eastAsia" w:ascii="Times New Roman" w:hAnsi="Times New Roman" w:eastAsia="宋体" w:cs="Times New Roman"/>
                      <w:b w:val="0"/>
                      <w:bCs w:val="0"/>
                      <w:color w:val="auto"/>
                      <w:kern w:val="0"/>
                      <w:szCs w:val="21"/>
                      <w:highlight w:val="none"/>
                      <w:u w:val="none" w:color="auto"/>
                      <w:lang w:eastAsia="zh-CN"/>
                    </w:rPr>
                    <w:t>（</w:t>
                  </w:r>
                  <w:r>
                    <w:rPr>
                      <w:rFonts w:hint="default" w:ascii="Times New Roman" w:hAnsi="Times New Roman" w:eastAsia="宋体" w:cs="Times New Roman"/>
                      <w:b w:val="0"/>
                      <w:bCs w:val="0"/>
                      <w:color w:val="auto"/>
                      <w:kern w:val="0"/>
                      <w:szCs w:val="21"/>
                      <w:highlight w:val="none"/>
                      <w:u w:val="none" w:color="auto"/>
                    </w:rPr>
                    <w:t>市</w:t>
                  </w:r>
                  <w:r>
                    <w:rPr>
                      <w:rFonts w:hint="eastAsia" w:ascii="Times New Roman" w:hAnsi="Times New Roman" w:eastAsia="宋体" w:cs="Times New Roman"/>
                      <w:b w:val="0"/>
                      <w:bCs w:val="0"/>
                      <w:color w:val="auto"/>
                      <w:kern w:val="0"/>
                      <w:szCs w:val="21"/>
                      <w:highlight w:val="none"/>
                      <w:u w:val="none" w:color="auto"/>
                      <w:lang w:eastAsia="zh-CN"/>
                    </w:rPr>
                    <w:t>）</w:t>
                  </w:r>
                  <w:r>
                    <w:rPr>
                      <w:rFonts w:hint="default" w:ascii="Times New Roman" w:hAnsi="Times New Roman" w:eastAsia="宋体" w:cs="Times New Roman"/>
                      <w:b w:val="0"/>
                      <w:bCs w:val="0"/>
                      <w:color w:val="auto"/>
                      <w:kern w:val="0"/>
                      <w:szCs w:val="21"/>
                      <w:highlight w:val="none"/>
                      <w:u w:val="none" w:color="auto"/>
                    </w:rPr>
                    <w:t>区、开发区也要依据属地管理原则组织住建等相关部门开展工业企业排水排查、评估等项工作，市住建部门、市生态环境部门要加强对县</w:t>
                  </w:r>
                  <w:r>
                    <w:rPr>
                      <w:rFonts w:hint="eastAsia" w:ascii="Times New Roman" w:hAnsi="Times New Roman" w:eastAsia="宋体" w:cs="Times New Roman"/>
                      <w:b w:val="0"/>
                      <w:bCs w:val="0"/>
                      <w:color w:val="auto"/>
                      <w:kern w:val="0"/>
                      <w:szCs w:val="21"/>
                      <w:highlight w:val="none"/>
                      <w:u w:val="none" w:color="auto"/>
                      <w:lang w:eastAsia="zh-CN"/>
                    </w:rPr>
                    <w:t>（</w:t>
                  </w:r>
                  <w:r>
                    <w:rPr>
                      <w:rFonts w:hint="default" w:ascii="Times New Roman" w:hAnsi="Times New Roman" w:eastAsia="宋体" w:cs="Times New Roman"/>
                      <w:b w:val="0"/>
                      <w:bCs w:val="0"/>
                      <w:color w:val="auto"/>
                      <w:kern w:val="0"/>
                      <w:szCs w:val="21"/>
                      <w:highlight w:val="none"/>
                      <w:u w:val="none" w:color="auto"/>
                    </w:rPr>
                    <w:t>市</w:t>
                  </w:r>
                  <w:r>
                    <w:rPr>
                      <w:rFonts w:hint="eastAsia" w:ascii="Times New Roman" w:hAnsi="Times New Roman" w:eastAsia="宋体" w:cs="Times New Roman"/>
                      <w:b w:val="0"/>
                      <w:bCs w:val="0"/>
                      <w:color w:val="auto"/>
                      <w:kern w:val="0"/>
                      <w:szCs w:val="21"/>
                      <w:highlight w:val="none"/>
                      <w:u w:val="none" w:color="auto"/>
                      <w:lang w:eastAsia="zh-CN"/>
                    </w:rPr>
                    <w:t>）</w:t>
                  </w:r>
                  <w:r>
                    <w:rPr>
                      <w:rFonts w:hint="default" w:ascii="Times New Roman" w:hAnsi="Times New Roman" w:eastAsia="宋体" w:cs="Times New Roman"/>
                      <w:b w:val="0"/>
                      <w:bCs w:val="0"/>
                      <w:color w:val="auto"/>
                      <w:kern w:val="0"/>
                      <w:szCs w:val="21"/>
                      <w:highlight w:val="none"/>
                      <w:u w:val="none" w:color="auto"/>
                    </w:rPr>
                    <w:t>区、开发区相关部门业务指导，规范排水许可和排污许可监督管理。</w:t>
                  </w:r>
                </w:p>
              </w:tc>
              <w:tc>
                <w:tcPr>
                  <w:tcW w:w="2388" w:type="dxa"/>
                  <w:tcBorders>
                    <w:tl2br w:val="nil"/>
                    <w:tr2bl w:val="nil"/>
                  </w:tcBorders>
                  <w:vAlign w:val="top"/>
                </w:tcPr>
                <w:p w14:paraId="13F4C53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single" w:color="auto"/>
                    </w:rPr>
                  </w:pPr>
                  <w:r>
                    <w:rPr>
                      <w:rFonts w:hint="default" w:ascii="Times New Roman" w:hAnsi="Times New Roman" w:eastAsia="宋体" w:cs="Times New Roman"/>
                      <w:b w:val="0"/>
                      <w:bCs w:val="0"/>
                      <w:color w:val="auto"/>
                      <w:kern w:val="0"/>
                      <w:szCs w:val="21"/>
                      <w:highlight w:val="none"/>
                      <w:u w:val="single" w:color="auto"/>
                    </w:rPr>
                    <w:t>符合。</w:t>
                  </w:r>
                </w:p>
                <w:p w14:paraId="5D0004A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single" w:color="auto"/>
                    </w:rPr>
                    <w:t>本项目</w:t>
                  </w:r>
                  <w:r>
                    <w:rPr>
                      <w:rFonts w:hint="eastAsia" w:ascii="Times New Roman" w:hAnsi="Times New Roman" w:eastAsia="宋体" w:cs="Times New Roman"/>
                      <w:b w:val="0"/>
                      <w:bCs w:val="0"/>
                      <w:color w:val="auto"/>
                      <w:kern w:val="0"/>
                      <w:szCs w:val="21"/>
                      <w:highlight w:val="none"/>
                      <w:u w:val="single" w:color="auto"/>
                      <w:lang w:val="en-US" w:eastAsia="zh-CN"/>
                    </w:rPr>
                    <w:t>无生产废水排放，不涉及排入污水管网。</w:t>
                  </w:r>
                </w:p>
              </w:tc>
            </w:tr>
            <w:tr w14:paraId="714B63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3389" w:type="pct"/>
                  <w:tcBorders>
                    <w:tl2br w:val="nil"/>
                    <w:tr2bl w:val="nil"/>
                  </w:tcBorders>
                </w:tcPr>
                <w:p w14:paraId="65563553">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加强重点行业环境准入管控和清洁生产技术推广。严格落实“三线一单”环境管控要求，按照环境管控单元和环境准入清单实施分类管理，对不符合生态环境准入清单要求的行业和项目一律禁止准入。</w:t>
                  </w:r>
                </w:p>
              </w:tc>
              <w:tc>
                <w:tcPr>
                  <w:tcW w:w="1610" w:type="pct"/>
                  <w:tcBorders>
                    <w:tl2br w:val="nil"/>
                    <w:tr2bl w:val="nil"/>
                  </w:tcBorders>
                </w:tcPr>
                <w:p w14:paraId="1532B1F8">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符合。</w:t>
                  </w:r>
                </w:p>
                <w:p w14:paraId="25F6DEC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本项目不属于重点监管行业。</w:t>
                  </w:r>
                </w:p>
              </w:tc>
            </w:tr>
            <w:tr w14:paraId="5D726B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5000" w:type="pct"/>
                  <w:gridSpan w:val="2"/>
                  <w:tcBorders>
                    <w:tl2br w:val="nil"/>
                    <w:tr2bl w:val="nil"/>
                  </w:tcBorders>
                </w:tcPr>
                <w:p w14:paraId="32C44F8A">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吉林市土壤环境质量巩固提升行动方案</w:t>
                  </w:r>
                </w:p>
              </w:tc>
            </w:tr>
            <w:tr w14:paraId="368FA5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3389" w:type="pct"/>
                  <w:tcBorders>
                    <w:tl2br w:val="nil"/>
                    <w:tr2bl w:val="nil"/>
                  </w:tcBorders>
                </w:tcPr>
                <w:p w14:paraId="58EB2C45">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none" w:color="auto"/>
                    </w:rPr>
                    <w:t>加强土壤重点监管企业管控。落实有色金属冶炼、石油加工、化工、焦化、电镀、制革等土壤污染重点监管企业污染隐患排查、自行监测、拆除生产设备污染防治方案备案等制度，制定环境污染事件应急预案。完成重点企业地下储罐核实登记。有序按比例开展重点企业周边土壤环境质量监测，2021年6月底前更新土壤污染重点监管企业名单。</w:t>
                  </w:r>
                </w:p>
              </w:tc>
              <w:tc>
                <w:tcPr>
                  <w:tcW w:w="2388" w:type="dxa"/>
                  <w:tcBorders>
                    <w:tl2br w:val="nil"/>
                    <w:tr2bl w:val="nil"/>
                  </w:tcBorders>
                  <w:vAlign w:val="top"/>
                </w:tcPr>
                <w:p w14:paraId="31276894">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single" w:color="auto"/>
                    </w:rPr>
                  </w:pPr>
                  <w:r>
                    <w:rPr>
                      <w:rFonts w:hint="default" w:ascii="Times New Roman" w:hAnsi="Times New Roman" w:eastAsia="宋体" w:cs="Times New Roman"/>
                      <w:b w:val="0"/>
                      <w:bCs w:val="0"/>
                      <w:color w:val="auto"/>
                      <w:kern w:val="0"/>
                      <w:szCs w:val="21"/>
                      <w:highlight w:val="none"/>
                      <w:u w:val="single" w:color="auto"/>
                    </w:rPr>
                    <w:t>符合。</w:t>
                  </w:r>
                </w:p>
                <w:p w14:paraId="06ABC179">
                  <w:pPr>
                    <w:pStyle w:val="45"/>
                    <w:adjustRightInd w:val="0"/>
                    <w:snapToGrid w:val="0"/>
                    <w:spacing w:beforeLines="0" w:after="0" w:afterAutospacing="0" w:line="240" w:lineRule="auto"/>
                    <w:jc w:val="left"/>
                    <w:rPr>
                      <w:rFonts w:hint="default" w:ascii="Times New Roman" w:hAnsi="Times New Roman" w:eastAsia="宋体" w:cs="Times New Roman"/>
                      <w:b w:val="0"/>
                      <w:bCs w:val="0"/>
                      <w:color w:val="auto"/>
                      <w:kern w:val="0"/>
                      <w:szCs w:val="21"/>
                      <w:highlight w:val="none"/>
                      <w:u w:val="none" w:color="auto"/>
                    </w:rPr>
                  </w:pPr>
                  <w:r>
                    <w:rPr>
                      <w:rFonts w:hint="default" w:ascii="Times New Roman" w:hAnsi="Times New Roman" w:eastAsia="宋体" w:cs="Times New Roman"/>
                      <w:b w:val="0"/>
                      <w:bCs w:val="0"/>
                      <w:color w:val="auto"/>
                      <w:kern w:val="0"/>
                      <w:szCs w:val="21"/>
                      <w:highlight w:val="none"/>
                      <w:u w:val="single" w:color="auto"/>
                    </w:rPr>
                    <w:t>本项目不属于土壤重点监管项目</w:t>
                  </w:r>
                  <w:r>
                    <w:rPr>
                      <w:rFonts w:hint="eastAsia" w:ascii="Times New Roman" w:hAnsi="Times New Roman" w:eastAsia="宋体" w:cs="Times New Roman"/>
                      <w:b w:val="0"/>
                      <w:bCs w:val="0"/>
                      <w:color w:val="auto"/>
                      <w:kern w:val="0"/>
                      <w:szCs w:val="21"/>
                      <w:highlight w:val="none"/>
                      <w:u w:val="single" w:color="auto"/>
                      <w:lang w:eastAsia="zh-CN"/>
                    </w:rPr>
                    <w:t>，不涉及地下储罐。</w:t>
                  </w:r>
                </w:p>
              </w:tc>
            </w:tr>
          </w:tbl>
          <w:p w14:paraId="00BF3600">
            <w:pPr>
              <w:pStyle w:val="5"/>
              <w:keepNext w:val="0"/>
              <w:keepLines w:val="0"/>
              <w:pageBreakBefore w:val="0"/>
              <w:kinsoku/>
              <w:wordWrap/>
              <w:overflowPunct/>
              <w:topLinePunct w:val="0"/>
              <w:bidi w:val="0"/>
              <w:adjustRightInd w:val="0"/>
              <w:snapToGrid w:val="0"/>
              <w:spacing w:line="360" w:lineRule="auto"/>
              <w:jc w:val="left"/>
              <w:textAlignment w:val="auto"/>
              <w:rPr>
                <w:rFonts w:hint="default" w:ascii="Times New Roman" w:hAnsi="Times New Roman" w:cs="Times New Roman"/>
                <w:color w:val="auto"/>
                <w:sz w:val="24"/>
                <w:szCs w:val="24"/>
                <w:highlight w:val="none"/>
                <w:u w:val="none" w:color="auto"/>
              </w:rPr>
            </w:pPr>
            <w:r>
              <w:rPr>
                <w:rFonts w:hint="default" w:ascii="Times New Roman" w:hAnsi="Times New Roman" w:cs="Times New Roman"/>
                <w:color w:val="auto"/>
                <w:sz w:val="24"/>
                <w:szCs w:val="24"/>
                <w:highlight w:val="none"/>
                <w:u w:val="none" w:color="auto"/>
              </w:rPr>
              <w:t>由上表可知，本项目符合《吉林省人民政府办公厅关于印发吉林省空气、水环境、土壤环境质量巩固提升三个行动方案的通知》（吉政办发</w:t>
            </w:r>
            <w:r>
              <w:rPr>
                <w:rFonts w:hint="eastAsia" w:cs="Times New Roman"/>
                <w:color w:val="auto"/>
                <w:sz w:val="24"/>
                <w:szCs w:val="24"/>
                <w:highlight w:val="none"/>
                <w:u w:val="none" w:color="auto"/>
                <w:lang w:eastAsia="zh-CN"/>
              </w:rPr>
              <w:t>〔2021〕10号</w:t>
            </w:r>
            <w:r>
              <w:rPr>
                <w:rFonts w:hint="default" w:ascii="Times New Roman" w:hAnsi="Times New Roman" w:cs="Times New Roman"/>
                <w:color w:val="auto"/>
                <w:sz w:val="24"/>
                <w:szCs w:val="24"/>
                <w:highlight w:val="none"/>
                <w:u w:val="none" w:color="auto"/>
              </w:rPr>
              <w:t>）》和《吉林市生态环境保护委员会办公室关于印发吉林市空气、水环境、土壤环境质量巩固提升三个行动方案中的相关要求。</w:t>
            </w:r>
          </w:p>
          <w:p w14:paraId="79B8DAF8">
            <w:pPr>
              <w:keepNext w:val="0"/>
              <w:keepLines w:val="0"/>
              <w:pageBreakBefore w:val="0"/>
              <w:kinsoku/>
              <w:wordWrap/>
              <w:overflowPunct/>
              <w:topLinePunct w:val="0"/>
              <w:bidi w:val="0"/>
              <w:spacing w:line="360" w:lineRule="auto"/>
              <w:ind w:firstLine="480" w:firstLineChars="200"/>
              <w:textAlignment w:val="auto"/>
              <w:rPr>
                <w:rFonts w:hint="eastAsia"/>
                <w:color w:val="auto"/>
                <w:sz w:val="24"/>
                <w:highlight w:val="none"/>
                <w:u w:val="none" w:color="auto"/>
                <w:lang w:val="en-US" w:eastAsia="zh-CN"/>
              </w:rPr>
            </w:pPr>
            <w:r>
              <w:rPr>
                <w:rFonts w:hint="eastAsia"/>
                <w:color w:val="auto"/>
                <w:sz w:val="24"/>
                <w:highlight w:val="none"/>
                <w:u w:val="none" w:color="auto"/>
                <w:lang w:val="en-US" w:eastAsia="zh-CN"/>
              </w:rPr>
              <w:t>5、其他相关政策要求符合性分析</w:t>
            </w:r>
          </w:p>
          <w:p w14:paraId="6E9DE5BD">
            <w:pPr>
              <w:keepNext w:val="0"/>
              <w:keepLines w:val="0"/>
              <w:pageBreakBefore w:val="0"/>
              <w:kinsoku/>
              <w:wordWrap/>
              <w:overflowPunct/>
              <w:topLinePunct w:val="0"/>
              <w:bidi w:val="0"/>
              <w:spacing w:line="360" w:lineRule="auto"/>
              <w:ind w:firstLine="480" w:firstLineChars="200"/>
              <w:textAlignment w:val="auto"/>
              <w:rPr>
                <w:color w:val="auto"/>
                <w:sz w:val="24"/>
                <w:highlight w:val="none"/>
                <w:u w:val="none" w:color="auto"/>
              </w:rPr>
            </w:pPr>
            <w:r>
              <w:rPr>
                <w:rFonts w:hint="eastAsia"/>
                <w:color w:val="auto"/>
                <w:sz w:val="24"/>
                <w:highlight w:val="none"/>
                <w:u w:val="none" w:color="auto"/>
                <w:lang w:eastAsia="zh-CN"/>
              </w:rPr>
              <w:t>（</w:t>
            </w:r>
            <w:r>
              <w:rPr>
                <w:rFonts w:hint="eastAsia"/>
                <w:color w:val="auto"/>
                <w:sz w:val="24"/>
                <w:highlight w:val="none"/>
                <w:u w:val="none" w:color="auto"/>
                <w:lang w:val="en-US" w:eastAsia="zh-CN"/>
              </w:rPr>
              <w:t>1</w:t>
            </w:r>
            <w:r>
              <w:rPr>
                <w:rFonts w:hint="eastAsia"/>
                <w:color w:val="auto"/>
                <w:sz w:val="24"/>
                <w:highlight w:val="none"/>
                <w:u w:val="none" w:color="auto"/>
                <w:lang w:eastAsia="zh-CN"/>
              </w:rPr>
              <w:t>）</w:t>
            </w:r>
            <w:r>
              <w:rPr>
                <w:color w:val="auto"/>
                <w:sz w:val="24"/>
                <w:highlight w:val="none"/>
                <w:u w:val="none" w:color="auto"/>
              </w:rPr>
              <w:t>与《工业炉窑大气污染综合治理方案》符合性分析</w:t>
            </w:r>
          </w:p>
          <w:p w14:paraId="4EDC30D8">
            <w:pPr>
              <w:pStyle w:val="22"/>
              <w:keepNext w:val="0"/>
              <w:keepLines w:val="0"/>
              <w:pageBreakBefore w:val="0"/>
              <w:kinsoku/>
              <w:wordWrap/>
              <w:overflowPunct/>
              <w:topLinePunct w:val="0"/>
              <w:bidi w:val="0"/>
              <w:spacing w:line="360" w:lineRule="auto"/>
              <w:ind w:left="0" w:firstLine="480" w:firstLineChars="200"/>
              <w:jc w:val="left"/>
              <w:textAlignment w:val="auto"/>
              <w:rPr>
                <w:b/>
                <w:bCs/>
                <w:color w:val="auto"/>
                <w:highlight w:val="none"/>
                <w:u w:val="single" w:color="auto"/>
              </w:rPr>
            </w:pPr>
            <w:r>
              <w:rPr>
                <w:color w:val="auto"/>
                <w:sz w:val="24"/>
                <w:highlight w:val="none"/>
                <w:u w:val="single" w:color="auto"/>
              </w:rPr>
              <w:t>关于本项目烘干设</w:t>
            </w:r>
            <w:r>
              <w:rPr>
                <w:rFonts w:hint="default" w:ascii="Times New Roman" w:hAnsi="Times New Roman" w:eastAsia="宋体" w:cs="Times New Roman"/>
                <w:color w:val="auto"/>
                <w:kern w:val="2"/>
                <w:sz w:val="24"/>
                <w:szCs w:val="24"/>
                <w:highlight w:val="none"/>
                <w:u w:val="single" w:color="auto"/>
                <w:lang w:val="en-US" w:eastAsia="zh-CN" w:bidi="ar-SA"/>
              </w:rPr>
              <w:t>备与《工业炉窑大气污染综合治理方案》的符合性分析，详见下</w:t>
            </w:r>
            <w:r>
              <w:rPr>
                <w:color w:val="auto"/>
                <w:sz w:val="24"/>
                <w:highlight w:val="none"/>
                <w:u w:val="single" w:color="auto"/>
              </w:rPr>
              <w:t>表。</w:t>
            </w:r>
          </w:p>
          <w:p w14:paraId="7CECC44D">
            <w:pPr>
              <w:keepNext w:val="0"/>
              <w:keepLines w:val="0"/>
              <w:pageBreakBefore w:val="0"/>
              <w:widowControl w:val="0"/>
              <w:kinsoku/>
              <w:wordWrap/>
              <w:overflowPunct/>
              <w:topLinePunct w:val="0"/>
              <w:autoSpaceDE w:val="0"/>
              <w:autoSpaceDN w:val="0"/>
              <w:bidi w:val="0"/>
              <w:adjustRightInd/>
              <w:snapToGrid/>
              <w:spacing w:line="360" w:lineRule="auto"/>
              <w:ind w:left="425" w:hanging="425"/>
              <w:jc w:val="center"/>
              <w:textAlignment w:val="auto"/>
              <w:rPr>
                <w:color w:val="auto"/>
                <w:sz w:val="24"/>
                <w:szCs w:val="24"/>
                <w:highlight w:val="none"/>
                <w:u w:val="single" w:color="auto"/>
              </w:rPr>
            </w:pPr>
            <w:r>
              <w:rPr>
                <w:b/>
                <w:bCs/>
                <w:color w:val="auto"/>
                <w:sz w:val="24"/>
                <w:szCs w:val="24"/>
                <w:highlight w:val="none"/>
                <w:u w:val="single" w:color="auto"/>
              </w:rPr>
              <w:t>表</w:t>
            </w:r>
            <w:r>
              <w:rPr>
                <w:rFonts w:hint="eastAsia"/>
                <w:b/>
                <w:bCs/>
                <w:color w:val="auto"/>
                <w:sz w:val="24"/>
                <w:szCs w:val="24"/>
                <w:highlight w:val="none"/>
                <w:u w:val="single" w:color="auto"/>
                <w:lang w:val="en-US" w:eastAsia="zh-CN"/>
              </w:rPr>
              <w:t>1-6</w:t>
            </w:r>
            <w:r>
              <w:rPr>
                <w:b/>
                <w:bCs/>
                <w:color w:val="auto"/>
                <w:sz w:val="24"/>
                <w:szCs w:val="24"/>
                <w:highlight w:val="none"/>
                <w:u w:val="single" w:color="auto"/>
              </w:rPr>
              <w:t xml:space="preserve"> 与《工业炉窑大气污染综合治理方案》符合性分析</w:t>
            </w:r>
          </w:p>
          <w:tbl>
            <w:tblPr>
              <w:tblStyle w:val="29"/>
              <w:tblW w:w="755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50"/>
              <w:gridCol w:w="2609"/>
            </w:tblGrid>
            <w:tr w14:paraId="35E776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50" w:type="dxa"/>
                  <w:vAlign w:val="center"/>
                </w:tcPr>
                <w:p w14:paraId="49466F99">
                  <w:pPr>
                    <w:pStyle w:val="22"/>
                    <w:spacing w:line="240" w:lineRule="auto"/>
                    <w:ind w:left="0"/>
                    <w:jc w:val="center"/>
                    <w:rPr>
                      <w:color w:val="auto"/>
                      <w:szCs w:val="21"/>
                      <w:highlight w:val="none"/>
                      <w:u w:val="single" w:color="auto"/>
                    </w:rPr>
                  </w:pPr>
                  <w:r>
                    <w:rPr>
                      <w:rFonts w:hint="eastAsia"/>
                      <w:color w:val="auto"/>
                      <w:szCs w:val="21"/>
                      <w:highlight w:val="none"/>
                      <w:u w:val="single" w:color="auto"/>
                    </w:rPr>
                    <w:t>《工业炉窑大气污染综合治理方案》</w:t>
                  </w:r>
                </w:p>
              </w:tc>
              <w:tc>
                <w:tcPr>
                  <w:tcW w:w="2609" w:type="dxa"/>
                  <w:vAlign w:val="center"/>
                </w:tcPr>
                <w:p w14:paraId="03E45779">
                  <w:pPr>
                    <w:pStyle w:val="22"/>
                    <w:spacing w:line="240" w:lineRule="auto"/>
                    <w:ind w:left="0"/>
                    <w:jc w:val="center"/>
                    <w:rPr>
                      <w:color w:val="auto"/>
                      <w:szCs w:val="21"/>
                      <w:highlight w:val="none"/>
                      <w:u w:val="single" w:color="auto"/>
                    </w:rPr>
                  </w:pPr>
                  <w:r>
                    <w:rPr>
                      <w:rFonts w:hint="eastAsia"/>
                      <w:color w:val="auto"/>
                      <w:szCs w:val="21"/>
                      <w:highlight w:val="none"/>
                      <w:u w:val="single" w:color="auto"/>
                    </w:rPr>
                    <w:t>本项目符合性</w:t>
                  </w:r>
                </w:p>
              </w:tc>
            </w:tr>
            <w:tr w14:paraId="6CE1FC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50" w:type="dxa"/>
                  <w:vAlign w:val="center"/>
                </w:tcPr>
                <w:p w14:paraId="35DA1727">
                  <w:pPr>
                    <w:pStyle w:val="22"/>
                    <w:spacing w:line="240" w:lineRule="auto"/>
                    <w:ind w:left="0"/>
                    <w:jc w:val="both"/>
                    <w:rPr>
                      <w:color w:val="auto"/>
                      <w:szCs w:val="21"/>
                      <w:highlight w:val="none"/>
                      <w:u w:val="single" w:color="auto"/>
                    </w:rPr>
                  </w:pPr>
                  <w:r>
                    <w:rPr>
                      <w:rFonts w:hint="eastAsia"/>
                      <w:color w:val="auto"/>
                      <w:szCs w:val="21"/>
                      <w:highlight w:val="none"/>
                      <w:u w:val="single" w:color="auto"/>
                    </w:rPr>
                    <w:t>加大产业结构调整力度。严格建设项目环境准入。重点区域严格控制涉工业炉窑建设项目，严禁新增钢铁、焦化、电解铝、铸造、水泥和平板玻璃等产能；严格执行钢铁、水泥、平板玻璃等行业产能置换实施办法；原则上禁止新建燃料类煤气发生炉（园区现有企业统一建设的清洁煤制气中心除外）。加大落后产能和不达标工业炉窑淘汰力度。分行业清理《产业结构调整指导目录》淘汰类工业炉窑。</w:t>
                  </w:r>
                </w:p>
              </w:tc>
              <w:tc>
                <w:tcPr>
                  <w:tcW w:w="2609" w:type="dxa"/>
                  <w:vAlign w:val="center"/>
                </w:tcPr>
                <w:p w14:paraId="08C29583">
                  <w:pPr>
                    <w:pStyle w:val="22"/>
                    <w:spacing w:line="240" w:lineRule="auto"/>
                    <w:ind w:left="0"/>
                    <w:jc w:val="both"/>
                    <w:rPr>
                      <w:rFonts w:hint="eastAsia"/>
                      <w:color w:val="auto"/>
                      <w:szCs w:val="21"/>
                      <w:highlight w:val="none"/>
                      <w:u w:val="single" w:color="auto"/>
                      <w:lang w:val="en-US" w:eastAsia="zh-CN"/>
                    </w:rPr>
                  </w:pPr>
                  <w:r>
                    <w:rPr>
                      <w:rFonts w:hint="eastAsia"/>
                      <w:color w:val="auto"/>
                      <w:szCs w:val="21"/>
                      <w:highlight w:val="none"/>
                      <w:u w:val="single" w:color="auto"/>
                      <w:lang w:val="en-US" w:eastAsia="zh-CN"/>
                    </w:rPr>
                    <w:t>符合。</w:t>
                  </w:r>
                </w:p>
                <w:p w14:paraId="5FC0E6E1">
                  <w:pPr>
                    <w:pStyle w:val="22"/>
                    <w:spacing w:line="240" w:lineRule="auto"/>
                    <w:ind w:left="0"/>
                    <w:jc w:val="both"/>
                    <w:rPr>
                      <w:color w:val="auto"/>
                      <w:szCs w:val="21"/>
                      <w:highlight w:val="none"/>
                      <w:u w:val="single" w:color="auto"/>
                    </w:rPr>
                  </w:pPr>
                  <w:r>
                    <w:rPr>
                      <w:color w:val="auto"/>
                      <w:szCs w:val="21"/>
                      <w:highlight w:val="none"/>
                      <w:u w:val="single" w:color="auto"/>
                    </w:rPr>
                    <w:t>本项</w:t>
                  </w:r>
                  <w:r>
                    <w:rPr>
                      <w:rFonts w:hint="eastAsia"/>
                      <w:color w:val="auto"/>
                      <w:szCs w:val="21"/>
                      <w:highlight w:val="none"/>
                      <w:u w:val="single" w:color="auto"/>
                    </w:rPr>
                    <w:t>目属于</w:t>
                  </w:r>
                  <w:r>
                    <w:rPr>
                      <w:rStyle w:val="34"/>
                      <w:rFonts w:hint="eastAsia"/>
                      <w:smallCaps w:val="0"/>
                      <w:color w:val="auto"/>
                      <w:highlight w:val="none"/>
                      <w:u w:val="single" w:color="auto"/>
                    </w:rPr>
                    <w:t>粮食烘干，</w:t>
                  </w:r>
                  <w:r>
                    <w:rPr>
                      <w:rStyle w:val="34"/>
                      <w:rFonts w:hint="eastAsia"/>
                      <w:smallCaps w:val="0"/>
                      <w:color w:val="auto"/>
                      <w:highlight w:val="none"/>
                      <w:u w:val="single" w:color="auto"/>
                      <w:lang w:eastAsia="zh-CN"/>
                    </w:rPr>
                    <w:t>不属于上述工业项目，不属于煤气发生炉。项目</w:t>
                  </w:r>
                  <w:r>
                    <w:rPr>
                      <w:rStyle w:val="34"/>
                      <w:rFonts w:hint="eastAsia"/>
                      <w:smallCaps w:val="0"/>
                      <w:color w:val="auto"/>
                      <w:highlight w:val="none"/>
                      <w:u w:val="single" w:color="auto"/>
                    </w:rPr>
                    <w:t>符合现行《产业结构调整指导目录（2024年本）》</w:t>
                  </w:r>
                  <w:r>
                    <w:rPr>
                      <w:rStyle w:val="34"/>
                      <w:rFonts w:hint="eastAsia"/>
                      <w:smallCaps w:val="0"/>
                      <w:color w:val="auto"/>
                      <w:highlight w:val="none"/>
                      <w:u w:val="single" w:color="auto"/>
                      <w:lang w:eastAsia="zh-CN"/>
                    </w:rPr>
                    <w:t>，不属于淘汰类炉窑</w:t>
                  </w:r>
                  <w:r>
                    <w:rPr>
                      <w:rStyle w:val="34"/>
                      <w:rFonts w:hint="eastAsia"/>
                      <w:smallCaps w:val="0"/>
                      <w:color w:val="auto"/>
                      <w:highlight w:val="none"/>
                      <w:u w:val="single" w:color="auto"/>
                    </w:rPr>
                    <w:t>。</w:t>
                  </w:r>
                </w:p>
              </w:tc>
            </w:tr>
            <w:tr w14:paraId="7F968C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50" w:type="dxa"/>
                  <w:vAlign w:val="center"/>
                </w:tcPr>
                <w:p w14:paraId="3AB115F0">
                  <w:pPr>
                    <w:pStyle w:val="22"/>
                    <w:spacing w:line="240" w:lineRule="auto"/>
                    <w:ind w:left="0"/>
                    <w:jc w:val="both"/>
                    <w:rPr>
                      <w:color w:val="auto"/>
                      <w:szCs w:val="21"/>
                      <w:highlight w:val="none"/>
                      <w:u w:val="single" w:color="auto"/>
                    </w:rPr>
                  </w:pPr>
                  <w:r>
                    <w:rPr>
                      <w:rFonts w:hint="eastAsia"/>
                      <w:color w:val="auto"/>
                      <w:szCs w:val="21"/>
                      <w:highlight w:val="none"/>
                      <w:u w:val="single" w:color="auto"/>
                    </w:rPr>
                    <w:t>加快淘汰燃煤工业炉窑。重点区域取缔燃煤热风炉，基本淘汰热电联产供热管网覆盖范围内的燃煤加热、烘干炉（窑）。加快推动铸造（10吨/小时及以下）、岩棉等行业冲天炉改为电炉。</w:t>
                  </w:r>
                </w:p>
              </w:tc>
              <w:tc>
                <w:tcPr>
                  <w:tcW w:w="2609" w:type="dxa"/>
                  <w:vAlign w:val="center"/>
                </w:tcPr>
                <w:p w14:paraId="57735CDA">
                  <w:pPr>
                    <w:pStyle w:val="22"/>
                    <w:spacing w:line="240" w:lineRule="auto"/>
                    <w:ind w:left="0"/>
                    <w:jc w:val="both"/>
                    <w:rPr>
                      <w:rFonts w:hint="eastAsia"/>
                      <w:color w:val="auto"/>
                      <w:szCs w:val="21"/>
                      <w:highlight w:val="none"/>
                      <w:u w:val="single" w:color="auto"/>
                      <w:lang w:val="en-US" w:eastAsia="zh-CN"/>
                    </w:rPr>
                  </w:pPr>
                  <w:r>
                    <w:rPr>
                      <w:rFonts w:hint="eastAsia"/>
                      <w:color w:val="auto"/>
                      <w:szCs w:val="21"/>
                      <w:highlight w:val="none"/>
                      <w:u w:val="single" w:color="auto"/>
                      <w:lang w:val="en-US" w:eastAsia="zh-CN"/>
                    </w:rPr>
                    <w:t>符合。</w:t>
                  </w:r>
                </w:p>
                <w:p w14:paraId="15A724EE">
                  <w:pPr>
                    <w:pStyle w:val="22"/>
                    <w:spacing w:line="240" w:lineRule="auto"/>
                    <w:ind w:left="0"/>
                    <w:jc w:val="both"/>
                    <w:rPr>
                      <w:color w:val="auto"/>
                      <w:szCs w:val="21"/>
                      <w:highlight w:val="none"/>
                      <w:u w:val="single" w:color="auto"/>
                    </w:rPr>
                  </w:pPr>
                  <w:r>
                    <w:rPr>
                      <w:rFonts w:hint="eastAsia"/>
                      <w:color w:val="auto"/>
                      <w:szCs w:val="21"/>
                      <w:highlight w:val="none"/>
                      <w:u w:val="single" w:color="auto"/>
                    </w:rPr>
                    <w:t>本项目热风炉</w:t>
                  </w:r>
                  <w:r>
                    <w:rPr>
                      <w:rFonts w:hint="eastAsia"/>
                      <w:color w:val="auto"/>
                      <w:szCs w:val="21"/>
                      <w:highlight w:val="none"/>
                      <w:u w:val="single" w:color="auto"/>
                      <w:lang w:eastAsia="zh-CN"/>
                    </w:rPr>
                    <w:t>采用</w:t>
                  </w:r>
                  <w:r>
                    <w:rPr>
                      <w:rFonts w:hint="eastAsia"/>
                      <w:color w:val="auto"/>
                      <w:szCs w:val="21"/>
                      <w:highlight w:val="none"/>
                      <w:u w:val="single" w:color="auto"/>
                    </w:rPr>
                    <w:t>生物质颗粒</w:t>
                  </w:r>
                  <w:r>
                    <w:rPr>
                      <w:rFonts w:hint="eastAsia"/>
                      <w:color w:val="auto"/>
                      <w:szCs w:val="21"/>
                      <w:highlight w:val="none"/>
                      <w:u w:val="single" w:color="auto"/>
                      <w:lang w:eastAsia="zh-CN"/>
                    </w:rPr>
                    <w:t>，</w:t>
                  </w:r>
                  <w:r>
                    <w:rPr>
                      <w:rFonts w:hint="eastAsia"/>
                      <w:color w:val="auto"/>
                      <w:szCs w:val="21"/>
                      <w:highlight w:val="none"/>
                      <w:u w:val="single" w:color="auto"/>
                      <w:lang w:val="en-US" w:eastAsia="zh-CN"/>
                    </w:rPr>
                    <w:t>不涉及燃煤热风炉和冲天炉</w:t>
                  </w:r>
                  <w:r>
                    <w:rPr>
                      <w:rFonts w:hint="eastAsia"/>
                      <w:color w:val="auto"/>
                      <w:szCs w:val="21"/>
                      <w:highlight w:val="none"/>
                      <w:u w:val="single" w:color="auto"/>
                    </w:rPr>
                    <w:t>。</w:t>
                  </w:r>
                </w:p>
              </w:tc>
            </w:tr>
            <w:tr w14:paraId="35B561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50" w:type="dxa"/>
                  <w:vAlign w:val="center"/>
                </w:tcPr>
                <w:p w14:paraId="3A33A8F9">
                  <w:pPr>
                    <w:pStyle w:val="22"/>
                    <w:spacing w:line="240" w:lineRule="auto"/>
                    <w:ind w:left="0"/>
                    <w:jc w:val="both"/>
                    <w:rPr>
                      <w:color w:val="auto"/>
                      <w:szCs w:val="21"/>
                      <w:highlight w:val="none"/>
                      <w:u w:val="single" w:color="auto"/>
                    </w:rPr>
                  </w:pPr>
                  <w:r>
                    <w:rPr>
                      <w:rFonts w:hint="eastAsia"/>
                      <w:color w:val="auto"/>
                      <w:szCs w:val="21"/>
                      <w:highlight w:val="none"/>
                      <w:u w:val="single" w:color="auto"/>
                    </w:rPr>
                    <w:t>实施污染深度治理。推进工业炉窑全面达标排放。已有行业排放标准的工业炉窑，严格执行行业排放标准相关规定，配套建设高效脱硫脱硝除尘设施，确保稳定达标排放。已制定更严格地方排放标准的，按地方标准执行。</w:t>
                  </w:r>
                </w:p>
              </w:tc>
              <w:tc>
                <w:tcPr>
                  <w:tcW w:w="2609" w:type="dxa"/>
                  <w:vAlign w:val="center"/>
                </w:tcPr>
                <w:p w14:paraId="7D5C9D82">
                  <w:pPr>
                    <w:spacing w:line="240" w:lineRule="auto"/>
                    <w:jc w:val="both"/>
                    <w:rPr>
                      <w:rFonts w:hint="eastAsia"/>
                      <w:color w:val="auto"/>
                      <w:highlight w:val="none"/>
                      <w:u w:val="single" w:color="auto"/>
                      <w:lang w:val="en-US" w:eastAsia="zh-CN"/>
                    </w:rPr>
                  </w:pPr>
                  <w:r>
                    <w:rPr>
                      <w:rFonts w:hint="eastAsia"/>
                      <w:color w:val="auto"/>
                      <w:highlight w:val="none"/>
                      <w:u w:val="single" w:color="auto"/>
                      <w:lang w:val="en-US" w:eastAsia="zh-CN"/>
                    </w:rPr>
                    <w:t>符合。</w:t>
                  </w:r>
                </w:p>
                <w:p w14:paraId="0E68ED20">
                  <w:pPr>
                    <w:spacing w:line="240" w:lineRule="auto"/>
                    <w:jc w:val="both"/>
                    <w:rPr>
                      <w:color w:val="auto"/>
                      <w:highlight w:val="none"/>
                      <w:u w:val="single" w:color="auto"/>
                    </w:rPr>
                  </w:pPr>
                  <w:r>
                    <w:rPr>
                      <w:rFonts w:hint="eastAsia"/>
                      <w:color w:val="auto"/>
                      <w:highlight w:val="none"/>
                      <w:u w:val="single" w:color="auto"/>
                    </w:rPr>
                    <w:t>本项目</w:t>
                  </w:r>
                  <w:r>
                    <w:rPr>
                      <w:rFonts w:hint="eastAsia"/>
                      <w:color w:val="auto"/>
                      <w:highlight w:val="none"/>
                      <w:u w:val="single" w:color="auto"/>
                      <w:lang w:eastAsia="zh-CN"/>
                    </w:rPr>
                    <w:t>为燃生物质热风炉废气经高效布袋除尘器处理后经</w:t>
                  </w:r>
                  <w:r>
                    <w:rPr>
                      <w:rFonts w:hint="eastAsia"/>
                      <w:color w:val="auto"/>
                      <w:highlight w:val="none"/>
                      <w:u w:val="single" w:color="auto"/>
                      <w:lang w:val="en-US" w:eastAsia="zh-CN"/>
                    </w:rPr>
                    <w:t>18m高烟囱达标排放。</w:t>
                  </w:r>
                </w:p>
              </w:tc>
            </w:tr>
            <w:tr w14:paraId="5B17E6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50" w:type="dxa"/>
                  <w:vAlign w:val="center"/>
                </w:tcPr>
                <w:p w14:paraId="02E3109C">
                  <w:pPr>
                    <w:pStyle w:val="22"/>
                    <w:spacing w:line="240" w:lineRule="auto"/>
                    <w:ind w:left="0"/>
                    <w:jc w:val="both"/>
                    <w:rPr>
                      <w:color w:val="auto"/>
                      <w:szCs w:val="21"/>
                      <w:highlight w:val="none"/>
                      <w:u w:val="single" w:color="auto"/>
                    </w:rPr>
                  </w:pPr>
                  <w:r>
                    <w:rPr>
                      <w:rFonts w:hint="eastAsia"/>
                      <w:color w:val="auto"/>
                      <w:szCs w:val="21"/>
                      <w:highlight w:val="none"/>
                      <w:u w:val="single" w:color="auto"/>
                    </w:rPr>
                    <w:t>全面加强无组织排放管理。严格控制工业炉窑生产工艺过程及相关物料储存、输送等无组织排放，在保障生产安全的前提下，采取密闭、封闭等有效措施，有效提高废气收集率，产尘点及车间不得有可见烟粉尘外溢。生产工艺产尘点（装置）应采取密闭、封闭或设置集气罩等措施。煤粉、粉煤灰、石灰、除尘灰、脱硫灰等粉状物料应密闭或封闭储存，采用密闭皮带、封闭通廊、管状带式输送机或密闭车厢、真空罐车、气力输送等方式输送。粒状、块状物料应采用入棚入仓或建设防风抑尘网等方式进行储存，粒状物料采用密闭、封闭等方式输送。物料输送过程中产尘点应采取有效抑尘措施。</w:t>
                  </w:r>
                </w:p>
              </w:tc>
              <w:tc>
                <w:tcPr>
                  <w:tcW w:w="2609" w:type="dxa"/>
                  <w:vAlign w:val="center"/>
                </w:tcPr>
                <w:p w14:paraId="1CE4B37D">
                  <w:pPr>
                    <w:widowControl/>
                    <w:spacing w:line="240" w:lineRule="auto"/>
                    <w:ind w:left="-63" w:leftChars="-30" w:right="-63" w:rightChars="-30"/>
                    <w:jc w:val="both"/>
                    <w:textAlignment w:val="center"/>
                    <w:rPr>
                      <w:rFonts w:hint="eastAsia"/>
                      <w:color w:val="auto"/>
                      <w:szCs w:val="21"/>
                      <w:highlight w:val="none"/>
                      <w:u w:val="single" w:color="auto"/>
                      <w:lang w:val="en-US" w:eastAsia="zh-CN"/>
                    </w:rPr>
                  </w:pPr>
                  <w:r>
                    <w:rPr>
                      <w:rFonts w:hint="eastAsia"/>
                      <w:color w:val="auto"/>
                      <w:szCs w:val="21"/>
                      <w:highlight w:val="none"/>
                      <w:u w:val="single" w:color="auto"/>
                      <w:lang w:val="en-US" w:eastAsia="zh-CN"/>
                    </w:rPr>
                    <w:t>符合。</w:t>
                  </w:r>
                </w:p>
                <w:p w14:paraId="29F1B513">
                  <w:pPr>
                    <w:widowControl/>
                    <w:spacing w:line="240" w:lineRule="auto"/>
                    <w:ind w:left="-63" w:leftChars="-30" w:right="-63" w:rightChars="-30"/>
                    <w:jc w:val="both"/>
                    <w:textAlignment w:val="center"/>
                    <w:rPr>
                      <w:rFonts w:hint="eastAsia" w:eastAsia="宋体"/>
                      <w:color w:val="auto"/>
                      <w:szCs w:val="21"/>
                      <w:highlight w:val="none"/>
                      <w:u w:val="single" w:color="auto"/>
                      <w:lang w:eastAsia="zh-CN"/>
                    </w:rPr>
                  </w:pPr>
                  <w:r>
                    <w:rPr>
                      <w:rFonts w:hint="eastAsia"/>
                      <w:color w:val="auto"/>
                      <w:szCs w:val="21"/>
                      <w:highlight w:val="none"/>
                      <w:u w:val="single" w:color="auto"/>
                    </w:rPr>
                    <w:t>本项目</w:t>
                  </w:r>
                  <w:r>
                    <w:rPr>
                      <w:rFonts w:hint="eastAsia"/>
                      <w:color w:val="auto"/>
                      <w:szCs w:val="21"/>
                      <w:highlight w:val="none"/>
                      <w:u w:val="single" w:color="auto"/>
                      <w:lang w:eastAsia="zh-CN"/>
                    </w:rPr>
                    <w:t>生物质颗粒袋装暂存于原料库，上料过程位于封闭热风炉房内，热风炉炉渣和除尘灰经湿式收集后装袋暂存于密闭灰渣库，满足粒状、块状物料入库，并采取有效抑尘措施。</w:t>
                  </w:r>
                </w:p>
              </w:tc>
            </w:tr>
            <w:tr w14:paraId="39216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950" w:type="dxa"/>
                  <w:vAlign w:val="center"/>
                </w:tcPr>
                <w:p w14:paraId="3D1820B7">
                  <w:pPr>
                    <w:pStyle w:val="22"/>
                    <w:spacing w:line="240" w:lineRule="auto"/>
                    <w:ind w:left="0"/>
                    <w:jc w:val="both"/>
                    <w:rPr>
                      <w:rFonts w:hint="eastAsia" w:eastAsia="宋体"/>
                      <w:color w:val="auto"/>
                      <w:szCs w:val="21"/>
                      <w:highlight w:val="none"/>
                      <w:u w:val="single" w:color="auto"/>
                    </w:rPr>
                  </w:pPr>
                  <w:r>
                    <w:rPr>
                      <w:rFonts w:hint="eastAsia" w:eastAsia="宋体"/>
                      <w:color w:val="auto"/>
                      <w:szCs w:val="21"/>
                      <w:highlight w:val="none"/>
                      <w:u w:val="single" w:color="auto"/>
                    </w:rPr>
                    <w:t>开展工业园区和产业集群综合整治。各地要加大涉工业炉窑类工业园区和产业集群的综合整治力度，结合“三线一单”（生态保护红线、环境质量底线、资源利用上线和生态环境准入清单）、规划环评等要求，进一步梳理确定园区和产业发展定位、规模及结构等。制定综合整治方案，对标先进企业，从生产工艺、产能规模、燃料类型、污染治理等方面提出明确要求，提升产业发展质量和环保治理水平。按照统一标准、统一时间表的要求，同步推进区域环境综合整治和企业升级改造。加强工业园区能源替代利用与资源共享，积极推广集中供汽供热或建设清洁低碳能源中心等，替代工业炉窑燃料用煤；充分利用园区内工厂余热、焦炉煤气等清洁低碳能源，加强分质与梯级利用，提高能源利用效率，促进形成清洁低碳高效产业链。</w:t>
                  </w:r>
                </w:p>
              </w:tc>
              <w:tc>
                <w:tcPr>
                  <w:tcW w:w="2609" w:type="dxa"/>
                  <w:vAlign w:val="center"/>
                </w:tcPr>
                <w:p w14:paraId="52F60DE5">
                  <w:pPr>
                    <w:widowControl/>
                    <w:spacing w:line="240" w:lineRule="auto"/>
                    <w:ind w:left="-63" w:leftChars="-30" w:right="-63" w:rightChars="-30"/>
                    <w:jc w:val="both"/>
                    <w:textAlignment w:val="center"/>
                    <w:rPr>
                      <w:rFonts w:hint="eastAsia"/>
                      <w:color w:val="auto"/>
                      <w:szCs w:val="21"/>
                      <w:highlight w:val="none"/>
                      <w:u w:val="single" w:color="auto"/>
                      <w:lang w:eastAsia="zh-CN"/>
                    </w:rPr>
                  </w:pPr>
                  <w:r>
                    <w:rPr>
                      <w:rFonts w:hint="eastAsia"/>
                      <w:color w:val="auto"/>
                      <w:szCs w:val="21"/>
                      <w:highlight w:val="none"/>
                      <w:u w:val="single" w:color="auto"/>
                      <w:lang w:eastAsia="zh-CN"/>
                    </w:rPr>
                    <w:t>符合。</w:t>
                  </w:r>
                </w:p>
                <w:p w14:paraId="3E0D7449">
                  <w:pPr>
                    <w:widowControl/>
                    <w:spacing w:line="240" w:lineRule="auto"/>
                    <w:ind w:left="-63" w:leftChars="-30" w:right="-63" w:rightChars="-30"/>
                    <w:jc w:val="both"/>
                    <w:textAlignment w:val="center"/>
                    <w:rPr>
                      <w:rFonts w:hint="eastAsia"/>
                      <w:color w:val="auto"/>
                      <w:szCs w:val="21"/>
                      <w:highlight w:val="none"/>
                      <w:u w:val="single" w:color="auto"/>
                      <w:lang w:eastAsia="zh-CN"/>
                    </w:rPr>
                  </w:pPr>
                  <w:r>
                    <w:rPr>
                      <w:rFonts w:hint="eastAsia"/>
                      <w:color w:val="auto"/>
                      <w:szCs w:val="21"/>
                      <w:highlight w:val="none"/>
                      <w:u w:val="single" w:color="auto"/>
                      <w:lang w:eastAsia="zh-CN"/>
                    </w:rPr>
                    <w:t>本项目为粮食烘干项目，不属于工业项目，无需进园区。</w:t>
                  </w:r>
                </w:p>
              </w:tc>
            </w:tr>
          </w:tbl>
          <w:p w14:paraId="04D0BDAD">
            <w:pPr>
              <w:pStyle w:val="22"/>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color w:val="auto"/>
                <w:sz w:val="24"/>
                <w:highlight w:val="none"/>
                <w:u w:val="none" w:color="auto"/>
              </w:rPr>
            </w:pPr>
            <w:r>
              <w:rPr>
                <w:rFonts w:hint="eastAsia"/>
                <w:color w:val="auto"/>
                <w:sz w:val="24"/>
                <w:highlight w:val="none"/>
                <w:u w:val="none" w:color="auto"/>
              </w:rPr>
              <w:t>综上，本项目烘干设备及输送设备等设施均符合《工业炉窑大气污染综合治理方案》相关要求。</w:t>
            </w:r>
          </w:p>
          <w:p w14:paraId="63575B26">
            <w:pPr>
              <w:pStyle w:val="22"/>
              <w:keepNext w:val="0"/>
              <w:keepLines w:val="0"/>
              <w:pageBreakBefore w:val="0"/>
              <w:widowControl w:val="0"/>
              <w:kinsoku/>
              <w:wordWrap/>
              <w:overflowPunct/>
              <w:topLinePunct w:val="0"/>
              <w:autoSpaceDE/>
              <w:autoSpaceDN/>
              <w:bidi w:val="0"/>
              <w:adjustRightInd/>
              <w:snapToGrid/>
              <w:spacing w:line="360" w:lineRule="auto"/>
              <w:ind w:left="0" w:firstLine="240" w:firstLineChars="100"/>
              <w:jc w:val="left"/>
              <w:textAlignment w:val="auto"/>
              <w:rPr>
                <w:color w:val="auto"/>
                <w:sz w:val="24"/>
                <w:highlight w:val="none"/>
                <w:u w:val="none" w:color="auto"/>
              </w:rPr>
            </w:pPr>
            <w:r>
              <w:rPr>
                <w:rFonts w:hint="eastAsia"/>
                <w:color w:val="auto"/>
                <w:sz w:val="24"/>
                <w:highlight w:val="none"/>
                <w:u w:val="none" w:color="auto"/>
              </w:rPr>
              <w:t>（</w:t>
            </w:r>
            <w:r>
              <w:rPr>
                <w:rFonts w:hint="eastAsia"/>
                <w:color w:val="auto"/>
                <w:sz w:val="24"/>
                <w:highlight w:val="none"/>
                <w:u w:val="none" w:color="auto"/>
                <w:lang w:val="en-US" w:eastAsia="zh-CN"/>
              </w:rPr>
              <w:t>2</w:t>
            </w:r>
            <w:r>
              <w:rPr>
                <w:rFonts w:hint="eastAsia"/>
                <w:color w:val="auto"/>
                <w:sz w:val="24"/>
                <w:highlight w:val="none"/>
                <w:u w:val="none" w:color="auto"/>
              </w:rPr>
              <w:t>）</w:t>
            </w:r>
            <w:r>
              <w:rPr>
                <w:color w:val="auto"/>
                <w:sz w:val="24"/>
                <w:highlight w:val="none"/>
                <w:u w:val="none" w:color="auto"/>
              </w:rPr>
              <w:t>与《</w:t>
            </w:r>
            <w:r>
              <w:rPr>
                <w:rFonts w:hint="eastAsia"/>
                <w:color w:val="auto"/>
                <w:sz w:val="24"/>
                <w:highlight w:val="none"/>
                <w:u w:val="none" w:color="auto"/>
              </w:rPr>
              <w:t>吉林省大气污染防治条例</w:t>
            </w:r>
            <w:r>
              <w:rPr>
                <w:color w:val="auto"/>
                <w:sz w:val="24"/>
                <w:highlight w:val="none"/>
                <w:u w:val="none" w:color="auto"/>
              </w:rPr>
              <w:t>》符合性分析</w:t>
            </w:r>
          </w:p>
          <w:p w14:paraId="351832B8">
            <w:pPr>
              <w:pStyle w:val="22"/>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color w:val="auto"/>
                <w:sz w:val="24"/>
                <w:szCs w:val="24"/>
                <w:highlight w:val="none"/>
                <w:u w:val="none" w:color="auto"/>
              </w:rPr>
            </w:pPr>
            <w:r>
              <w:rPr>
                <w:color w:val="auto"/>
                <w:sz w:val="24"/>
                <w:szCs w:val="24"/>
                <w:highlight w:val="none"/>
                <w:u w:val="none" w:color="auto"/>
              </w:rPr>
              <w:t>与《</w:t>
            </w:r>
            <w:r>
              <w:rPr>
                <w:rFonts w:hint="eastAsia"/>
                <w:color w:val="auto"/>
                <w:sz w:val="24"/>
                <w:szCs w:val="24"/>
                <w:highlight w:val="none"/>
                <w:u w:val="none" w:color="auto"/>
              </w:rPr>
              <w:t>吉林省大气污染防治条例</w:t>
            </w:r>
            <w:r>
              <w:rPr>
                <w:color w:val="auto"/>
                <w:sz w:val="24"/>
                <w:szCs w:val="24"/>
                <w:highlight w:val="none"/>
                <w:u w:val="none" w:color="auto"/>
              </w:rPr>
              <w:t>》的符合性分析，详见下表。</w:t>
            </w:r>
          </w:p>
          <w:p w14:paraId="5109637F">
            <w:pPr>
              <w:pStyle w:val="8"/>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imes New Roman" w:hAnsi="Times New Roman"/>
                <w:color w:val="auto"/>
                <w:sz w:val="24"/>
                <w:szCs w:val="24"/>
                <w:highlight w:val="none"/>
                <w:u w:val="none" w:color="auto"/>
              </w:rPr>
            </w:pPr>
            <w:r>
              <w:rPr>
                <w:rFonts w:ascii="Times New Roman" w:hAnsi="Times New Roman"/>
                <w:color w:val="auto"/>
                <w:sz w:val="24"/>
                <w:szCs w:val="24"/>
                <w:highlight w:val="none"/>
                <w:u w:val="none" w:color="auto"/>
              </w:rPr>
              <w:t>表</w:t>
            </w:r>
            <w:r>
              <w:rPr>
                <w:rFonts w:hint="eastAsia" w:ascii="Times New Roman" w:hAnsi="Times New Roman"/>
                <w:color w:val="auto"/>
                <w:sz w:val="24"/>
                <w:szCs w:val="24"/>
                <w:highlight w:val="none"/>
                <w:u w:val="none" w:color="auto"/>
                <w:lang w:val="en-US" w:eastAsia="zh-CN"/>
              </w:rPr>
              <w:t>1-7</w:t>
            </w:r>
            <w:r>
              <w:rPr>
                <w:rFonts w:hint="eastAsia" w:ascii="Times New Roman" w:hAnsi="Times New Roman"/>
                <w:color w:val="auto"/>
                <w:sz w:val="24"/>
                <w:szCs w:val="24"/>
                <w:highlight w:val="none"/>
                <w:u w:val="none" w:color="auto"/>
              </w:rPr>
              <w:t xml:space="preserve"> 与</w:t>
            </w:r>
            <w:r>
              <w:rPr>
                <w:rFonts w:ascii="Times New Roman" w:hAnsi="Times New Roman"/>
                <w:color w:val="auto"/>
                <w:sz w:val="24"/>
                <w:szCs w:val="24"/>
                <w:highlight w:val="none"/>
                <w:u w:val="none" w:color="auto"/>
              </w:rPr>
              <w:t>《</w:t>
            </w:r>
            <w:r>
              <w:rPr>
                <w:rFonts w:hint="eastAsia"/>
                <w:color w:val="auto"/>
                <w:sz w:val="24"/>
                <w:szCs w:val="24"/>
                <w:highlight w:val="none"/>
                <w:u w:val="none" w:color="auto"/>
              </w:rPr>
              <w:t>吉林省大气污染防治条例</w:t>
            </w:r>
            <w:r>
              <w:rPr>
                <w:rFonts w:ascii="Times New Roman" w:hAnsi="Times New Roman"/>
                <w:color w:val="auto"/>
                <w:sz w:val="24"/>
                <w:szCs w:val="24"/>
                <w:highlight w:val="none"/>
                <w:u w:val="none" w:color="auto"/>
              </w:rPr>
              <w:t>》的符合性分析</w:t>
            </w:r>
          </w:p>
          <w:tbl>
            <w:tblPr>
              <w:tblStyle w:val="29"/>
              <w:tblW w:w="743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04"/>
              <w:gridCol w:w="3035"/>
            </w:tblGrid>
            <w:tr w14:paraId="2A9C7C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4404" w:type="dxa"/>
                  <w:tcBorders>
                    <w:tl2br w:val="nil"/>
                    <w:tr2bl w:val="nil"/>
                  </w:tcBorders>
                </w:tcPr>
                <w:p w14:paraId="3ADAB12E">
                  <w:pPr>
                    <w:pStyle w:val="22"/>
                    <w:spacing w:line="240" w:lineRule="auto"/>
                    <w:ind w:left="0"/>
                    <w:jc w:val="center"/>
                    <w:rPr>
                      <w:color w:val="auto"/>
                      <w:szCs w:val="21"/>
                      <w:highlight w:val="none"/>
                      <w:u w:val="none" w:color="auto"/>
                    </w:rPr>
                  </w:pPr>
                  <w:r>
                    <w:rPr>
                      <w:rFonts w:hint="eastAsia"/>
                      <w:color w:val="auto"/>
                      <w:szCs w:val="21"/>
                      <w:highlight w:val="none"/>
                      <w:u w:val="none" w:color="auto"/>
                    </w:rPr>
                    <w:t>《吉林省大气污染防治条例》</w:t>
                  </w:r>
                </w:p>
              </w:tc>
              <w:tc>
                <w:tcPr>
                  <w:tcW w:w="3035" w:type="dxa"/>
                  <w:tcBorders>
                    <w:tl2br w:val="nil"/>
                    <w:tr2bl w:val="nil"/>
                  </w:tcBorders>
                </w:tcPr>
                <w:p w14:paraId="0A7D1F99">
                  <w:pPr>
                    <w:pStyle w:val="22"/>
                    <w:spacing w:line="240" w:lineRule="auto"/>
                    <w:ind w:left="0"/>
                    <w:jc w:val="center"/>
                    <w:rPr>
                      <w:color w:val="auto"/>
                      <w:szCs w:val="21"/>
                      <w:highlight w:val="none"/>
                      <w:u w:val="none" w:color="auto"/>
                    </w:rPr>
                  </w:pPr>
                  <w:r>
                    <w:rPr>
                      <w:rFonts w:hint="eastAsia"/>
                      <w:color w:val="auto"/>
                      <w:szCs w:val="21"/>
                      <w:highlight w:val="none"/>
                      <w:u w:val="none" w:color="auto"/>
                    </w:rPr>
                    <w:t>本项目符合性</w:t>
                  </w:r>
                </w:p>
              </w:tc>
            </w:tr>
            <w:tr w14:paraId="7D118F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5" w:hRule="atLeast"/>
              </w:trPr>
              <w:tc>
                <w:tcPr>
                  <w:tcW w:w="4404" w:type="dxa"/>
                  <w:tcBorders>
                    <w:tl2br w:val="nil"/>
                    <w:tr2bl w:val="nil"/>
                  </w:tcBorders>
                  <w:vAlign w:val="center"/>
                </w:tcPr>
                <w:p w14:paraId="1E6A81B1">
                  <w:pPr>
                    <w:pStyle w:val="22"/>
                    <w:spacing w:line="240" w:lineRule="auto"/>
                    <w:ind w:left="0"/>
                    <w:jc w:val="both"/>
                    <w:rPr>
                      <w:color w:val="auto"/>
                      <w:szCs w:val="21"/>
                      <w:highlight w:val="none"/>
                      <w:u w:val="none" w:color="auto"/>
                    </w:rPr>
                  </w:pPr>
                  <w:r>
                    <w:rPr>
                      <w:rFonts w:hint="eastAsia"/>
                      <w:color w:val="auto"/>
                      <w:szCs w:val="21"/>
                      <w:highlight w:val="none"/>
                      <w:u w:val="none" w:color="auto"/>
                    </w:rPr>
                    <w:t>排放工业废气或者国家公布的名录中所列的有毒有害大气污染物的企业事业单位、集中供热设施的燃煤热源生产运营单位以及其他依法实施排污许可管理的单位，应当取得排污许可证，并按照排污许可证要求排放污染物；未取得排污许可证的，不得排放污染物。</w:t>
                  </w:r>
                </w:p>
              </w:tc>
              <w:tc>
                <w:tcPr>
                  <w:tcW w:w="3035" w:type="dxa"/>
                  <w:tcBorders>
                    <w:tl2br w:val="nil"/>
                    <w:tr2bl w:val="nil"/>
                  </w:tcBorders>
                  <w:vAlign w:val="center"/>
                </w:tcPr>
                <w:p w14:paraId="2ADDBADE">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40C767EF">
                  <w:pPr>
                    <w:pStyle w:val="22"/>
                    <w:spacing w:line="240" w:lineRule="auto"/>
                    <w:ind w:left="0"/>
                    <w:jc w:val="both"/>
                    <w:rPr>
                      <w:color w:val="auto"/>
                      <w:szCs w:val="21"/>
                      <w:highlight w:val="none"/>
                      <w:u w:val="none" w:color="auto"/>
                    </w:rPr>
                  </w:pPr>
                  <w:r>
                    <w:rPr>
                      <w:rFonts w:hint="eastAsia"/>
                      <w:color w:val="auto"/>
                      <w:szCs w:val="21"/>
                      <w:highlight w:val="none"/>
                      <w:u w:val="none" w:color="auto"/>
                    </w:rPr>
                    <w:t>项目建成后</w:t>
                  </w:r>
                  <w:r>
                    <w:rPr>
                      <w:rFonts w:hint="eastAsia"/>
                      <w:color w:val="auto"/>
                      <w:szCs w:val="21"/>
                      <w:highlight w:val="none"/>
                      <w:u w:val="none" w:color="auto"/>
                      <w:lang w:eastAsia="zh-CN"/>
                    </w:rPr>
                    <w:t>及时申请</w:t>
                  </w:r>
                  <w:r>
                    <w:rPr>
                      <w:rFonts w:hint="eastAsia"/>
                      <w:color w:val="auto"/>
                      <w:szCs w:val="21"/>
                      <w:highlight w:val="none"/>
                      <w:u w:val="none" w:color="auto"/>
                    </w:rPr>
                    <w:t>排污许可证，并按照排污许可证要求排放污染物。</w:t>
                  </w:r>
                </w:p>
              </w:tc>
            </w:tr>
            <w:tr w14:paraId="1F8212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1" w:hRule="atLeast"/>
              </w:trPr>
              <w:tc>
                <w:tcPr>
                  <w:tcW w:w="4404" w:type="dxa"/>
                  <w:tcBorders>
                    <w:tl2br w:val="nil"/>
                    <w:tr2bl w:val="nil"/>
                  </w:tcBorders>
                  <w:vAlign w:val="center"/>
                </w:tcPr>
                <w:p w14:paraId="76B80645">
                  <w:pPr>
                    <w:pStyle w:val="22"/>
                    <w:spacing w:line="240" w:lineRule="auto"/>
                    <w:ind w:left="0"/>
                    <w:jc w:val="both"/>
                    <w:rPr>
                      <w:color w:val="auto"/>
                      <w:szCs w:val="21"/>
                      <w:highlight w:val="none"/>
                      <w:u w:val="none" w:color="auto"/>
                    </w:rPr>
                  </w:pPr>
                  <w:r>
                    <w:rPr>
                      <w:color w:val="auto"/>
                      <w:szCs w:val="21"/>
                      <w:highlight w:val="none"/>
                      <w:u w:val="none" w:color="auto"/>
                    </w:rPr>
                    <w:t>在高污染燃料禁燃区内，禁止销售、燃用高污染燃料；禁止新建、扩建燃用高污染燃料的设施。禁燃区内已建成的燃用高污染燃料设施，应当在城市人民政府规定的期限内改用天然气、页岩气、液化石油气、电或者其他清洁能源。</w:t>
                  </w:r>
                </w:p>
              </w:tc>
              <w:tc>
                <w:tcPr>
                  <w:tcW w:w="3035" w:type="dxa"/>
                  <w:tcBorders>
                    <w:tl2br w:val="nil"/>
                    <w:tr2bl w:val="nil"/>
                  </w:tcBorders>
                  <w:vAlign w:val="center"/>
                </w:tcPr>
                <w:p w14:paraId="611A4C0A">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79403ADC">
                  <w:pPr>
                    <w:pStyle w:val="22"/>
                    <w:spacing w:line="240" w:lineRule="auto"/>
                    <w:ind w:left="0" w:leftChars="0"/>
                    <w:jc w:val="both"/>
                    <w:rPr>
                      <w:color w:val="auto"/>
                      <w:szCs w:val="21"/>
                      <w:highlight w:val="none"/>
                      <w:u w:val="none" w:color="auto"/>
                    </w:rPr>
                  </w:pPr>
                  <w:r>
                    <w:rPr>
                      <w:color w:val="auto"/>
                      <w:szCs w:val="21"/>
                      <w:highlight w:val="none"/>
                      <w:u w:val="none" w:color="auto"/>
                    </w:rPr>
                    <w:t>本</w:t>
                  </w:r>
                  <w:r>
                    <w:rPr>
                      <w:rFonts w:hint="eastAsia"/>
                      <w:color w:val="auto"/>
                      <w:szCs w:val="21"/>
                      <w:highlight w:val="none"/>
                      <w:u w:val="none" w:color="auto"/>
                    </w:rPr>
                    <w:t>项目</w:t>
                  </w:r>
                  <w:r>
                    <w:rPr>
                      <w:rFonts w:hint="eastAsia"/>
                      <w:color w:val="auto"/>
                      <w:szCs w:val="21"/>
                      <w:highlight w:val="none"/>
                      <w:u w:val="none" w:color="auto"/>
                      <w:lang w:eastAsia="zh-CN"/>
                    </w:rPr>
                    <w:t>采用专用</w:t>
                  </w:r>
                  <w:r>
                    <w:rPr>
                      <w:rFonts w:hint="eastAsia"/>
                      <w:color w:val="auto"/>
                      <w:szCs w:val="21"/>
                      <w:highlight w:val="none"/>
                      <w:u w:val="none" w:color="auto"/>
                    </w:rPr>
                    <w:t>热风炉使用的燃料为生物质颗粒，并配备了高效布袋除尘器，</w:t>
                  </w:r>
                  <w:r>
                    <w:rPr>
                      <w:rFonts w:hint="eastAsia"/>
                      <w:color w:val="auto"/>
                      <w:szCs w:val="21"/>
                      <w:highlight w:val="none"/>
                      <w:u w:val="none" w:color="auto"/>
                      <w:lang w:eastAsia="zh-CN"/>
                    </w:rPr>
                    <w:t>不属于《高污染燃料目录》中</w:t>
                  </w:r>
                  <w:r>
                    <w:rPr>
                      <w:rFonts w:hint="eastAsia"/>
                      <w:color w:val="auto"/>
                      <w:szCs w:val="21"/>
                      <w:highlight w:val="none"/>
                      <w:u w:val="none" w:color="auto"/>
                    </w:rPr>
                    <w:t>高污染燃料</w:t>
                  </w:r>
                  <w:r>
                    <w:rPr>
                      <w:rFonts w:hint="eastAsia"/>
                      <w:color w:val="auto"/>
                      <w:szCs w:val="21"/>
                      <w:highlight w:val="none"/>
                      <w:u w:val="none" w:color="auto"/>
                      <w:lang w:eastAsia="zh-CN"/>
                    </w:rPr>
                    <w:t>范畴</w:t>
                  </w:r>
                  <w:r>
                    <w:rPr>
                      <w:rFonts w:hint="eastAsia"/>
                      <w:color w:val="auto"/>
                      <w:szCs w:val="21"/>
                      <w:highlight w:val="none"/>
                      <w:u w:val="none" w:color="auto"/>
                    </w:rPr>
                    <w:t>，亦不在禁燃区内</w:t>
                  </w:r>
                  <w:r>
                    <w:rPr>
                      <w:color w:val="auto"/>
                      <w:szCs w:val="21"/>
                      <w:highlight w:val="none"/>
                      <w:u w:val="none" w:color="auto"/>
                    </w:rPr>
                    <w:t>。</w:t>
                  </w:r>
                </w:p>
              </w:tc>
            </w:tr>
            <w:tr w14:paraId="5D6B6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4404" w:type="dxa"/>
                  <w:tcBorders>
                    <w:tl2br w:val="nil"/>
                    <w:tr2bl w:val="nil"/>
                  </w:tcBorders>
                  <w:vAlign w:val="center"/>
                </w:tcPr>
                <w:p w14:paraId="452F9C78">
                  <w:pPr>
                    <w:pStyle w:val="22"/>
                    <w:spacing w:line="240" w:lineRule="auto"/>
                    <w:ind w:left="0"/>
                    <w:jc w:val="both"/>
                    <w:rPr>
                      <w:color w:val="auto"/>
                      <w:szCs w:val="21"/>
                      <w:highlight w:val="none"/>
                      <w:u w:val="none" w:color="auto"/>
                    </w:rPr>
                  </w:pPr>
                  <w:r>
                    <w:rPr>
                      <w:color w:val="auto"/>
                      <w:szCs w:val="21"/>
                      <w:highlight w:val="none"/>
                      <w:u w:val="none" w:color="auto"/>
                    </w:rPr>
                    <w:t>企业事业单位和其他生产经营者不得新建、扩建列入淘汰类目录的高污染工业项目，不得使用列入淘汰类目录的工艺、设备、产品。</w:t>
                  </w:r>
                </w:p>
              </w:tc>
              <w:tc>
                <w:tcPr>
                  <w:tcW w:w="3035" w:type="dxa"/>
                  <w:tcBorders>
                    <w:tl2br w:val="nil"/>
                    <w:tr2bl w:val="nil"/>
                  </w:tcBorders>
                  <w:vAlign w:val="center"/>
                </w:tcPr>
                <w:p w14:paraId="599DC3ED">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25C39E98">
                  <w:pPr>
                    <w:pStyle w:val="22"/>
                    <w:spacing w:line="240" w:lineRule="auto"/>
                    <w:ind w:left="0"/>
                    <w:jc w:val="both"/>
                    <w:rPr>
                      <w:color w:val="auto"/>
                      <w:szCs w:val="21"/>
                      <w:highlight w:val="none"/>
                      <w:u w:val="none" w:color="auto"/>
                    </w:rPr>
                  </w:pPr>
                  <w:r>
                    <w:rPr>
                      <w:color w:val="auto"/>
                      <w:szCs w:val="21"/>
                      <w:highlight w:val="none"/>
                      <w:u w:val="none" w:color="auto"/>
                    </w:rPr>
                    <w:t>本项目</w:t>
                  </w:r>
                  <w:r>
                    <w:rPr>
                      <w:rFonts w:hint="eastAsia"/>
                      <w:color w:val="auto"/>
                      <w:szCs w:val="21"/>
                      <w:highlight w:val="none"/>
                      <w:u w:val="none" w:color="auto"/>
                    </w:rPr>
                    <w:t>为粮食烘干项目，</w:t>
                  </w:r>
                  <w:r>
                    <w:rPr>
                      <w:color w:val="auto"/>
                      <w:szCs w:val="21"/>
                      <w:highlight w:val="none"/>
                      <w:u w:val="none" w:color="auto"/>
                    </w:rPr>
                    <w:t>不属于高污染工业项目，未使用列入淘汰类目录的工艺、设备、产品。</w:t>
                  </w:r>
                </w:p>
              </w:tc>
            </w:tr>
          </w:tbl>
          <w:p w14:paraId="65DCF5C2">
            <w:pPr>
              <w:keepNext w:val="0"/>
              <w:keepLines w:val="0"/>
              <w:pageBreakBefore w:val="0"/>
              <w:widowControl w:val="0"/>
              <w:kinsoku/>
              <w:wordWrap/>
              <w:overflowPunct/>
              <w:topLinePunct w:val="0"/>
              <w:autoSpaceDE/>
              <w:autoSpaceDN/>
              <w:bidi w:val="0"/>
              <w:adjustRightInd w:val="0"/>
              <w:snapToGrid w:val="0"/>
              <w:spacing w:before="156" w:beforeLines="50" w:line="360" w:lineRule="auto"/>
              <w:ind w:firstLine="480" w:firstLineChars="200"/>
              <w:jc w:val="left"/>
              <w:textAlignment w:val="auto"/>
              <w:rPr>
                <w:color w:val="auto"/>
                <w:sz w:val="24"/>
                <w:highlight w:val="none"/>
                <w:u w:val="none" w:color="auto"/>
              </w:rPr>
            </w:pPr>
            <w:r>
              <w:rPr>
                <w:color w:val="auto"/>
                <w:kern w:val="0"/>
                <w:sz w:val="24"/>
                <w:highlight w:val="none"/>
                <w:u w:val="none" w:color="auto"/>
              </w:rPr>
              <w:t>综上，本项目符合《吉林省大气污染防治条例》</w:t>
            </w:r>
            <w:r>
              <w:rPr>
                <w:rFonts w:hint="eastAsia"/>
                <w:color w:val="auto"/>
                <w:kern w:val="0"/>
                <w:sz w:val="24"/>
                <w:highlight w:val="none"/>
                <w:u w:val="none" w:color="auto"/>
              </w:rPr>
              <w:t>相关</w:t>
            </w:r>
            <w:r>
              <w:rPr>
                <w:color w:val="auto"/>
                <w:kern w:val="0"/>
                <w:sz w:val="24"/>
                <w:highlight w:val="none"/>
                <w:u w:val="none" w:color="auto"/>
              </w:rPr>
              <w:t>要求。</w:t>
            </w:r>
          </w:p>
          <w:p w14:paraId="0A31C229">
            <w:pPr>
              <w:pStyle w:val="22"/>
              <w:keepNext w:val="0"/>
              <w:keepLines w:val="0"/>
              <w:pageBreakBefore w:val="0"/>
              <w:widowControl w:val="0"/>
              <w:kinsoku/>
              <w:wordWrap/>
              <w:overflowPunct/>
              <w:topLinePunct w:val="0"/>
              <w:autoSpaceDE/>
              <w:autoSpaceDN/>
              <w:bidi w:val="0"/>
              <w:spacing w:line="360" w:lineRule="auto"/>
              <w:ind w:left="0" w:firstLine="240" w:firstLineChars="100"/>
              <w:jc w:val="left"/>
              <w:textAlignment w:val="auto"/>
              <w:rPr>
                <w:color w:val="auto"/>
                <w:sz w:val="24"/>
                <w:highlight w:val="none"/>
                <w:u w:val="none" w:color="auto"/>
              </w:rPr>
            </w:pPr>
            <w:r>
              <w:rPr>
                <w:rFonts w:hint="eastAsia"/>
                <w:color w:val="auto"/>
                <w:sz w:val="24"/>
                <w:highlight w:val="none"/>
                <w:u w:val="none" w:color="auto"/>
              </w:rPr>
              <w:t>（</w:t>
            </w:r>
            <w:r>
              <w:rPr>
                <w:rFonts w:hint="eastAsia"/>
                <w:color w:val="auto"/>
                <w:sz w:val="24"/>
                <w:highlight w:val="none"/>
                <w:u w:val="none" w:color="auto"/>
                <w:lang w:val="en-US" w:eastAsia="zh-CN"/>
              </w:rPr>
              <w:t>3</w:t>
            </w:r>
            <w:r>
              <w:rPr>
                <w:rFonts w:hint="eastAsia"/>
                <w:color w:val="auto"/>
                <w:sz w:val="24"/>
                <w:highlight w:val="none"/>
                <w:u w:val="none" w:color="auto"/>
              </w:rPr>
              <w:t>）</w:t>
            </w:r>
            <w:r>
              <w:rPr>
                <w:color w:val="auto"/>
                <w:sz w:val="24"/>
                <w:highlight w:val="none"/>
                <w:u w:val="none" w:color="auto"/>
              </w:rPr>
              <w:t>与《</w:t>
            </w:r>
            <w:r>
              <w:rPr>
                <w:rFonts w:hint="eastAsia"/>
                <w:color w:val="auto"/>
                <w:sz w:val="24"/>
                <w:highlight w:val="none"/>
                <w:u w:val="none" w:color="auto"/>
              </w:rPr>
              <w:t>吉林市环境空气污染防治办法</w:t>
            </w:r>
            <w:r>
              <w:rPr>
                <w:color w:val="auto"/>
                <w:sz w:val="24"/>
                <w:highlight w:val="none"/>
                <w:u w:val="none" w:color="auto"/>
              </w:rPr>
              <w:t>》符合性分析</w:t>
            </w:r>
          </w:p>
          <w:p w14:paraId="4E202C5B">
            <w:pPr>
              <w:pStyle w:val="22"/>
              <w:keepNext w:val="0"/>
              <w:keepLines w:val="0"/>
              <w:pageBreakBefore w:val="0"/>
              <w:widowControl w:val="0"/>
              <w:kinsoku/>
              <w:wordWrap/>
              <w:overflowPunct/>
              <w:topLinePunct w:val="0"/>
              <w:autoSpaceDE/>
              <w:autoSpaceDN/>
              <w:bidi w:val="0"/>
              <w:spacing w:line="360" w:lineRule="auto"/>
              <w:ind w:left="0" w:firstLine="480" w:firstLineChars="200"/>
              <w:jc w:val="left"/>
              <w:textAlignment w:val="auto"/>
              <w:rPr>
                <w:color w:val="auto"/>
                <w:sz w:val="24"/>
                <w:highlight w:val="none"/>
                <w:u w:val="none" w:color="auto"/>
              </w:rPr>
            </w:pPr>
            <w:r>
              <w:rPr>
                <w:color w:val="auto"/>
                <w:sz w:val="24"/>
                <w:highlight w:val="none"/>
                <w:u w:val="none" w:color="auto"/>
              </w:rPr>
              <w:t>与《</w:t>
            </w:r>
            <w:r>
              <w:rPr>
                <w:rFonts w:hint="eastAsia"/>
                <w:color w:val="auto"/>
                <w:sz w:val="24"/>
                <w:highlight w:val="none"/>
                <w:u w:val="none" w:color="auto"/>
              </w:rPr>
              <w:t>吉林市环境空气污染防治办法</w:t>
            </w:r>
            <w:r>
              <w:rPr>
                <w:color w:val="auto"/>
                <w:sz w:val="24"/>
                <w:highlight w:val="none"/>
                <w:u w:val="none" w:color="auto"/>
              </w:rPr>
              <w:t>》的符合性分析，详见下表。</w:t>
            </w:r>
          </w:p>
          <w:p w14:paraId="07C19EEB">
            <w:pPr>
              <w:pStyle w:val="8"/>
              <w:keepNext w:val="0"/>
              <w:keepLines w:val="0"/>
              <w:pageBreakBefore w:val="0"/>
              <w:widowControl w:val="0"/>
              <w:kinsoku/>
              <w:wordWrap/>
              <w:overflowPunct/>
              <w:topLinePunct w:val="0"/>
              <w:autoSpaceDE/>
              <w:autoSpaceDN/>
              <w:bidi w:val="0"/>
              <w:spacing w:line="360" w:lineRule="auto"/>
              <w:jc w:val="center"/>
              <w:textAlignment w:val="auto"/>
              <w:rPr>
                <w:rFonts w:ascii="Times New Roman" w:hAnsi="Times New Roman"/>
                <w:color w:val="auto"/>
                <w:sz w:val="24"/>
                <w:szCs w:val="24"/>
                <w:highlight w:val="none"/>
                <w:u w:val="none" w:color="auto"/>
              </w:rPr>
            </w:pPr>
            <w:r>
              <w:rPr>
                <w:rFonts w:ascii="Times New Roman" w:hAnsi="Times New Roman"/>
                <w:color w:val="auto"/>
                <w:sz w:val="24"/>
                <w:szCs w:val="24"/>
                <w:highlight w:val="none"/>
                <w:u w:val="none" w:color="auto"/>
              </w:rPr>
              <w:t>表</w:t>
            </w:r>
            <w:r>
              <w:rPr>
                <w:rFonts w:hint="eastAsia" w:ascii="Times New Roman" w:hAnsi="Times New Roman"/>
                <w:color w:val="auto"/>
                <w:sz w:val="24"/>
                <w:szCs w:val="24"/>
                <w:highlight w:val="none"/>
                <w:u w:val="none" w:color="auto"/>
                <w:lang w:val="en-US" w:eastAsia="zh-CN"/>
              </w:rPr>
              <w:t>1-8</w:t>
            </w:r>
            <w:r>
              <w:rPr>
                <w:rFonts w:hint="eastAsia" w:ascii="Times New Roman" w:hAnsi="Times New Roman"/>
                <w:color w:val="auto"/>
                <w:sz w:val="24"/>
                <w:szCs w:val="24"/>
                <w:highlight w:val="none"/>
                <w:u w:val="none" w:color="auto"/>
              </w:rPr>
              <w:t xml:space="preserve">  与</w:t>
            </w:r>
            <w:r>
              <w:rPr>
                <w:rFonts w:ascii="Times New Roman" w:hAnsi="Times New Roman"/>
                <w:color w:val="auto"/>
                <w:sz w:val="24"/>
                <w:szCs w:val="24"/>
                <w:highlight w:val="none"/>
                <w:u w:val="none" w:color="auto"/>
              </w:rPr>
              <w:t>《</w:t>
            </w:r>
            <w:r>
              <w:rPr>
                <w:rFonts w:hint="eastAsia"/>
                <w:color w:val="auto"/>
                <w:sz w:val="24"/>
                <w:szCs w:val="24"/>
                <w:highlight w:val="none"/>
                <w:u w:val="none" w:color="auto"/>
              </w:rPr>
              <w:t>吉林市环境空气污染防治办法</w:t>
            </w:r>
            <w:r>
              <w:rPr>
                <w:rFonts w:ascii="Times New Roman" w:hAnsi="Times New Roman"/>
                <w:color w:val="auto"/>
                <w:sz w:val="24"/>
                <w:szCs w:val="24"/>
                <w:highlight w:val="none"/>
                <w:u w:val="none" w:color="auto"/>
              </w:rPr>
              <w:t>》的符合性分析</w:t>
            </w:r>
          </w:p>
          <w:tbl>
            <w:tblPr>
              <w:tblStyle w:val="29"/>
              <w:tblW w:w="747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08"/>
              <w:gridCol w:w="3571"/>
            </w:tblGrid>
            <w:tr w14:paraId="0BBCB7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908" w:type="dxa"/>
                  <w:tcBorders>
                    <w:tl2br w:val="nil"/>
                    <w:tr2bl w:val="nil"/>
                  </w:tcBorders>
                </w:tcPr>
                <w:p w14:paraId="64ED8C08">
                  <w:pPr>
                    <w:pStyle w:val="22"/>
                    <w:spacing w:line="360" w:lineRule="exact"/>
                    <w:ind w:left="0"/>
                    <w:jc w:val="center"/>
                    <w:rPr>
                      <w:color w:val="auto"/>
                      <w:szCs w:val="21"/>
                      <w:highlight w:val="none"/>
                      <w:u w:val="none" w:color="auto"/>
                    </w:rPr>
                  </w:pPr>
                  <w:r>
                    <w:rPr>
                      <w:rFonts w:hint="eastAsia"/>
                      <w:color w:val="auto"/>
                      <w:szCs w:val="21"/>
                      <w:highlight w:val="none"/>
                      <w:u w:val="none" w:color="auto"/>
                    </w:rPr>
                    <w:t>《吉林市环境空气污染防治办法》</w:t>
                  </w:r>
                </w:p>
              </w:tc>
              <w:tc>
                <w:tcPr>
                  <w:tcW w:w="3571" w:type="dxa"/>
                  <w:tcBorders>
                    <w:tl2br w:val="nil"/>
                    <w:tr2bl w:val="nil"/>
                  </w:tcBorders>
                </w:tcPr>
                <w:p w14:paraId="664937F4">
                  <w:pPr>
                    <w:pStyle w:val="22"/>
                    <w:spacing w:line="360" w:lineRule="exact"/>
                    <w:ind w:left="0"/>
                    <w:jc w:val="center"/>
                    <w:rPr>
                      <w:color w:val="auto"/>
                      <w:szCs w:val="21"/>
                      <w:highlight w:val="none"/>
                      <w:u w:val="none" w:color="auto"/>
                    </w:rPr>
                  </w:pPr>
                  <w:r>
                    <w:rPr>
                      <w:rFonts w:hint="eastAsia"/>
                      <w:color w:val="auto"/>
                      <w:szCs w:val="21"/>
                      <w:highlight w:val="none"/>
                      <w:u w:val="none" w:color="auto"/>
                    </w:rPr>
                    <w:t>本项目符合性</w:t>
                  </w:r>
                </w:p>
              </w:tc>
            </w:tr>
            <w:tr w14:paraId="558D8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3908" w:type="dxa"/>
                  <w:tcBorders>
                    <w:tl2br w:val="nil"/>
                    <w:tr2bl w:val="nil"/>
                  </w:tcBorders>
                </w:tcPr>
                <w:p w14:paraId="55157FF2">
                  <w:pPr>
                    <w:pStyle w:val="22"/>
                    <w:spacing w:line="240" w:lineRule="auto"/>
                    <w:ind w:left="0"/>
                    <w:jc w:val="both"/>
                    <w:rPr>
                      <w:color w:val="auto"/>
                      <w:szCs w:val="21"/>
                      <w:highlight w:val="none"/>
                      <w:u w:val="none" w:color="auto"/>
                    </w:rPr>
                  </w:pPr>
                  <w:r>
                    <w:rPr>
                      <w:rFonts w:hint="eastAsia"/>
                      <w:color w:val="auto"/>
                      <w:szCs w:val="21"/>
                      <w:highlight w:val="none"/>
                      <w:u w:val="none" w:color="auto"/>
                    </w:rPr>
                    <w:t>实行环境空气污染物排放总量控制和排放污染物许可证制度。禁止无证排放。</w:t>
                  </w:r>
                </w:p>
              </w:tc>
              <w:tc>
                <w:tcPr>
                  <w:tcW w:w="3571" w:type="dxa"/>
                  <w:tcBorders>
                    <w:tl2br w:val="nil"/>
                    <w:tr2bl w:val="nil"/>
                  </w:tcBorders>
                </w:tcPr>
                <w:p w14:paraId="595D507B">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1823E5C8">
                  <w:pPr>
                    <w:pStyle w:val="22"/>
                    <w:spacing w:line="240" w:lineRule="auto"/>
                    <w:ind w:left="0"/>
                    <w:jc w:val="both"/>
                    <w:rPr>
                      <w:rFonts w:hint="eastAsia" w:eastAsia="宋体"/>
                      <w:color w:val="auto"/>
                      <w:szCs w:val="21"/>
                      <w:highlight w:val="none"/>
                      <w:u w:val="none" w:color="auto"/>
                      <w:lang w:eastAsia="zh-CN"/>
                    </w:rPr>
                  </w:pPr>
                  <w:r>
                    <w:rPr>
                      <w:rFonts w:hint="eastAsia"/>
                      <w:color w:val="auto"/>
                      <w:szCs w:val="21"/>
                      <w:highlight w:val="none"/>
                      <w:u w:val="none" w:color="auto"/>
                    </w:rPr>
                    <w:t>项目建成后</w:t>
                  </w:r>
                  <w:r>
                    <w:rPr>
                      <w:rFonts w:hint="eastAsia"/>
                      <w:color w:val="auto"/>
                      <w:szCs w:val="21"/>
                      <w:highlight w:val="none"/>
                      <w:u w:val="none" w:color="auto"/>
                      <w:lang w:eastAsia="zh-CN"/>
                    </w:rPr>
                    <w:t>及时申请</w:t>
                  </w:r>
                  <w:r>
                    <w:rPr>
                      <w:rFonts w:hint="eastAsia"/>
                      <w:color w:val="auto"/>
                      <w:szCs w:val="21"/>
                      <w:highlight w:val="none"/>
                      <w:u w:val="none" w:color="auto"/>
                    </w:rPr>
                    <w:t>排污许可证，并按照排污许可证要求排放污染物</w:t>
                  </w:r>
                  <w:r>
                    <w:rPr>
                      <w:rFonts w:hint="eastAsia"/>
                      <w:color w:val="auto"/>
                      <w:szCs w:val="21"/>
                      <w:highlight w:val="none"/>
                      <w:u w:val="none" w:color="auto"/>
                      <w:lang w:eastAsia="zh-CN"/>
                    </w:rPr>
                    <w:t>。</w:t>
                  </w:r>
                </w:p>
              </w:tc>
            </w:tr>
            <w:tr w14:paraId="257B42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3908" w:type="dxa"/>
                  <w:tcBorders>
                    <w:tl2br w:val="nil"/>
                    <w:tr2bl w:val="nil"/>
                  </w:tcBorders>
                  <w:vAlign w:val="center"/>
                </w:tcPr>
                <w:p w14:paraId="7619661F">
                  <w:pPr>
                    <w:pStyle w:val="22"/>
                    <w:spacing w:line="240" w:lineRule="auto"/>
                    <w:ind w:left="0"/>
                    <w:jc w:val="both"/>
                    <w:rPr>
                      <w:color w:val="auto"/>
                      <w:szCs w:val="21"/>
                      <w:highlight w:val="none"/>
                      <w:u w:val="none" w:color="auto"/>
                    </w:rPr>
                  </w:pPr>
                  <w:r>
                    <w:rPr>
                      <w:rFonts w:hint="eastAsia"/>
                      <w:color w:val="auto"/>
                      <w:szCs w:val="21"/>
                      <w:highlight w:val="none"/>
                      <w:u w:val="none" w:color="auto"/>
                    </w:rPr>
                    <w:t>向环境空气排放污染物的，其污染物排放浓度和总量不得超过国家和地方规定的排放标准及污染物总量控制指标，并须按规定缴纳排污费。</w:t>
                  </w:r>
                </w:p>
              </w:tc>
              <w:tc>
                <w:tcPr>
                  <w:tcW w:w="3571" w:type="dxa"/>
                  <w:tcBorders>
                    <w:tl2br w:val="nil"/>
                    <w:tr2bl w:val="nil"/>
                  </w:tcBorders>
                  <w:vAlign w:val="center"/>
                </w:tcPr>
                <w:p w14:paraId="1813B1CE">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1936DCBE">
                  <w:pPr>
                    <w:pStyle w:val="22"/>
                    <w:spacing w:line="240" w:lineRule="auto"/>
                    <w:ind w:left="0"/>
                    <w:jc w:val="both"/>
                    <w:rPr>
                      <w:color w:val="auto"/>
                      <w:szCs w:val="21"/>
                      <w:highlight w:val="none"/>
                      <w:u w:val="none" w:color="auto"/>
                    </w:rPr>
                  </w:pPr>
                  <w:r>
                    <w:rPr>
                      <w:color w:val="auto"/>
                      <w:szCs w:val="21"/>
                      <w:highlight w:val="none"/>
                      <w:u w:val="none" w:color="auto"/>
                    </w:rPr>
                    <w:t>根据</w:t>
                  </w:r>
                  <w:r>
                    <w:rPr>
                      <w:rFonts w:hint="eastAsia"/>
                      <w:color w:val="auto"/>
                      <w:szCs w:val="21"/>
                      <w:highlight w:val="none"/>
                      <w:u w:val="none" w:color="auto"/>
                    </w:rPr>
                    <w:t>“</w:t>
                  </w:r>
                  <w:r>
                    <w:rPr>
                      <w:color w:val="auto"/>
                      <w:szCs w:val="21"/>
                      <w:highlight w:val="none"/>
                      <w:u w:val="none" w:color="auto"/>
                    </w:rPr>
                    <w:t>吉林省生态环境厅《关于进一步明确建设项目主要污染物排放总量审核有关事宜的复函》</w:t>
                  </w:r>
                  <w:r>
                    <w:rPr>
                      <w:rFonts w:hint="eastAsia"/>
                      <w:color w:val="auto"/>
                      <w:szCs w:val="21"/>
                      <w:highlight w:val="none"/>
                      <w:u w:val="none" w:color="auto"/>
                    </w:rPr>
                    <w:t>”</w:t>
                  </w:r>
                  <w:r>
                    <w:rPr>
                      <w:color w:val="auto"/>
                      <w:szCs w:val="21"/>
                      <w:highlight w:val="none"/>
                      <w:u w:val="none" w:color="auto"/>
                    </w:rPr>
                    <w:t>，本项目属于其他行业排放管理，在环评审批过程中予以豁免主要污染物总量审核。</w:t>
                  </w:r>
                </w:p>
              </w:tc>
            </w:tr>
            <w:tr w14:paraId="61DD75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54" w:hRule="atLeast"/>
              </w:trPr>
              <w:tc>
                <w:tcPr>
                  <w:tcW w:w="3908" w:type="dxa"/>
                  <w:tcBorders>
                    <w:tl2br w:val="nil"/>
                    <w:tr2bl w:val="nil"/>
                  </w:tcBorders>
                  <w:vAlign w:val="center"/>
                </w:tcPr>
                <w:p w14:paraId="464F2602">
                  <w:pPr>
                    <w:pStyle w:val="22"/>
                    <w:spacing w:line="240" w:lineRule="auto"/>
                    <w:ind w:left="0"/>
                    <w:jc w:val="both"/>
                    <w:rPr>
                      <w:color w:val="auto"/>
                      <w:szCs w:val="21"/>
                      <w:highlight w:val="none"/>
                      <w:u w:val="none" w:color="auto"/>
                    </w:rPr>
                  </w:pPr>
                  <w:r>
                    <w:rPr>
                      <w:rFonts w:hint="eastAsia"/>
                      <w:color w:val="auto"/>
                      <w:szCs w:val="21"/>
                      <w:highlight w:val="none"/>
                      <w:u w:val="none" w:color="auto"/>
                    </w:rPr>
                    <w:t>新建、改建、扩建向环境空气排放污染物的建设项目，必须符合建设项目环境管理规定。</w:t>
                  </w:r>
                </w:p>
                <w:p w14:paraId="1D542355">
                  <w:pPr>
                    <w:pStyle w:val="22"/>
                    <w:spacing w:line="240" w:lineRule="auto"/>
                    <w:ind w:left="0"/>
                    <w:jc w:val="both"/>
                    <w:rPr>
                      <w:color w:val="auto"/>
                      <w:szCs w:val="21"/>
                      <w:highlight w:val="none"/>
                      <w:u w:val="none" w:color="auto"/>
                    </w:rPr>
                  </w:pPr>
                  <w:r>
                    <w:rPr>
                      <w:rFonts w:hint="eastAsia"/>
                      <w:color w:val="auto"/>
                      <w:szCs w:val="21"/>
                      <w:highlight w:val="none"/>
                      <w:u w:val="none" w:color="auto"/>
                    </w:rPr>
                    <w:t>禁止新建不符合国家产业政策的项目。</w:t>
                  </w:r>
                </w:p>
                <w:p w14:paraId="7B47212B">
                  <w:pPr>
                    <w:pStyle w:val="22"/>
                    <w:spacing w:line="240" w:lineRule="auto"/>
                    <w:ind w:left="0"/>
                    <w:jc w:val="both"/>
                    <w:rPr>
                      <w:color w:val="auto"/>
                      <w:szCs w:val="21"/>
                      <w:highlight w:val="none"/>
                      <w:u w:val="none" w:color="auto"/>
                    </w:rPr>
                  </w:pPr>
                  <w:r>
                    <w:rPr>
                      <w:rFonts w:hint="eastAsia"/>
                      <w:color w:val="auto"/>
                      <w:szCs w:val="21"/>
                      <w:highlight w:val="none"/>
                      <w:u w:val="none" w:color="auto"/>
                    </w:rPr>
                    <w:t>禁止在城市主导风向的上风向新建严重污染环境空气的建设项目。</w:t>
                  </w:r>
                </w:p>
              </w:tc>
              <w:tc>
                <w:tcPr>
                  <w:tcW w:w="3571" w:type="dxa"/>
                  <w:tcBorders>
                    <w:tl2br w:val="nil"/>
                    <w:tr2bl w:val="nil"/>
                  </w:tcBorders>
                  <w:vAlign w:val="center"/>
                </w:tcPr>
                <w:p w14:paraId="70290C9F">
                  <w:pPr>
                    <w:pStyle w:val="22"/>
                    <w:spacing w:line="240" w:lineRule="auto"/>
                    <w:ind w:left="0"/>
                    <w:jc w:val="both"/>
                    <w:rPr>
                      <w:rFonts w:hint="eastAsia"/>
                      <w:color w:val="auto"/>
                      <w:kern w:val="0"/>
                      <w:szCs w:val="21"/>
                      <w:highlight w:val="none"/>
                      <w:u w:val="none" w:color="auto"/>
                      <w:lang w:val="en-US" w:eastAsia="zh-CN"/>
                    </w:rPr>
                  </w:pPr>
                  <w:r>
                    <w:rPr>
                      <w:rFonts w:hint="eastAsia"/>
                      <w:color w:val="auto"/>
                      <w:kern w:val="0"/>
                      <w:szCs w:val="21"/>
                      <w:highlight w:val="none"/>
                      <w:u w:val="none" w:color="auto"/>
                      <w:lang w:val="en-US" w:eastAsia="zh-CN"/>
                    </w:rPr>
                    <w:t>符合。</w:t>
                  </w:r>
                </w:p>
                <w:p w14:paraId="4F51282B">
                  <w:pPr>
                    <w:pStyle w:val="22"/>
                    <w:spacing w:line="240" w:lineRule="auto"/>
                    <w:ind w:left="0"/>
                    <w:jc w:val="both"/>
                    <w:rPr>
                      <w:color w:val="auto"/>
                      <w:kern w:val="0"/>
                      <w:szCs w:val="21"/>
                      <w:highlight w:val="none"/>
                      <w:u w:val="none" w:color="auto"/>
                    </w:rPr>
                  </w:pPr>
                  <w:r>
                    <w:rPr>
                      <w:rFonts w:hint="eastAsia"/>
                      <w:color w:val="auto"/>
                      <w:kern w:val="0"/>
                      <w:szCs w:val="21"/>
                      <w:highlight w:val="none"/>
                      <w:u w:val="none" w:color="auto"/>
                    </w:rPr>
                    <w:t>项目运营期间在采取可行的环保治理措施后，废气经收集处理后达标排放。</w:t>
                  </w:r>
                </w:p>
                <w:p w14:paraId="34B5011F">
                  <w:pPr>
                    <w:spacing w:line="240" w:lineRule="auto"/>
                    <w:jc w:val="both"/>
                    <w:rPr>
                      <w:rFonts w:hint="eastAsia" w:eastAsia="宋体"/>
                      <w:color w:val="auto"/>
                      <w:szCs w:val="21"/>
                      <w:highlight w:val="none"/>
                      <w:u w:val="none" w:color="auto"/>
                      <w:lang w:eastAsia="zh-CN"/>
                    </w:rPr>
                  </w:pPr>
                  <w:r>
                    <w:rPr>
                      <w:rFonts w:hint="eastAsia"/>
                      <w:color w:val="auto"/>
                      <w:szCs w:val="21"/>
                      <w:highlight w:val="none"/>
                      <w:u w:val="none" w:color="auto"/>
                      <w:lang w:eastAsia="zh-CN"/>
                    </w:rPr>
                    <w:t>本</w:t>
                  </w:r>
                  <w:r>
                    <w:rPr>
                      <w:color w:val="auto"/>
                      <w:szCs w:val="21"/>
                      <w:highlight w:val="none"/>
                      <w:u w:val="none" w:color="auto"/>
                    </w:rPr>
                    <w:t>项</w:t>
                  </w:r>
                  <w:r>
                    <w:rPr>
                      <w:rFonts w:hint="eastAsia"/>
                      <w:color w:val="auto"/>
                      <w:szCs w:val="21"/>
                      <w:highlight w:val="none"/>
                      <w:u w:val="none" w:color="auto"/>
                    </w:rPr>
                    <w:t>目</w:t>
                  </w:r>
                  <w:r>
                    <w:rPr>
                      <w:rFonts w:hint="eastAsia"/>
                      <w:color w:val="auto"/>
                      <w:szCs w:val="21"/>
                      <w:highlight w:val="none"/>
                      <w:u w:val="none" w:color="auto"/>
                      <w:lang w:eastAsia="zh-CN"/>
                    </w:rPr>
                    <w:t>符合</w:t>
                  </w:r>
                  <w:r>
                    <w:rPr>
                      <w:color w:val="auto"/>
                      <w:szCs w:val="21"/>
                      <w:highlight w:val="none"/>
                      <w:u w:val="none" w:color="auto"/>
                    </w:rPr>
                    <w:t>《产业结构调整指导目录（</w:t>
                  </w:r>
                  <w:r>
                    <w:rPr>
                      <w:rFonts w:hint="eastAsia"/>
                      <w:color w:val="auto"/>
                      <w:szCs w:val="21"/>
                      <w:highlight w:val="none"/>
                      <w:u w:val="none" w:color="auto"/>
                    </w:rPr>
                    <w:t>2024</w:t>
                  </w:r>
                  <w:r>
                    <w:rPr>
                      <w:color w:val="auto"/>
                      <w:szCs w:val="21"/>
                      <w:highlight w:val="none"/>
                      <w:u w:val="none" w:color="auto"/>
                    </w:rPr>
                    <w:t>年</w:t>
                  </w:r>
                  <w:r>
                    <w:rPr>
                      <w:rFonts w:hint="eastAsia"/>
                      <w:color w:val="auto"/>
                      <w:szCs w:val="21"/>
                      <w:highlight w:val="none"/>
                      <w:u w:val="none" w:color="auto"/>
                    </w:rPr>
                    <w:t>本</w:t>
                  </w:r>
                  <w:r>
                    <w:rPr>
                      <w:color w:val="auto"/>
                      <w:szCs w:val="21"/>
                      <w:highlight w:val="none"/>
                      <w:u w:val="none" w:color="auto"/>
                    </w:rPr>
                    <w:t>）》</w:t>
                  </w:r>
                  <w:r>
                    <w:rPr>
                      <w:rFonts w:hint="eastAsia"/>
                      <w:color w:val="auto"/>
                      <w:szCs w:val="21"/>
                      <w:highlight w:val="none"/>
                      <w:u w:val="none" w:color="auto"/>
                      <w:lang w:eastAsia="zh-CN"/>
                    </w:rPr>
                    <w:t>。</w:t>
                  </w:r>
                </w:p>
                <w:p w14:paraId="0231D7A3">
                  <w:pPr>
                    <w:pStyle w:val="22"/>
                    <w:spacing w:line="240" w:lineRule="auto"/>
                    <w:ind w:left="0"/>
                    <w:jc w:val="both"/>
                    <w:rPr>
                      <w:color w:val="auto"/>
                      <w:highlight w:val="none"/>
                      <w:u w:val="none" w:color="auto"/>
                    </w:rPr>
                  </w:pPr>
                  <w:r>
                    <w:rPr>
                      <w:rFonts w:hint="eastAsia"/>
                      <w:color w:val="auto"/>
                      <w:highlight w:val="none"/>
                      <w:u w:val="none" w:color="auto"/>
                    </w:rPr>
                    <w:t>本项目不</w:t>
                  </w:r>
                  <w:r>
                    <w:rPr>
                      <w:rFonts w:hint="eastAsia"/>
                      <w:color w:val="auto"/>
                      <w:highlight w:val="none"/>
                      <w:u w:val="none" w:color="auto"/>
                      <w:lang w:eastAsia="zh-CN"/>
                    </w:rPr>
                    <w:t>属于</w:t>
                  </w:r>
                  <w:r>
                    <w:rPr>
                      <w:rFonts w:hint="eastAsia"/>
                      <w:color w:val="auto"/>
                      <w:szCs w:val="21"/>
                      <w:highlight w:val="none"/>
                      <w:u w:val="none" w:color="auto"/>
                    </w:rPr>
                    <w:t>严重污染环境空气的建设项目</w:t>
                  </w:r>
                  <w:r>
                    <w:rPr>
                      <w:rFonts w:hint="eastAsia"/>
                      <w:color w:val="auto"/>
                      <w:highlight w:val="none"/>
                      <w:u w:val="none" w:color="auto"/>
                    </w:rPr>
                    <w:t>。</w:t>
                  </w:r>
                </w:p>
              </w:tc>
            </w:tr>
            <w:tr w14:paraId="129E98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1" w:hRule="atLeast"/>
              </w:trPr>
              <w:tc>
                <w:tcPr>
                  <w:tcW w:w="3908" w:type="dxa"/>
                  <w:tcBorders>
                    <w:tl2br w:val="nil"/>
                    <w:tr2bl w:val="nil"/>
                  </w:tcBorders>
                  <w:vAlign w:val="center"/>
                </w:tcPr>
                <w:p w14:paraId="3202EF0B">
                  <w:pPr>
                    <w:pStyle w:val="22"/>
                    <w:spacing w:line="240" w:lineRule="auto"/>
                    <w:ind w:left="0"/>
                    <w:jc w:val="both"/>
                    <w:rPr>
                      <w:color w:val="auto"/>
                      <w:szCs w:val="21"/>
                      <w:highlight w:val="none"/>
                      <w:u w:val="none" w:color="auto"/>
                    </w:rPr>
                  </w:pPr>
                  <w:r>
                    <w:rPr>
                      <w:rFonts w:hint="eastAsia"/>
                      <w:color w:val="auto"/>
                      <w:szCs w:val="21"/>
                      <w:highlight w:val="none"/>
                      <w:u w:val="none" w:color="auto"/>
                    </w:rPr>
                    <w:t xml:space="preserve">对布局不合理、造成环境空气严重污染的排污单位，必须按照城市建设总体规划及环境保护规划的要求实施搬迁。 </w:t>
                  </w:r>
                </w:p>
                <w:p w14:paraId="3EAF64A2">
                  <w:pPr>
                    <w:pStyle w:val="22"/>
                    <w:spacing w:line="240" w:lineRule="auto"/>
                    <w:ind w:left="0"/>
                    <w:jc w:val="both"/>
                    <w:rPr>
                      <w:color w:val="auto"/>
                      <w:szCs w:val="21"/>
                      <w:highlight w:val="none"/>
                      <w:u w:val="none" w:color="auto"/>
                    </w:rPr>
                  </w:pPr>
                  <w:r>
                    <w:rPr>
                      <w:rFonts w:hint="eastAsia"/>
                      <w:color w:val="auto"/>
                      <w:szCs w:val="21"/>
                      <w:highlight w:val="none"/>
                      <w:u w:val="none" w:color="auto"/>
                    </w:rPr>
                    <w:t>对纳入国家限期淘汰落后生产能力、工艺和产品目录的工艺和设备，必须按期淘汰。</w:t>
                  </w:r>
                </w:p>
              </w:tc>
              <w:tc>
                <w:tcPr>
                  <w:tcW w:w="3571" w:type="dxa"/>
                  <w:tcBorders>
                    <w:tl2br w:val="nil"/>
                    <w:tr2bl w:val="nil"/>
                  </w:tcBorders>
                  <w:vAlign w:val="center"/>
                </w:tcPr>
                <w:p w14:paraId="5BB9DF50">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484BDDF8">
                  <w:pPr>
                    <w:pStyle w:val="22"/>
                    <w:spacing w:line="240" w:lineRule="auto"/>
                    <w:ind w:left="0"/>
                    <w:jc w:val="both"/>
                    <w:rPr>
                      <w:color w:val="auto"/>
                      <w:szCs w:val="21"/>
                      <w:highlight w:val="none"/>
                      <w:u w:val="none" w:color="auto"/>
                    </w:rPr>
                  </w:pPr>
                  <w:r>
                    <w:rPr>
                      <w:rFonts w:hint="eastAsia"/>
                      <w:color w:val="auto"/>
                      <w:szCs w:val="21"/>
                      <w:highlight w:val="none"/>
                      <w:u w:val="none" w:color="auto"/>
                    </w:rPr>
                    <w:t>本项目不涉及。</w:t>
                  </w:r>
                </w:p>
              </w:tc>
            </w:tr>
            <w:tr w14:paraId="5E7CF4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0" w:hRule="atLeast"/>
              </w:trPr>
              <w:tc>
                <w:tcPr>
                  <w:tcW w:w="3908" w:type="dxa"/>
                  <w:tcBorders>
                    <w:tl2br w:val="nil"/>
                    <w:tr2bl w:val="nil"/>
                  </w:tcBorders>
                  <w:vAlign w:val="center"/>
                </w:tcPr>
                <w:p w14:paraId="387F57D4">
                  <w:pPr>
                    <w:pStyle w:val="22"/>
                    <w:spacing w:line="240" w:lineRule="auto"/>
                    <w:ind w:left="0"/>
                    <w:jc w:val="both"/>
                    <w:rPr>
                      <w:color w:val="auto"/>
                      <w:szCs w:val="21"/>
                      <w:highlight w:val="none"/>
                      <w:u w:val="none" w:color="auto"/>
                    </w:rPr>
                  </w:pPr>
                  <w:r>
                    <w:rPr>
                      <w:rFonts w:hint="eastAsia"/>
                      <w:color w:val="auto"/>
                      <w:szCs w:val="21"/>
                      <w:highlight w:val="none"/>
                      <w:u w:val="none" w:color="auto"/>
                    </w:rPr>
                    <w:t>本市城区</w:t>
                  </w:r>
                  <w:r>
                    <w:rPr>
                      <w:color w:val="auto"/>
                      <w:szCs w:val="21"/>
                      <w:highlight w:val="none"/>
                      <w:u w:val="none" w:color="auto"/>
                    </w:rPr>
                    <w:t>6</w:t>
                  </w:r>
                  <w:r>
                    <w:rPr>
                      <w:rFonts w:hint="eastAsia"/>
                      <w:color w:val="auto"/>
                      <w:szCs w:val="21"/>
                      <w:highlight w:val="none"/>
                      <w:u w:val="none" w:color="auto"/>
                    </w:rPr>
                    <w:t>吨（不含</w:t>
                  </w:r>
                  <w:r>
                    <w:rPr>
                      <w:color w:val="auto"/>
                      <w:szCs w:val="21"/>
                      <w:highlight w:val="none"/>
                      <w:u w:val="none" w:color="auto"/>
                    </w:rPr>
                    <w:t>6</w:t>
                  </w:r>
                  <w:r>
                    <w:rPr>
                      <w:rFonts w:hint="eastAsia"/>
                      <w:color w:val="auto"/>
                      <w:szCs w:val="21"/>
                      <w:highlight w:val="none"/>
                      <w:u w:val="none" w:color="auto"/>
                    </w:rPr>
                    <w:t>吨）以下的生产锅炉及各类炉灶，禁止燃用原煤。</w:t>
                  </w:r>
                </w:p>
                <w:p w14:paraId="3464F5BC">
                  <w:pPr>
                    <w:pStyle w:val="22"/>
                    <w:spacing w:line="240" w:lineRule="auto"/>
                    <w:ind w:left="0"/>
                    <w:jc w:val="both"/>
                    <w:rPr>
                      <w:color w:val="auto"/>
                      <w:szCs w:val="21"/>
                      <w:highlight w:val="none"/>
                      <w:u w:val="none" w:color="auto"/>
                    </w:rPr>
                  </w:pPr>
                  <w:r>
                    <w:rPr>
                      <w:rFonts w:hint="eastAsia"/>
                      <w:color w:val="auto"/>
                      <w:szCs w:val="21"/>
                      <w:highlight w:val="none"/>
                      <w:u w:val="none" w:color="auto"/>
                    </w:rPr>
                    <w:t>各县（市）人民政府所在地的城区及建制镇</w:t>
                  </w:r>
                  <w:r>
                    <w:rPr>
                      <w:color w:val="auto"/>
                      <w:szCs w:val="21"/>
                      <w:highlight w:val="none"/>
                      <w:u w:val="none" w:color="auto"/>
                    </w:rPr>
                    <w:t>2</w:t>
                  </w:r>
                  <w:r>
                    <w:rPr>
                      <w:rFonts w:hint="eastAsia"/>
                      <w:color w:val="auto"/>
                      <w:szCs w:val="21"/>
                      <w:highlight w:val="none"/>
                      <w:u w:val="none" w:color="auto"/>
                    </w:rPr>
                    <w:t>吨（不含</w:t>
                  </w:r>
                  <w:r>
                    <w:rPr>
                      <w:color w:val="auto"/>
                      <w:szCs w:val="21"/>
                      <w:highlight w:val="none"/>
                      <w:u w:val="none" w:color="auto"/>
                    </w:rPr>
                    <w:t>2</w:t>
                  </w:r>
                  <w:r>
                    <w:rPr>
                      <w:rFonts w:hint="eastAsia"/>
                      <w:color w:val="auto"/>
                      <w:szCs w:val="21"/>
                      <w:highlight w:val="none"/>
                      <w:u w:val="none" w:color="auto"/>
                    </w:rPr>
                    <w:t>吨）以下的生产锅炉及各类炉灶，禁止燃用原煤。</w:t>
                  </w:r>
                </w:p>
              </w:tc>
              <w:tc>
                <w:tcPr>
                  <w:tcW w:w="3571" w:type="dxa"/>
                  <w:tcBorders>
                    <w:tl2br w:val="nil"/>
                    <w:tr2bl w:val="nil"/>
                  </w:tcBorders>
                  <w:vAlign w:val="center"/>
                </w:tcPr>
                <w:p w14:paraId="4D8C498E">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405026D2">
                  <w:pPr>
                    <w:pStyle w:val="22"/>
                    <w:spacing w:line="240" w:lineRule="auto"/>
                    <w:ind w:left="0"/>
                    <w:jc w:val="both"/>
                    <w:rPr>
                      <w:color w:val="auto"/>
                      <w:szCs w:val="21"/>
                      <w:highlight w:val="none"/>
                      <w:u w:val="none" w:color="auto"/>
                    </w:rPr>
                  </w:pPr>
                  <w:r>
                    <w:rPr>
                      <w:rFonts w:hint="eastAsia"/>
                      <w:color w:val="auto"/>
                      <w:szCs w:val="21"/>
                      <w:highlight w:val="none"/>
                      <w:u w:val="none" w:color="auto"/>
                    </w:rPr>
                    <w:t>本项目</w:t>
                  </w:r>
                  <w:r>
                    <w:rPr>
                      <w:rFonts w:hint="eastAsia"/>
                      <w:color w:val="auto"/>
                      <w:szCs w:val="21"/>
                      <w:highlight w:val="none"/>
                      <w:u w:val="none" w:color="auto"/>
                      <w:lang w:val="en-US" w:eastAsia="zh-CN"/>
                    </w:rPr>
                    <w:t>燃料为生物质，不涉及燃煤</w:t>
                  </w:r>
                  <w:r>
                    <w:rPr>
                      <w:rFonts w:hint="eastAsia"/>
                      <w:color w:val="auto"/>
                      <w:szCs w:val="21"/>
                      <w:highlight w:val="none"/>
                      <w:u w:val="none" w:color="auto"/>
                    </w:rPr>
                    <w:t>。</w:t>
                  </w:r>
                </w:p>
              </w:tc>
            </w:tr>
            <w:tr w14:paraId="33E7B7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3908" w:type="dxa"/>
                  <w:tcBorders>
                    <w:tl2br w:val="nil"/>
                    <w:tr2bl w:val="nil"/>
                  </w:tcBorders>
                  <w:vAlign w:val="center"/>
                </w:tcPr>
                <w:p w14:paraId="6B83AF21">
                  <w:pPr>
                    <w:pStyle w:val="22"/>
                    <w:spacing w:line="240" w:lineRule="auto"/>
                    <w:ind w:left="0"/>
                    <w:jc w:val="both"/>
                    <w:rPr>
                      <w:color w:val="auto"/>
                      <w:szCs w:val="21"/>
                      <w:highlight w:val="none"/>
                      <w:u w:val="none" w:color="auto"/>
                    </w:rPr>
                  </w:pPr>
                  <w:r>
                    <w:rPr>
                      <w:rFonts w:hint="eastAsia"/>
                      <w:color w:val="auto"/>
                      <w:szCs w:val="21"/>
                      <w:highlight w:val="none"/>
                      <w:u w:val="none" w:color="auto"/>
                    </w:rPr>
                    <w:t xml:space="preserve">新建锅炉及工业窑炉烟囱，必须符合有关烟囱高度的规定。 </w:t>
                  </w:r>
                </w:p>
                <w:p w14:paraId="7A5D95A2">
                  <w:pPr>
                    <w:pStyle w:val="22"/>
                    <w:spacing w:line="240" w:lineRule="auto"/>
                    <w:ind w:left="0"/>
                    <w:jc w:val="both"/>
                    <w:rPr>
                      <w:color w:val="auto"/>
                      <w:szCs w:val="21"/>
                      <w:highlight w:val="none"/>
                      <w:u w:val="none" w:color="auto"/>
                    </w:rPr>
                  </w:pPr>
                  <w:r>
                    <w:rPr>
                      <w:rFonts w:hint="eastAsia"/>
                      <w:color w:val="auto"/>
                      <w:szCs w:val="21"/>
                      <w:highlight w:val="none"/>
                      <w:u w:val="none" w:color="auto"/>
                    </w:rPr>
                    <w:t>锅炉及工业窑炉烟囱高度达不到规定要求的，所排放污染物最高允许排放浓度按排放标准值的</w:t>
                  </w:r>
                  <w:r>
                    <w:rPr>
                      <w:color w:val="auto"/>
                      <w:szCs w:val="21"/>
                      <w:highlight w:val="none"/>
                      <w:u w:val="none" w:color="auto"/>
                    </w:rPr>
                    <w:t>50</w:t>
                  </w:r>
                  <w:r>
                    <w:rPr>
                      <w:rFonts w:hint="eastAsia"/>
                      <w:color w:val="auto"/>
                      <w:szCs w:val="21"/>
                      <w:highlight w:val="none"/>
                      <w:u w:val="none" w:color="auto"/>
                    </w:rPr>
                    <w:t>％执行。</w:t>
                  </w:r>
                </w:p>
              </w:tc>
              <w:tc>
                <w:tcPr>
                  <w:tcW w:w="3571" w:type="dxa"/>
                  <w:tcBorders>
                    <w:tl2br w:val="nil"/>
                    <w:tr2bl w:val="nil"/>
                  </w:tcBorders>
                  <w:vAlign w:val="center"/>
                </w:tcPr>
                <w:p w14:paraId="5478C439">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2B531A0C">
                  <w:pPr>
                    <w:pStyle w:val="22"/>
                    <w:spacing w:line="240" w:lineRule="auto"/>
                    <w:ind w:left="0"/>
                    <w:jc w:val="both"/>
                    <w:rPr>
                      <w:color w:val="auto"/>
                      <w:szCs w:val="21"/>
                      <w:highlight w:val="none"/>
                      <w:u w:val="none" w:color="auto"/>
                    </w:rPr>
                  </w:pPr>
                  <w:r>
                    <w:rPr>
                      <w:rFonts w:hint="eastAsia"/>
                      <w:color w:val="auto"/>
                      <w:szCs w:val="21"/>
                      <w:highlight w:val="none"/>
                      <w:u w:val="none" w:color="auto"/>
                    </w:rPr>
                    <w:t>本项目燃生物质热风炉产生的废气经处理后，</w:t>
                  </w:r>
                  <w:r>
                    <w:rPr>
                      <w:rFonts w:hint="eastAsia"/>
                      <w:smallCaps w:val="0"/>
                      <w:color w:val="auto"/>
                      <w:szCs w:val="21"/>
                      <w:highlight w:val="none"/>
                      <w:u w:val="none" w:color="auto"/>
                    </w:rPr>
                    <w:t>由1</w:t>
                  </w:r>
                  <w:r>
                    <w:rPr>
                      <w:rFonts w:hint="eastAsia"/>
                      <w:smallCaps w:val="0"/>
                      <w:color w:val="auto"/>
                      <w:szCs w:val="21"/>
                      <w:highlight w:val="none"/>
                      <w:u w:val="none" w:color="auto"/>
                      <w:lang w:val="en-US" w:eastAsia="zh-CN"/>
                    </w:rPr>
                    <w:t>8</w:t>
                  </w:r>
                  <w:r>
                    <w:rPr>
                      <w:rFonts w:hint="eastAsia"/>
                      <w:smallCaps w:val="0"/>
                      <w:color w:val="auto"/>
                      <w:szCs w:val="21"/>
                      <w:highlight w:val="none"/>
                      <w:u w:val="none" w:color="auto"/>
                    </w:rPr>
                    <w:t>m高</w:t>
                  </w:r>
                  <w:r>
                    <w:rPr>
                      <w:rFonts w:hint="eastAsia"/>
                      <w:smallCaps w:val="0"/>
                      <w:color w:val="auto"/>
                      <w:szCs w:val="21"/>
                      <w:highlight w:val="none"/>
                      <w:u w:val="none" w:color="auto"/>
                      <w:lang w:eastAsia="zh-CN"/>
                    </w:rPr>
                    <w:t>烟囱</w:t>
                  </w:r>
                  <w:r>
                    <w:rPr>
                      <w:rFonts w:hint="eastAsia"/>
                      <w:smallCaps w:val="0"/>
                      <w:color w:val="auto"/>
                      <w:szCs w:val="21"/>
                      <w:highlight w:val="none"/>
                      <w:u w:val="none" w:color="auto"/>
                    </w:rPr>
                    <w:t>高空排放，其高度符合《工业炉窑大气污染物排放标准》（GB9078-1996）中烟囱高度的规定。</w:t>
                  </w:r>
                </w:p>
              </w:tc>
            </w:tr>
          </w:tbl>
          <w:p w14:paraId="569AEFBA">
            <w:pPr>
              <w:adjustRightInd w:val="0"/>
              <w:snapToGrid w:val="0"/>
              <w:spacing w:before="156" w:beforeLines="50" w:line="360" w:lineRule="auto"/>
              <w:ind w:firstLine="480" w:firstLineChars="200"/>
              <w:rPr>
                <w:color w:val="auto"/>
                <w:kern w:val="0"/>
                <w:sz w:val="24"/>
                <w:highlight w:val="none"/>
                <w:u w:val="none" w:color="auto"/>
              </w:rPr>
            </w:pPr>
            <w:r>
              <w:rPr>
                <w:color w:val="auto"/>
                <w:kern w:val="0"/>
                <w:sz w:val="24"/>
                <w:highlight w:val="none"/>
                <w:u w:val="none" w:color="auto"/>
              </w:rPr>
              <w:t>综上，本项目符合《</w:t>
            </w:r>
            <w:r>
              <w:rPr>
                <w:rFonts w:hint="eastAsia"/>
                <w:color w:val="auto"/>
                <w:sz w:val="24"/>
                <w:highlight w:val="none"/>
                <w:u w:val="none" w:color="auto"/>
              </w:rPr>
              <w:t>吉林市环境空气污染防治办法</w:t>
            </w:r>
            <w:r>
              <w:rPr>
                <w:color w:val="auto"/>
                <w:kern w:val="0"/>
                <w:sz w:val="24"/>
                <w:highlight w:val="none"/>
                <w:u w:val="none" w:color="auto"/>
              </w:rPr>
              <w:t>》</w:t>
            </w:r>
            <w:r>
              <w:rPr>
                <w:rFonts w:hint="eastAsia"/>
                <w:color w:val="auto"/>
                <w:kern w:val="0"/>
                <w:sz w:val="24"/>
                <w:highlight w:val="none"/>
                <w:u w:val="none" w:color="auto"/>
              </w:rPr>
              <w:t>相关</w:t>
            </w:r>
            <w:r>
              <w:rPr>
                <w:color w:val="auto"/>
                <w:kern w:val="0"/>
                <w:sz w:val="24"/>
                <w:highlight w:val="none"/>
                <w:u w:val="none" w:color="auto"/>
              </w:rPr>
              <w:t>要求。</w:t>
            </w:r>
          </w:p>
          <w:p w14:paraId="6C2BC2A1">
            <w:pPr>
              <w:pStyle w:val="22"/>
              <w:keepNext w:val="0"/>
              <w:keepLines w:val="0"/>
              <w:pageBreakBefore w:val="0"/>
              <w:widowControl w:val="0"/>
              <w:kinsoku/>
              <w:wordWrap/>
              <w:overflowPunct/>
              <w:topLinePunct w:val="0"/>
              <w:autoSpaceDE/>
              <w:autoSpaceDN/>
              <w:bidi w:val="0"/>
              <w:spacing w:line="360" w:lineRule="auto"/>
              <w:ind w:left="0" w:firstLine="240" w:firstLineChars="100"/>
              <w:jc w:val="left"/>
              <w:textAlignment w:val="auto"/>
              <w:rPr>
                <w:color w:val="auto"/>
                <w:sz w:val="24"/>
                <w:highlight w:val="none"/>
                <w:u w:val="none" w:color="auto"/>
              </w:rPr>
            </w:pPr>
            <w:r>
              <w:rPr>
                <w:rFonts w:hint="eastAsia"/>
                <w:color w:val="auto"/>
                <w:sz w:val="24"/>
                <w:highlight w:val="none"/>
                <w:u w:val="none" w:color="auto"/>
              </w:rPr>
              <w:t>（</w:t>
            </w:r>
            <w:r>
              <w:rPr>
                <w:rFonts w:hint="eastAsia"/>
                <w:color w:val="auto"/>
                <w:sz w:val="24"/>
                <w:highlight w:val="none"/>
                <w:u w:val="none" w:color="auto"/>
                <w:lang w:val="en-US" w:eastAsia="zh-CN"/>
              </w:rPr>
              <w:t>4</w:t>
            </w:r>
            <w:r>
              <w:rPr>
                <w:rFonts w:hint="eastAsia"/>
                <w:color w:val="auto"/>
                <w:sz w:val="24"/>
                <w:highlight w:val="none"/>
                <w:u w:val="none" w:color="auto"/>
              </w:rPr>
              <w:t>）</w:t>
            </w:r>
            <w:r>
              <w:rPr>
                <w:color w:val="auto"/>
                <w:sz w:val="24"/>
                <w:highlight w:val="none"/>
                <w:u w:val="none" w:color="auto"/>
              </w:rPr>
              <w:t>与</w:t>
            </w:r>
            <w:r>
              <w:rPr>
                <w:rFonts w:hint="eastAsia"/>
                <w:color w:val="auto"/>
                <w:sz w:val="24"/>
                <w:highlight w:val="none"/>
                <w:u w:val="none" w:color="auto"/>
              </w:rPr>
              <w:t>国务院关于印发《空气质量持续改善行动计划》的通知(国发</w:t>
            </w:r>
            <w:r>
              <w:rPr>
                <w:rFonts w:hint="eastAsia"/>
                <w:color w:val="auto"/>
                <w:sz w:val="24"/>
                <w:highlight w:val="none"/>
                <w:u w:val="none" w:color="auto"/>
                <w:lang w:eastAsia="zh-CN"/>
              </w:rPr>
              <w:t>〔2023〕24号</w:t>
            </w:r>
            <w:r>
              <w:rPr>
                <w:rFonts w:hint="eastAsia"/>
                <w:color w:val="auto"/>
                <w:sz w:val="24"/>
                <w:highlight w:val="none"/>
                <w:u w:val="none" w:color="auto"/>
              </w:rPr>
              <w:t>)</w:t>
            </w:r>
            <w:r>
              <w:rPr>
                <w:color w:val="auto"/>
                <w:sz w:val="24"/>
                <w:highlight w:val="none"/>
                <w:u w:val="none" w:color="auto"/>
              </w:rPr>
              <w:t>符合性分析</w:t>
            </w:r>
          </w:p>
          <w:p w14:paraId="67951A88">
            <w:pPr>
              <w:pStyle w:val="8"/>
              <w:keepNext w:val="0"/>
              <w:keepLines w:val="0"/>
              <w:pageBreakBefore w:val="0"/>
              <w:widowControl w:val="0"/>
              <w:kinsoku/>
              <w:wordWrap/>
              <w:overflowPunct/>
              <w:topLinePunct w:val="0"/>
              <w:autoSpaceDE/>
              <w:autoSpaceDN/>
              <w:bidi w:val="0"/>
              <w:spacing w:line="360" w:lineRule="auto"/>
              <w:jc w:val="center"/>
              <w:textAlignment w:val="auto"/>
              <w:rPr>
                <w:rFonts w:ascii="Times New Roman" w:hAnsi="Times New Roman"/>
                <w:color w:val="auto"/>
                <w:sz w:val="24"/>
                <w:szCs w:val="24"/>
                <w:highlight w:val="none"/>
                <w:u w:val="none" w:color="auto"/>
              </w:rPr>
            </w:pPr>
            <w:r>
              <w:rPr>
                <w:rFonts w:ascii="Times New Roman" w:hAnsi="Times New Roman"/>
                <w:color w:val="auto"/>
                <w:sz w:val="24"/>
                <w:szCs w:val="24"/>
                <w:highlight w:val="none"/>
                <w:u w:val="none" w:color="auto"/>
              </w:rPr>
              <w:t>表</w:t>
            </w:r>
            <w:r>
              <w:rPr>
                <w:rFonts w:hint="eastAsia" w:ascii="Times New Roman" w:hAnsi="Times New Roman"/>
                <w:color w:val="auto"/>
                <w:sz w:val="24"/>
                <w:szCs w:val="24"/>
                <w:highlight w:val="none"/>
                <w:u w:val="none" w:color="auto"/>
                <w:lang w:val="en-US" w:eastAsia="zh-CN"/>
              </w:rPr>
              <w:t>1-9</w:t>
            </w:r>
            <w:r>
              <w:rPr>
                <w:rFonts w:hint="eastAsia" w:ascii="Times New Roman" w:hAnsi="Times New Roman"/>
                <w:color w:val="auto"/>
                <w:sz w:val="24"/>
                <w:szCs w:val="24"/>
                <w:highlight w:val="none"/>
                <w:u w:val="none" w:color="auto"/>
              </w:rPr>
              <w:t xml:space="preserve">  与</w:t>
            </w:r>
            <w:r>
              <w:rPr>
                <w:rFonts w:hint="eastAsia"/>
                <w:color w:val="auto"/>
                <w:sz w:val="24"/>
                <w:highlight w:val="none"/>
                <w:u w:val="none" w:color="auto"/>
              </w:rPr>
              <w:t>国务院关于印发《空气质量持续改善行动计划》的通知(国发</w:t>
            </w:r>
            <w:r>
              <w:rPr>
                <w:rFonts w:hint="eastAsia"/>
                <w:color w:val="auto"/>
                <w:sz w:val="24"/>
                <w:highlight w:val="none"/>
                <w:u w:val="none" w:color="auto"/>
                <w:lang w:eastAsia="zh-CN"/>
              </w:rPr>
              <w:t>〔2023〕24号</w:t>
            </w:r>
            <w:r>
              <w:rPr>
                <w:rFonts w:hint="eastAsia"/>
                <w:color w:val="auto"/>
                <w:sz w:val="24"/>
                <w:highlight w:val="none"/>
                <w:u w:val="none" w:color="auto"/>
              </w:rPr>
              <w:t>)</w:t>
            </w:r>
            <w:r>
              <w:rPr>
                <w:rFonts w:ascii="Times New Roman" w:hAnsi="Times New Roman"/>
                <w:color w:val="auto"/>
                <w:sz w:val="24"/>
                <w:szCs w:val="24"/>
                <w:highlight w:val="none"/>
                <w:u w:val="none" w:color="auto"/>
              </w:rPr>
              <w:t>的符合性分析</w:t>
            </w:r>
          </w:p>
          <w:tbl>
            <w:tblPr>
              <w:tblStyle w:val="29"/>
              <w:tblW w:w="747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23"/>
              <w:gridCol w:w="2956"/>
            </w:tblGrid>
            <w:tr w14:paraId="2BC552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523" w:type="dxa"/>
                  <w:tcBorders>
                    <w:tl2br w:val="nil"/>
                    <w:tr2bl w:val="nil"/>
                  </w:tcBorders>
                </w:tcPr>
                <w:p w14:paraId="68129FC6">
                  <w:pPr>
                    <w:pStyle w:val="22"/>
                    <w:spacing w:line="360" w:lineRule="exact"/>
                    <w:ind w:left="0"/>
                    <w:jc w:val="center"/>
                    <w:rPr>
                      <w:color w:val="auto"/>
                      <w:szCs w:val="21"/>
                      <w:highlight w:val="none"/>
                      <w:u w:val="none" w:color="auto"/>
                    </w:rPr>
                  </w:pPr>
                  <w:r>
                    <w:rPr>
                      <w:rFonts w:hint="eastAsia"/>
                      <w:color w:val="auto"/>
                      <w:szCs w:val="21"/>
                      <w:highlight w:val="none"/>
                      <w:u w:val="none" w:color="auto"/>
                    </w:rPr>
                    <w:t>《空气质量持续改善行动计划》</w:t>
                  </w:r>
                </w:p>
              </w:tc>
              <w:tc>
                <w:tcPr>
                  <w:tcW w:w="2956" w:type="dxa"/>
                  <w:tcBorders>
                    <w:tl2br w:val="nil"/>
                    <w:tr2bl w:val="nil"/>
                  </w:tcBorders>
                </w:tcPr>
                <w:p w14:paraId="73FEBBFC">
                  <w:pPr>
                    <w:pStyle w:val="22"/>
                    <w:spacing w:line="360" w:lineRule="exact"/>
                    <w:ind w:left="0"/>
                    <w:jc w:val="center"/>
                    <w:rPr>
                      <w:color w:val="auto"/>
                      <w:szCs w:val="21"/>
                      <w:highlight w:val="none"/>
                      <w:u w:val="none" w:color="auto"/>
                    </w:rPr>
                  </w:pPr>
                  <w:r>
                    <w:rPr>
                      <w:rFonts w:hint="eastAsia"/>
                      <w:color w:val="auto"/>
                      <w:szCs w:val="21"/>
                      <w:highlight w:val="none"/>
                      <w:u w:val="none" w:color="auto"/>
                    </w:rPr>
                    <w:t>本项目符合性</w:t>
                  </w:r>
                </w:p>
              </w:tc>
            </w:tr>
            <w:tr w14:paraId="34315F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4523" w:type="dxa"/>
                  <w:tcBorders>
                    <w:tl2br w:val="nil"/>
                    <w:tr2bl w:val="nil"/>
                  </w:tcBorders>
                </w:tcPr>
                <w:p w14:paraId="2ACCF848">
                  <w:pPr>
                    <w:pStyle w:val="22"/>
                    <w:spacing w:line="240" w:lineRule="auto"/>
                    <w:ind w:left="0"/>
                    <w:jc w:val="both"/>
                    <w:rPr>
                      <w:color w:val="auto"/>
                      <w:szCs w:val="21"/>
                      <w:highlight w:val="none"/>
                      <w:u w:val="none" w:color="auto"/>
                    </w:rPr>
                  </w:pPr>
                  <w:r>
                    <w:rPr>
                      <w:rFonts w:hint="eastAsia"/>
                      <w:color w:val="auto"/>
                      <w:szCs w:val="21"/>
                      <w:highlight w:val="none"/>
                      <w:u w:val="none" w:color="auto"/>
                    </w:rPr>
                    <w:t>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涉及产能置换的项目，被置换产能及其配套设施关停后，新建项目方可投产。</w:t>
                  </w:r>
                </w:p>
              </w:tc>
              <w:tc>
                <w:tcPr>
                  <w:tcW w:w="2956" w:type="dxa"/>
                  <w:tcBorders>
                    <w:tl2br w:val="nil"/>
                    <w:tr2bl w:val="nil"/>
                  </w:tcBorders>
                </w:tcPr>
                <w:p w14:paraId="13D690BA">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53E02B75">
                  <w:pPr>
                    <w:rPr>
                      <w:rFonts w:hint="default"/>
                      <w:color w:val="auto"/>
                      <w:u w:val="none" w:color="auto"/>
                      <w:lang w:val="en-US" w:eastAsia="zh-CN"/>
                    </w:rPr>
                  </w:pPr>
                  <w:r>
                    <w:rPr>
                      <w:rFonts w:hint="eastAsia"/>
                      <w:color w:val="auto"/>
                      <w:szCs w:val="21"/>
                      <w:highlight w:val="none"/>
                      <w:u w:val="none" w:color="auto"/>
                      <w:lang w:val="en-US" w:eastAsia="zh-CN"/>
                    </w:rPr>
                    <w:t>本项目为粮食烘干项目，行业指导目录属于允许类，符合生态环境分区管控，运输过程采用苫布苫盖减少扬尘，热风炉废气采用布袋除尘处理后达标排放。</w:t>
                  </w:r>
                </w:p>
              </w:tc>
            </w:tr>
            <w:tr w14:paraId="0CA63E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4523" w:type="dxa"/>
                  <w:tcBorders>
                    <w:tl2br w:val="nil"/>
                    <w:tr2bl w:val="nil"/>
                  </w:tcBorders>
                  <w:vAlign w:val="center"/>
                </w:tcPr>
                <w:p w14:paraId="029CB06A">
                  <w:pPr>
                    <w:pStyle w:val="22"/>
                    <w:spacing w:line="240" w:lineRule="auto"/>
                    <w:ind w:left="0"/>
                    <w:jc w:val="both"/>
                    <w:rPr>
                      <w:rFonts w:hint="eastAsia"/>
                      <w:color w:val="auto"/>
                      <w:szCs w:val="21"/>
                      <w:highlight w:val="none"/>
                      <w:u w:val="none" w:color="auto"/>
                    </w:rPr>
                  </w:pPr>
                  <w:r>
                    <w:rPr>
                      <w:rFonts w:hint="eastAsia"/>
                      <w:color w:val="auto"/>
                      <w:szCs w:val="21"/>
                      <w:highlight w:val="none"/>
                      <w:u w:val="none" w:color="auto"/>
                    </w:rPr>
                    <w:t>严格合理控制煤炭消费总量。在保障能源安全供应的前提下，重点区域继续实施煤炭消费总量控制。到2025年，京津冀及周边地区、长三角地区煤炭消费量较2020年分别下降10%和5%左右，汾渭平原煤炭消费量实现负增长，重点削减非电力用煤。重点区域新改扩建用煤项目，依法实行煤炭等量或减量替代，替代方案不完善的不予审批；不得将使用石油焦、焦炭、兰炭等高污染燃料作为煤炭减量替代措施。完善重点区域煤炭消费减量替代管理办法，煤矸石、原料用煤不纳入煤炭消费总量考核。原则上不再新增自备燃煤机组，支持自备燃煤机组实施清洁能源替代。对支撑电力稳定供应、电网安全运行、清洁能源大规模并网消纳的煤电项目及其用煤量应予以合理保障。</w:t>
                  </w:r>
                </w:p>
              </w:tc>
              <w:tc>
                <w:tcPr>
                  <w:tcW w:w="2956" w:type="dxa"/>
                  <w:tcBorders>
                    <w:tl2br w:val="nil"/>
                    <w:tr2bl w:val="nil"/>
                  </w:tcBorders>
                  <w:vAlign w:val="center"/>
                </w:tcPr>
                <w:p w14:paraId="1DE7E3B7">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20C37140">
                  <w:pPr>
                    <w:rPr>
                      <w:rFonts w:hint="default"/>
                      <w:color w:val="auto"/>
                      <w:u w:val="none" w:color="auto"/>
                      <w:lang w:val="en-US" w:eastAsia="zh-CN"/>
                    </w:rPr>
                  </w:pPr>
                  <w:r>
                    <w:rPr>
                      <w:rFonts w:hint="eastAsia"/>
                      <w:color w:val="auto"/>
                      <w:szCs w:val="21"/>
                      <w:highlight w:val="none"/>
                      <w:u w:val="none" w:color="auto"/>
                      <w:lang w:val="en-US" w:eastAsia="zh-CN"/>
                    </w:rPr>
                    <w:t>本项目燃料为生物质，不使用煤炭，不增加煤炭消费量。</w:t>
                  </w:r>
                </w:p>
              </w:tc>
            </w:tr>
            <w:tr w14:paraId="0576EC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523" w:type="dxa"/>
                  <w:tcBorders>
                    <w:tl2br w:val="nil"/>
                    <w:tr2bl w:val="nil"/>
                  </w:tcBorders>
                  <w:vAlign w:val="center"/>
                </w:tcPr>
                <w:p w14:paraId="4D36D853">
                  <w:pPr>
                    <w:pStyle w:val="22"/>
                    <w:spacing w:line="240" w:lineRule="auto"/>
                    <w:ind w:left="0"/>
                    <w:jc w:val="both"/>
                    <w:rPr>
                      <w:color w:val="auto"/>
                      <w:szCs w:val="21"/>
                      <w:highlight w:val="none"/>
                      <w:u w:val="none" w:color="auto"/>
                    </w:rPr>
                  </w:pPr>
                  <w:r>
                    <w:rPr>
                      <w:rFonts w:hint="eastAsia"/>
                      <w:color w:val="auto"/>
                      <w:szCs w:val="21"/>
                      <w:highlight w:val="none"/>
                      <w:u w:val="none" w:color="auto"/>
                    </w:rPr>
                    <w:t>实施工业炉窑清洁能源替代。有序推进以电代煤，积极稳妥推进以气代煤。重点区域不再新增燃料类煤气发生炉，新改扩建加热炉、热处理炉、干燥炉、熔化炉原则上采用清洁低碳能源；安全稳妥推进使用高污染燃料的工业炉窑改用工业余热、电能、天然气等；燃料类煤气发生炉实行清洁能源替代，或因地制宜采取园区（集群）集中供气、分散使用方式；逐步淘汰固定床间歇式煤气发生炉。</w:t>
                  </w:r>
                </w:p>
              </w:tc>
              <w:tc>
                <w:tcPr>
                  <w:tcW w:w="2956" w:type="dxa"/>
                  <w:tcBorders>
                    <w:tl2br w:val="nil"/>
                    <w:tr2bl w:val="nil"/>
                  </w:tcBorders>
                  <w:vAlign w:val="center"/>
                </w:tcPr>
                <w:p w14:paraId="4A8B2A53">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29599158">
                  <w:pPr>
                    <w:rPr>
                      <w:rFonts w:hint="default"/>
                      <w:color w:val="auto"/>
                      <w:u w:val="none" w:color="auto"/>
                      <w:lang w:val="en-US" w:eastAsia="zh-CN"/>
                    </w:rPr>
                  </w:pPr>
                  <w:r>
                    <w:rPr>
                      <w:rFonts w:hint="eastAsia"/>
                      <w:color w:val="auto"/>
                      <w:szCs w:val="21"/>
                      <w:highlight w:val="none"/>
                      <w:u w:val="none" w:color="auto"/>
                      <w:lang w:val="en-US" w:eastAsia="zh-CN"/>
                    </w:rPr>
                    <w:t>本项目燃料为生物质颗粒，加装高效布袋除尘器，不属于《高污染燃料目录》高污染燃料范畴。</w:t>
                  </w:r>
                </w:p>
              </w:tc>
            </w:tr>
          </w:tbl>
          <w:p w14:paraId="1105CB55">
            <w:pPr>
              <w:rPr>
                <w:color w:val="auto"/>
                <w:u w:val="none" w:color="auto"/>
              </w:rPr>
            </w:pPr>
          </w:p>
          <w:p w14:paraId="43A00849">
            <w:pPr>
              <w:pStyle w:val="22"/>
              <w:keepNext w:val="0"/>
              <w:keepLines w:val="0"/>
              <w:pageBreakBefore w:val="0"/>
              <w:widowControl w:val="0"/>
              <w:kinsoku/>
              <w:wordWrap/>
              <w:overflowPunct/>
              <w:topLinePunct w:val="0"/>
              <w:autoSpaceDE/>
              <w:autoSpaceDN/>
              <w:bidi w:val="0"/>
              <w:spacing w:line="360" w:lineRule="auto"/>
              <w:ind w:left="0" w:firstLine="240" w:firstLineChars="100"/>
              <w:jc w:val="left"/>
              <w:textAlignment w:val="auto"/>
              <w:rPr>
                <w:color w:val="auto"/>
                <w:sz w:val="24"/>
                <w:highlight w:val="none"/>
                <w:u w:val="none" w:color="auto"/>
              </w:rPr>
            </w:pPr>
            <w:r>
              <w:rPr>
                <w:rFonts w:hint="eastAsia"/>
                <w:color w:val="auto"/>
                <w:sz w:val="24"/>
                <w:highlight w:val="none"/>
                <w:u w:val="none" w:color="auto"/>
              </w:rPr>
              <w:t>（</w:t>
            </w:r>
            <w:r>
              <w:rPr>
                <w:rFonts w:hint="eastAsia"/>
                <w:color w:val="auto"/>
                <w:sz w:val="24"/>
                <w:highlight w:val="none"/>
                <w:u w:val="none" w:color="auto"/>
                <w:lang w:val="en-US" w:eastAsia="zh-CN"/>
              </w:rPr>
              <w:t>5</w:t>
            </w:r>
            <w:r>
              <w:rPr>
                <w:rFonts w:hint="eastAsia"/>
                <w:color w:val="auto"/>
                <w:sz w:val="24"/>
                <w:highlight w:val="none"/>
                <w:u w:val="none" w:color="auto"/>
              </w:rPr>
              <w:t>）</w:t>
            </w:r>
            <w:r>
              <w:rPr>
                <w:color w:val="auto"/>
                <w:sz w:val="24"/>
                <w:highlight w:val="none"/>
                <w:u w:val="none" w:color="auto"/>
              </w:rPr>
              <w:t>与</w:t>
            </w:r>
            <w:r>
              <w:rPr>
                <w:rFonts w:hint="eastAsia" w:ascii="Times New Roman" w:hAnsi="Times New Roman" w:eastAsia="宋体" w:cs="Times New Roman"/>
                <w:color w:val="auto"/>
                <w:spacing w:val="7"/>
                <w:kern w:val="2"/>
                <w:sz w:val="24"/>
                <w:szCs w:val="24"/>
                <w:highlight w:val="none"/>
                <w:u w:val="none" w:color="auto"/>
                <w:lang w:val="en-US" w:eastAsia="zh-CN" w:bidi="ar-SA"/>
              </w:rPr>
              <w:t>吉林省人民政府关于印发吉林省落实《空气质量持续改善行动计划》实施方案的通知(吉政发</w:t>
            </w:r>
            <w:r>
              <w:rPr>
                <w:rFonts w:hint="eastAsia" w:cs="Times New Roman"/>
                <w:color w:val="auto"/>
                <w:spacing w:val="7"/>
                <w:kern w:val="2"/>
                <w:sz w:val="24"/>
                <w:szCs w:val="24"/>
                <w:highlight w:val="none"/>
                <w:u w:val="none" w:color="auto"/>
                <w:lang w:val="en-US" w:eastAsia="zh-CN" w:bidi="ar-SA"/>
              </w:rPr>
              <w:t>〔2024〕8号</w:t>
            </w:r>
            <w:r>
              <w:rPr>
                <w:rFonts w:hint="eastAsia" w:ascii="Times New Roman" w:hAnsi="Times New Roman" w:eastAsia="宋体" w:cs="Times New Roman"/>
                <w:color w:val="auto"/>
                <w:spacing w:val="7"/>
                <w:kern w:val="2"/>
                <w:sz w:val="24"/>
                <w:szCs w:val="24"/>
                <w:highlight w:val="none"/>
                <w:u w:val="none" w:color="auto"/>
                <w:lang w:val="en-US" w:eastAsia="zh-CN" w:bidi="ar-SA"/>
              </w:rPr>
              <w:t>)</w:t>
            </w:r>
            <w:r>
              <w:rPr>
                <w:color w:val="auto"/>
                <w:sz w:val="24"/>
                <w:highlight w:val="none"/>
                <w:u w:val="none" w:color="auto"/>
              </w:rPr>
              <w:t>符合性分析</w:t>
            </w:r>
          </w:p>
          <w:p w14:paraId="53B273E1">
            <w:pPr>
              <w:pStyle w:val="8"/>
              <w:keepNext w:val="0"/>
              <w:keepLines w:val="0"/>
              <w:pageBreakBefore w:val="0"/>
              <w:widowControl w:val="0"/>
              <w:kinsoku/>
              <w:wordWrap/>
              <w:overflowPunct/>
              <w:topLinePunct w:val="0"/>
              <w:autoSpaceDE/>
              <w:autoSpaceDN/>
              <w:bidi w:val="0"/>
              <w:spacing w:line="360" w:lineRule="auto"/>
              <w:jc w:val="center"/>
              <w:textAlignment w:val="auto"/>
              <w:rPr>
                <w:rFonts w:ascii="Times New Roman" w:hAnsi="Times New Roman"/>
                <w:color w:val="auto"/>
                <w:sz w:val="24"/>
                <w:szCs w:val="24"/>
                <w:highlight w:val="none"/>
                <w:u w:val="none" w:color="auto"/>
              </w:rPr>
            </w:pPr>
            <w:r>
              <w:rPr>
                <w:rFonts w:ascii="Times New Roman" w:hAnsi="Times New Roman"/>
                <w:color w:val="auto"/>
                <w:sz w:val="24"/>
                <w:szCs w:val="24"/>
                <w:highlight w:val="none"/>
                <w:u w:val="none" w:color="auto"/>
              </w:rPr>
              <w:t>表</w:t>
            </w:r>
            <w:r>
              <w:rPr>
                <w:rFonts w:hint="eastAsia" w:ascii="Times New Roman" w:hAnsi="Times New Roman"/>
                <w:color w:val="auto"/>
                <w:sz w:val="24"/>
                <w:szCs w:val="24"/>
                <w:highlight w:val="none"/>
                <w:u w:val="none" w:color="auto"/>
                <w:lang w:val="en-US" w:eastAsia="zh-CN"/>
              </w:rPr>
              <w:t>1-10</w:t>
            </w:r>
            <w:r>
              <w:rPr>
                <w:rFonts w:hint="eastAsia" w:ascii="Times New Roman" w:hAnsi="Times New Roman"/>
                <w:color w:val="auto"/>
                <w:sz w:val="24"/>
                <w:szCs w:val="24"/>
                <w:highlight w:val="none"/>
                <w:u w:val="none" w:color="auto"/>
              </w:rPr>
              <w:t xml:space="preserve">  与</w:t>
            </w:r>
            <w:r>
              <w:rPr>
                <w:rFonts w:hint="eastAsia" w:ascii="Times New Roman" w:hAnsi="Times New Roman" w:eastAsia="宋体" w:cs="Times New Roman"/>
                <w:color w:val="auto"/>
                <w:spacing w:val="7"/>
                <w:kern w:val="2"/>
                <w:sz w:val="24"/>
                <w:szCs w:val="24"/>
                <w:highlight w:val="none"/>
                <w:u w:val="none" w:color="auto"/>
                <w:lang w:val="en-US" w:eastAsia="zh-CN" w:bidi="ar-SA"/>
              </w:rPr>
              <w:t>吉林省人民政府关于印发吉林省落实《空气质量持续改善行动计划》实施方案的通知(吉政发</w:t>
            </w:r>
            <w:r>
              <w:rPr>
                <w:rFonts w:hint="eastAsia" w:ascii="Times New Roman" w:hAnsi="Times New Roman" w:cs="Times New Roman"/>
                <w:color w:val="auto"/>
                <w:spacing w:val="7"/>
                <w:kern w:val="2"/>
                <w:sz w:val="24"/>
                <w:szCs w:val="24"/>
                <w:highlight w:val="none"/>
                <w:u w:val="none" w:color="auto"/>
                <w:lang w:val="en-US" w:eastAsia="zh-CN" w:bidi="ar-SA"/>
              </w:rPr>
              <w:t>〔2024〕8号</w:t>
            </w:r>
            <w:r>
              <w:rPr>
                <w:rFonts w:hint="eastAsia" w:ascii="Times New Roman" w:hAnsi="Times New Roman" w:eastAsia="宋体" w:cs="Times New Roman"/>
                <w:color w:val="auto"/>
                <w:spacing w:val="7"/>
                <w:kern w:val="2"/>
                <w:sz w:val="24"/>
                <w:szCs w:val="24"/>
                <w:highlight w:val="none"/>
                <w:u w:val="none" w:color="auto"/>
                <w:lang w:val="en-US" w:eastAsia="zh-CN" w:bidi="ar-SA"/>
              </w:rPr>
              <w:t>)</w:t>
            </w:r>
            <w:r>
              <w:rPr>
                <w:rFonts w:ascii="Times New Roman" w:hAnsi="Times New Roman"/>
                <w:color w:val="auto"/>
                <w:sz w:val="24"/>
                <w:szCs w:val="24"/>
                <w:highlight w:val="none"/>
                <w:u w:val="none" w:color="auto"/>
              </w:rPr>
              <w:t>的符合性分析</w:t>
            </w:r>
          </w:p>
          <w:tbl>
            <w:tblPr>
              <w:tblStyle w:val="29"/>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14"/>
              <w:gridCol w:w="2899"/>
            </w:tblGrid>
            <w:tr w14:paraId="38A1E2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044" w:type="pct"/>
                  <w:tcBorders>
                    <w:tl2br w:val="nil"/>
                    <w:tr2bl w:val="nil"/>
                  </w:tcBorders>
                </w:tcPr>
                <w:p w14:paraId="788C279F">
                  <w:pPr>
                    <w:pStyle w:val="22"/>
                    <w:spacing w:line="360" w:lineRule="exact"/>
                    <w:ind w:left="0"/>
                    <w:jc w:val="center"/>
                    <w:rPr>
                      <w:color w:val="auto"/>
                      <w:szCs w:val="21"/>
                      <w:highlight w:val="none"/>
                      <w:u w:val="none" w:color="auto"/>
                    </w:rPr>
                  </w:pPr>
                  <w:r>
                    <w:rPr>
                      <w:rFonts w:hint="eastAsia"/>
                      <w:color w:val="auto"/>
                      <w:szCs w:val="21"/>
                      <w:highlight w:val="none"/>
                      <w:u w:val="none" w:color="auto"/>
                    </w:rPr>
                    <w:t>《空气质量持续改善行动计划》</w:t>
                  </w:r>
                </w:p>
              </w:tc>
              <w:tc>
                <w:tcPr>
                  <w:tcW w:w="1955" w:type="pct"/>
                  <w:tcBorders>
                    <w:tl2br w:val="nil"/>
                    <w:tr2bl w:val="nil"/>
                  </w:tcBorders>
                </w:tcPr>
                <w:p w14:paraId="2D9469AE">
                  <w:pPr>
                    <w:pStyle w:val="22"/>
                    <w:spacing w:line="360" w:lineRule="exact"/>
                    <w:ind w:left="0"/>
                    <w:jc w:val="center"/>
                    <w:rPr>
                      <w:color w:val="auto"/>
                      <w:szCs w:val="21"/>
                      <w:highlight w:val="none"/>
                      <w:u w:val="none" w:color="auto"/>
                    </w:rPr>
                  </w:pPr>
                  <w:r>
                    <w:rPr>
                      <w:rFonts w:hint="eastAsia"/>
                      <w:color w:val="auto"/>
                      <w:szCs w:val="21"/>
                      <w:highlight w:val="none"/>
                      <w:u w:val="none" w:color="auto"/>
                    </w:rPr>
                    <w:t>本项目符合性</w:t>
                  </w:r>
                </w:p>
              </w:tc>
            </w:tr>
            <w:tr w14:paraId="4821C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3044" w:type="pct"/>
                  <w:tcBorders>
                    <w:tl2br w:val="nil"/>
                    <w:tr2bl w:val="nil"/>
                  </w:tcBorders>
                </w:tcPr>
                <w:p w14:paraId="62197333">
                  <w:pPr>
                    <w:pStyle w:val="22"/>
                    <w:spacing w:line="240" w:lineRule="auto"/>
                    <w:ind w:left="0"/>
                    <w:jc w:val="both"/>
                    <w:rPr>
                      <w:color w:val="auto"/>
                      <w:szCs w:val="21"/>
                      <w:highlight w:val="none"/>
                      <w:u w:val="none" w:color="auto"/>
                    </w:rPr>
                  </w:pPr>
                  <w:r>
                    <w:rPr>
                      <w:rFonts w:hint="eastAsia"/>
                      <w:color w:val="auto"/>
                      <w:szCs w:val="21"/>
                      <w:highlight w:val="none"/>
                      <w:u w:val="none" w:color="auto"/>
                    </w:rPr>
                    <w:t>严格新建项目准入。新改扩建项目必须符合国家产业发展规划、政策，以及生态环境保护、产能置换等相关项目准入条件，严格执行相关目标控制要求，坚决遏制盲目上新“两高一低”项目。</w:t>
                  </w:r>
                </w:p>
              </w:tc>
              <w:tc>
                <w:tcPr>
                  <w:tcW w:w="1955" w:type="pct"/>
                  <w:tcBorders>
                    <w:tl2br w:val="nil"/>
                    <w:tr2bl w:val="nil"/>
                  </w:tcBorders>
                </w:tcPr>
                <w:p w14:paraId="58EDF5CD">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67975E39">
                  <w:pPr>
                    <w:rPr>
                      <w:rFonts w:hint="default"/>
                      <w:color w:val="auto"/>
                      <w:u w:val="none" w:color="auto"/>
                      <w:lang w:val="en-US" w:eastAsia="zh-CN"/>
                    </w:rPr>
                  </w:pPr>
                  <w:r>
                    <w:rPr>
                      <w:rFonts w:hint="eastAsia"/>
                      <w:color w:val="auto"/>
                      <w:szCs w:val="21"/>
                      <w:highlight w:val="none"/>
                      <w:u w:val="none" w:color="auto"/>
                      <w:lang w:val="en-US" w:eastAsia="zh-CN"/>
                    </w:rPr>
                    <w:t>本项目为新建项目，符合行业指导目录属于允许类，符合生态环境分区管控，运输过程采用苫布苫盖减少扬尘，热风炉废气采用高效布袋除尘处理后达标排放。</w:t>
                  </w:r>
                </w:p>
              </w:tc>
            </w:tr>
            <w:tr w14:paraId="7E2BAD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3044" w:type="pct"/>
                  <w:tcBorders>
                    <w:tl2br w:val="nil"/>
                    <w:tr2bl w:val="nil"/>
                  </w:tcBorders>
                  <w:vAlign w:val="center"/>
                </w:tcPr>
                <w:p w14:paraId="339E2C0C">
                  <w:pPr>
                    <w:pStyle w:val="22"/>
                    <w:spacing w:line="240" w:lineRule="auto"/>
                    <w:ind w:left="0"/>
                    <w:jc w:val="both"/>
                    <w:rPr>
                      <w:color w:val="auto"/>
                      <w:szCs w:val="21"/>
                      <w:highlight w:val="none"/>
                      <w:u w:val="none" w:color="auto"/>
                    </w:rPr>
                  </w:pPr>
                  <w:r>
                    <w:rPr>
                      <w:color w:val="auto"/>
                      <w:szCs w:val="21"/>
                      <w:highlight w:val="none"/>
                      <w:u w:val="none" w:color="auto"/>
                    </w:rPr>
                    <w:t>实施工业炉窑清洁能源替代。有序推进工业炉窑以电代煤，持续开展“三侧发力”保电力安全稳定供应，有力有效做好电力保供工作。积极稳妥推进以气代煤，开展水泥熟料生产线清洁能源替代，推动生物质、天然气等燃料替代煤燃料。</w:t>
                  </w:r>
                </w:p>
              </w:tc>
              <w:tc>
                <w:tcPr>
                  <w:tcW w:w="1955" w:type="pct"/>
                  <w:tcBorders>
                    <w:tl2br w:val="nil"/>
                    <w:tr2bl w:val="nil"/>
                  </w:tcBorders>
                  <w:vAlign w:val="center"/>
                </w:tcPr>
                <w:p w14:paraId="70682B40">
                  <w:pPr>
                    <w:pStyle w:val="22"/>
                    <w:spacing w:line="240" w:lineRule="auto"/>
                    <w:ind w:left="0"/>
                    <w:jc w:val="both"/>
                    <w:rPr>
                      <w:rFonts w:hint="eastAsia"/>
                      <w:color w:val="auto"/>
                      <w:szCs w:val="21"/>
                      <w:highlight w:val="none"/>
                      <w:u w:val="none" w:color="auto"/>
                      <w:lang w:val="en-US" w:eastAsia="zh-CN"/>
                    </w:rPr>
                  </w:pPr>
                  <w:r>
                    <w:rPr>
                      <w:rFonts w:hint="eastAsia"/>
                      <w:color w:val="auto"/>
                      <w:szCs w:val="21"/>
                      <w:highlight w:val="none"/>
                      <w:u w:val="none" w:color="auto"/>
                      <w:lang w:val="en-US" w:eastAsia="zh-CN"/>
                    </w:rPr>
                    <w:t>符合。</w:t>
                  </w:r>
                </w:p>
                <w:p w14:paraId="1405884F">
                  <w:pPr>
                    <w:pStyle w:val="22"/>
                    <w:spacing w:line="240" w:lineRule="auto"/>
                    <w:ind w:left="0"/>
                    <w:jc w:val="both"/>
                    <w:rPr>
                      <w:rFonts w:hint="eastAsia" w:eastAsia="宋体"/>
                      <w:color w:val="auto"/>
                      <w:szCs w:val="21"/>
                      <w:highlight w:val="none"/>
                      <w:u w:val="none" w:color="auto"/>
                      <w:lang w:val="en-US" w:eastAsia="zh-CN"/>
                    </w:rPr>
                  </w:pPr>
                  <w:r>
                    <w:rPr>
                      <w:rFonts w:hint="eastAsia"/>
                      <w:color w:val="auto"/>
                      <w:szCs w:val="21"/>
                      <w:highlight w:val="none"/>
                      <w:u w:val="none" w:color="auto"/>
                      <w:lang w:val="en-US" w:eastAsia="zh-CN"/>
                    </w:rPr>
                    <w:t>本项目燃料为生物质，不使用煤炭，不增加煤炭消费量。</w:t>
                  </w:r>
                </w:p>
              </w:tc>
            </w:tr>
            <w:tr w14:paraId="639F2F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54" w:hRule="atLeast"/>
              </w:trPr>
              <w:tc>
                <w:tcPr>
                  <w:tcW w:w="3044" w:type="pct"/>
                  <w:tcBorders>
                    <w:tl2br w:val="nil"/>
                    <w:tr2bl w:val="nil"/>
                  </w:tcBorders>
                  <w:vAlign w:val="center"/>
                </w:tcPr>
                <w:p w14:paraId="129CC68B">
                  <w:pPr>
                    <w:pStyle w:val="22"/>
                    <w:spacing w:line="240" w:lineRule="auto"/>
                    <w:ind w:left="0"/>
                    <w:jc w:val="both"/>
                    <w:rPr>
                      <w:color w:val="auto"/>
                      <w:szCs w:val="21"/>
                      <w:highlight w:val="none"/>
                      <w:u w:val="none" w:color="auto"/>
                    </w:rPr>
                  </w:pPr>
                  <w:r>
                    <w:rPr>
                      <w:rFonts w:hint="eastAsia"/>
                      <w:color w:val="auto"/>
                      <w:szCs w:val="21"/>
                      <w:highlight w:val="none"/>
                      <w:u w:val="none" w:color="auto"/>
                    </w:rPr>
                    <w:t>确保工业企业全面稳定达标排放。全面开展锅炉和工业炉窑简易低效污染治理设施排查，推进燃气锅炉低氮燃烧改造，强化治污设施日常监管，确保达标排放。生物质锅炉氮氧化物排放浓度无法稳定达标的，加装高效脱硝设施。重点涉气企业逐步取消烟气和含</w:t>
                  </w:r>
                  <w:r>
                    <w:rPr>
                      <w:rFonts w:hint="eastAsia"/>
                      <w:color w:val="auto"/>
                      <w:szCs w:val="21"/>
                      <w:highlight w:val="none"/>
                      <w:u w:val="none" w:color="auto"/>
                      <w:lang w:eastAsia="zh-CN"/>
                    </w:rPr>
                    <w:t>VOCs</w:t>
                  </w:r>
                  <w:r>
                    <w:rPr>
                      <w:rFonts w:hint="eastAsia"/>
                      <w:color w:val="auto"/>
                      <w:szCs w:val="21"/>
                      <w:highlight w:val="none"/>
                      <w:u w:val="none" w:color="auto"/>
                    </w:rPr>
                    <w:t>废气旁路，因安全生产需要无法取消的，安装在线监控系统及备用处置设施。</w:t>
                  </w:r>
                </w:p>
              </w:tc>
              <w:tc>
                <w:tcPr>
                  <w:tcW w:w="1955" w:type="pct"/>
                  <w:tcBorders>
                    <w:tl2br w:val="nil"/>
                    <w:tr2bl w:val="nil"/>
                  </w:tcBorders>
                  <w:vAlign w:val="center"/>
                </w:tcPr>
                <w:p w14:paraId="622BB877">
                  <w:pPr>
                    <w:pStyle w:val="22"/>
                    <w:spacing w:line="240" w:lineRule="auto"/>
                    <w:ind w:left="0"/>
                    <w:jc w:val="both"/>
                    <w:rPr>
                      <w:rFonts w:hint="eastAsia"/>
                      <w:color w:val="auto"/>
                      <w:highlight w:val="none"/>
                      <w:u w:val="none" w:color="auto"/>
                      <w:lang w:val="en-US" w:eastAsia="zh-CN"/>
                    </w:rPr>
                  </w:pPr>
                  <w:r>
                    <w:rPr>
                      <w:rFonts w:hint="eastAsia"/>
                      <w:color w:val="auto"/>
                      <w:highlight w:val="none"/>
                      <w:u w:val="none" w:color="auto"/>
                      <w:lang w:val="en-US" w:eastAsia="zh-CN"/>
                    </w:rPr>
                    <w:t>符合。</w:t>
                  </w:r>
                </w:p>
                <w:p w14:paraId="7B1B8460">
                  <w:pPr>
                    <w:rPr>
                      <w:rFonts w:hint="default"/>
                      <w:color w:val="auto"/>
                      <w:u w:val="none" w:color="auto"/>
                      <w:lang w:val="en-US" w:eastAsia="zh-CN"/>
                    </w:rPr>
                  </w:pPr>
                  <w:r>
                    <w:rPr>
                      <w:rFonts w:hint="eastAsia"/>
                      <w:color w:val="auto"/>
                      <w:highlight w:val="none"/>
                      <w:u w:val="none" w:color="auto"/>
                      <w:lang w:val="en-US" w:eastAsia="zh-CN"/>
                    </w:rPr>
                    <w:t>本项目生物质热风炉废气中颗粒物、二氧化硫和氮氧化物可实现达标排放。</w:t>
                  </w:r>
                </w:p>
              </w:tc>
            </w:tr>
          </w:tbl>
          <w:p w14:paraId="2997421C">
            <w:pPr>
              <w:pStyle w:val="22"/>
              <w:keepNext w:val="0"/>
              <w:keepLines w:val="0"/>
              <w:pageBreakBefore w:val="0"/>
              <w:widowControl w:val="0"/>
              <w:kinsoku/>
              <w:wordWrap/>
              <w:overflowPunct/>
              <w:topLinePunct w:val="0"/>
              <w:autoSpaceDE/>
              <w:autoSpaceDN/>
              <w:bidi w:val="0"/>
              <w:spacing w:line="360" w:lineRule="auto"/>
              <w:ind w:left="0" w:firstLine="240" w:firstLineChars="100"/>
              <w:jc w:val="left"/>
              <w:textAlignment w:val="auto"/>
              <w:rPr>
                <w:color w:val="auto"/>
                <w:sz w:val="24"/>
                <w:highlight w:val="none"/>
                <w:u w:val="none" w:color="auto"/>
              </w:rPr>
            </w:pPr>
            <w:r>
              <w:rPr>
                <w:rFonts w:hint="eastAsia"/>
                <w:color w:val="auto"/>
                <w:sz w:val="24"/>
                <w:highlight w:val="none"/>
                <w:u w:val="none" w:color="auto"/>
              </w:rPr>
              <w:t>（</w:t>
            </w:r>
            <w:r>
              <w:rPr>
                <w:rFonts w:hint="eastAsia"/>
                <w:color w:val="auto"/>
                <w:sz w:val="24"/>
                <w:highlight w:val="none"/>
                <w:u w:val="none" w:color="auto"/>
                <w:lang w:val="en-US" w:eastAsia="zh-CN"/>
              </w:rPr>
              <w:t>6</w:t>
            </w:r>
            <w:r>
              <w:rPr>
                <w:rFonts w:hint="eastAsia"/>
                <w:color w:val="auto"/>
                <w:sz w:val="24"/>
                <w:highlight w:val="none"/>
                <w:u w:val="none" w:color="auto"/>
              </w:rPr>
              <w:t>）</w:t>
            </w:r>
            <w:r>
              <w:rPr>
                <w:color w:val="auto"/>
                <w:sz w:val="24"/>
                <w:highlight w:val="none"/>
                <w:u w:val="none" w:color="auto"/>
              </w:rPr>
              <w:t>与</w:t>
            </w:r>
            <w:r>
              <w:rPr>
                <w:rFonts w:hint="eastAsia" w:ascii="Times New Roman" w:hAnsi="Times New Roman" w:eastAsia="宋体" w:cs="Times New Roman"/>
                <w:color w:val="auto"/>
                <w:spacing w:val="7"/>
                <w:kern w:val="2"/>
                <w:sz w:val="24"/>
                <w:szCs w:val="24"/>
                <w:highlight w:val="none"/>
                <w:u w:val="none" w:color="auto"/>
                <w:lang w:val="en-US" w:eastAsia="zh-CN" w:bidi="ar-SA"/>
              </w:rPr>
              <w:t>《</w:t>
            </w:r>
            <w:r>
              <w:rPr>
                <w:rFonts w:hint="eastAsia" w:cs="Times New Roman"/>
                <w:color w:val="auto"/>
                <w:spacing w:val="7"/>
                <w:kern w:val="2"/>
                <w:sz w:val="24"/>
                <w:szCs w:val="24"/>
                <w:highlight w:val="none"/>
                <w:u w:val="none" w:color="auto"/>
                <w:lang w:val="en-US" w:eastAsia="zh-CN" w:bidi="ar-SA"/>
              </w:rPr>
              <w:t>吉林省</w:t>
            </w:r>
            <w:r>
              <w:rPr>
                <w:rFonts w:hint="eastAsia" w:ascii="Times New Roman" w:hAnsi="Times New Roman" w:eastAsia="宋体" w:cs="Times New Roman"/>
                <w:color w:val="auto"/>
                <w:spacing w:val="7"/>
                <w:kern w:val="2"/>
                <w:sz w:val="24"/>
                <w:szCs w:val="24"/>
                <w:highlight w:val="none"/>
                <w:u w:val="none" w:color="auto"/>
                <w:lang w:val="en-US" w:eastAsia="zh-CN" w:bidi="ar-SA"/>
              </w:rPr>
              <w:t>关于深入打好污染防治攻坚战的实施意见》(</w:t>
            </w:r>
            <w:r>
              <w:rPr>
                <w:rFonts w:hint="eastAsia" w:cs="Times New Roman"/>
                <w:color w:val="auto"/>
                <w:spacing w:val="7"/>
                <w:kern w:val="2"/>
                <w:sz w:val="24"/>
                <w:szCs w:val="24"/>
                <w:highlight w:val="none"/>
                <w:u w:val="none" w:color="auto"/>
                <w:lang w:val="en-US" w:eastAsia="zh-CN" w:bidi="ar-SA"/>
              </w:rPr>
              <w:t>2021.12.31</w:t>
            </w:r>
            <w:r>
              <w:rPr>
                <w:rFonts w:hint="eastAsia" w:ascii="Times New Roman" w:hAnsi="Times New Roman" w:eastAsia="宋体" w:cs="Times New Roman"/>
                <w:color w:val="auto"/>
                <w:spacing w:val="7"/>
                <w:kern w:val="2"/>
                <w:sz w:val="24"/>
                <w:szCs w:val="24"/>
                <w:highlight w:val="none"/>
                <w:u w:val="none" w:color="auto"/>
                <w:lang w:val="en-US" w:eastAsia="zh-CN" w:bidi="ar-SA"/>
              </w:rPr>
              <w:t>)</w:t>
            </w:r>
            <w:r>
              <w:rPr>
                <w:color w:val="auto"/>
                <w:sz w:val="24"/>
                <w:highlight w:val="none"/>
                <w:u w:val="none" w:color="auto"/>
              </w:rPr>
              <w:t>符合性分析</w:t>
            </w:r>
          </w:p>
          <w:p w14:paraId="5DE511BE">
            <w:pPr>
              <w:pStyle w:val="8"/>
              <w:keepNext w:val="0"/>
              <w:keepLines w:val="0"/>
              <w:pageBreakBefore w:val="0"/>
              <w:widowControl w:val="0"/>
              <w:kinsoku/>
              <w:wordWrap/>
              <w:overflowPunct/>
              <w:topLinePunct w:val="0"/>
              <w:autoSpaceDE/>
              <w:autoSpaceDN/>
              <w:bidi w:val="0"/>
              <w:spacing w:line="360" w:lineRule="auto"/>
              <w:jc w:val="center"/>
              <w:textAlignment w:val="auto"/>
              <w:rPr>
                <w:rFonts w:ascii="Times New Roman" w:hAnsi="Times New Roman"/>
                <w:color w:val="auto"/>
                <w:sz w:val="24"/>
                <w:szCs w:val="24"/>
                <w:highlight w:val="none"/>
                <w:u w:val="none" w:color="auto"/>
              </w:rPr>
            </w:pPr>
            <w:r>
              <w:rPr>
                <w:rFonts w:ascii="Times New Roman" w:hAnsi="Times New Roman"/>
                <w:color w:val="auto"/>
                <w:sz w:val="24"/>
                <w:szCs w:val="24"/>
                <w:highlight w:val="none"/>
                <w:u w:val="none" w:color="auto"/>
              </w:rPr>
              <w:t>表</w:t>
            </w:r>
            <w:r>
              <w:rPr>
                <w:rFonts w:hint="eastAsia" w:ascii="Times New Roman" w:hAnsi="Times New Roman"/>
                <w:color w:val="auto"/>
                <w:sz w:val="24"/>
                <w:szCs w:val="24"/>
                <w:highlight w:val="none"/>
                <w:u w:val="none" w:color="auto"/>
                <w:lang w:val="en-US" w:eastAsia="zh-CN"/>
              </w:rPr>
              <w:t xml:space="preserve">1-11 </w:t>
            </w:r>
            <w:r>
              <w:rPr>
                <w:rFonts w:hint="eastAsia" w:ascii="Times New Roman" w:hAnsi="Times New Roman"/>
                <w:color w:val="auto"/>
                <w:sz w:val="24"/>
                <w:szCs w:val="24"/>
                <w:highlight w:val="none"/>
                <w:u w:val="none" w:color="auto"/>
              </w:rPr>
              <w:t>与《吉林省关于深入打好污染防治攻坚战的实施意见》(2021.12.31)</w:t>
            </w:r>
            <w:r>
              <w:rPr>
                <w:rFonts w:ascii="Times New Roman" w:hAnsi="Times New Roman"/>
                <w:color w:val="auto"/>
                <w:sz w:val="24"/>
                <w:szCs w:val="24"/>
                <w:highlight w:val="none"/>
                <w:u w:val="none" w:color="auto"/>
              </w:rPr>
              <w:t>的符合性分析</w:t>
            </w:r>
          </w:p>
          <w:tbl>
            <w:tblPr>
              <w:tblStyle w:val="29"/>
              <w:tblW w:w="747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32"/>
              <w:gridCol w:w="1947"/>
            </w:tblGrid>
            <w:tr w14:paraId="3048FF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532" w:type="dxa"/>
                  <w:tcBorders>
                    <w:tl2br w:val="nil"/>
                    <w:tr2bl w:val="nil"/>
                  </w:tcBorders>
                </w:tcPr>
                <w:p w14:paraId="0109476A">
                  <w:pPr>
                    <w:pStyle w:val="22"/>
                    <w:spacing w:line="360" w:lineRule="exact"/>
                    <w:ind w:left="0"/>
                    <w:jc w:val="center"/>
                    <w:rPr>
                      <w:color w:val="auto"/>
                      <w:szCs w:val="21"/>
                      <w:highlight w:val="none"/>
                      <w:u w:val="none" w:color="auto"/>
                    </w:rPr>
                  </w:pPr>
                  <w:r>
                    <w:rPr>
                      <w:rFonts w:hint="eastAsia"/>
                      <w:color w:val="auto"/>
                      <w:szCs w:val="21"/>
                      <w:highlight w:val="none"/>
                      <w:u w:val="none" w:color="auto"/>
                    </w:rPr>
                    <w:t>《吉林省关于深入打好污染防治攻坚战的实施意见》</w:t>
                  </w:r>
                </w:p>
              </w:tc>
              <w:tc>
                <w:tcPr>
                  <w:tcW w:w="1947" w:type="dxa"/>
                  <w:tcBorders>
                    <w:tl2br w:val="nil"/>
                    <w:tr2bl w:val="nil"/>
                  </w:tcBorders>
                </w:tcPr>
                <w:p w14:paraId="2CB64DD5">
                  <w:pPr>
                    <w:pStyle w:val="22"/>
                    <w:spacing w:line="360" w:lineRule="exact"/>
                    <w:ind w:left="0"/>
                    <w:jc w:val="center"/>
                    <w:rPr>
                      <w:color w:val="auto"/>
                      <w:szCs w:val="21"/>
                      <w:highlight w:val="none"/>
                      <w:u w:val="none" w:color="auto"/>
                    </w:rPr>
                  </w:pPr>
                  <w:r>
                    <w:rPr>
                      <w:rFonts w:hint="eastAsia"/>
                      <w:color w:val="auto"/>
                      <w:szCs w:val="21"/>
                      <w:highlight w:val="none"/>
                      <w:u w:val="none" w:color="auto"/>
                    </w:rPr>
                    <w:t>本项目符合性</w:t>
                  </w:r>
                </w:p>
              </w:tc>
            </w:tr>
            <w:tr w14:paraId="04BE29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5532" w:type="dxa"/>
                  <w:tcBorders>
                    <w:tl2br w:val="nil"/>
                    <w:tr2bl w:val="nil"/>
                  </w:tcBorders>
                </w:tcPr>
                <w:p w14:paraId="73000D68">
                  <w:pPr>
                    <w:pStyle w:val="22"/>
                    <w:spacing w:line="360" w:lineRule="exact"/>
                    <w:ind w:left="0"/>
                    <w:jc w:val="left"/>
                    <w:rPr>
                      <w:rFonts w:hint="eastAsia" w:ascii="Times New Roman" w:hAnsi="Times New Roman" w:eastAsia="宋体" w:cs="Times New Roman"/>
                      <w:color w:val="auto"/>
                      <w:szCs w:val="21"/>
                      <w:highlight w:val="none"/>
                      <w:u w:val="none" w:color="auto"/>
                    </w:rPr>
                  </w:pPr>
                  <w:r>
                    <w:rPr>
                      <w:rFonts w:hint="eastAsia" w:ascii="Times New Roman" w:hAnsi="Times New Roman" w:eastAsia="宋体" w:cs="Times New Roman"/>
                      <w:color w:val="auto"/>
                      <w:szCs w:val="21"/>
                      <w:highlight w:val="none"/>
                      <w:u w:val="none" w:color="auto"/>
                    </w:rPr>
                    <w:t>进一步强化燃煤污染治理。大力推动煤炭清洁高效利用，积极稳妥实施散煤治理，建立完善散煤监管体系，合理划定禁止散烧区域，有序推进散煤替代，逐步削减小型燃煤锅炉、民用散煤用煤量。严控新建燃煤锅炉，县级及以上城市建成区原则上不再新建每小时35蒸吨以下燃煤锅炉。按照国家要求，逐步推进小锅炉淘汰工作。推动65蒸吨及以上燃煤锅炉（含电力）实施超低排放改造。加大燃煤锅炉达标排放监管力度，充分利用自动监控、监督性监测、随机抽查等手段强化监管，严格依法查处超标排放行为。强化煤炭质量监管，严厉打击劣质煤炭进入市场流通。</w:t>
                  </w:r>
                </w:p>
              </w:tc>
              <w:tc>
                <w:tcPr>
                  <w:tcW w:w="1947" w:type="dxa"/>
                  <w:tcBorders>
                    <w:tl2br w:val="nil"/>
                    <w:tr2bl w:val="nil"/>
                  </w:tcBorders>
                </w:tcPr>
                <w:p w14:paraId="44A1D6B7">
                  <w:pPr>
                    <w:pStyle w:val="22"/>
                    <w:spacing w:line="360" w:lineRule="exact"/>
                    <w:ind w:left="0"/>
                    <w:jc w:val="left"/>
                    <w:rPr>
                      <w:rFonts w:hint="eastAsia" w:cs="Times New Roman"/>
                      <w:color w:val="auto"/>
                      <w:szCs w:val="21"/>
                      <w:highlight w:val="none"/>
                      <w:u w:val="none" w:color="auto"/>
                      <w:lang w:eastAsia="zh-CN"/>
                    </w:rPr>
                  </w:pPr>
                  <w:r>
                    <w:rPr>
                      <w:rFonts w:hint="eastAsia" w:cs="Times New Roman"/>
                      <w:color w:val="auto"/>
                      <w:szCs w:val="21"/>
                      <w:highlight w:val="none"/>
                      <w:u w:val="none" w:color="auto"/>
                      <w:lang w:eastAsia="zh-CN"/>
                    </w:rPr>
                    <w:t>符合。</w:t>
                  </w:r>
                </w:p>
                <w:p w14:paraId="0117119D">
                  <w:pPr>
                    <w:rPr>
                      <w:rFonts w:hint="eastAsia"/>
                      <w:color w:val="auto"/>
                      <w:u w:val="none" w:color="auto"/>
                      <w:lang w:eastAsia="zh-CN"/>
                    </w:rPr>
                  </w:pPr>
                  <w:r>
                    <w:rPr>
                      <w:rFonts w:hint="eastAsia" w:cs="Times New Roman"/>
                      <w:color w:val="auto"/>
                      <w:szCs w:val="21"/>
                      <w:highlight w:val="none"/>
                      <w:u w:val="none" w:color="auto"/>
                      <w:lang w:eastAsia="zh-CN"/>
                    </w:rPr>
                    <w:t>项目燃料采用生物质，不使用燃煤。</w:t>
                  </w:r>
                </w:p>
              </w:tc>
            </w:tr>
            <w:tr w14:paraId="003454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532" w:type="dxa"/>
                  <w:tcBorders>
                    <w:tl2br w:val="nil"/>
                    <w:tr2bl w:val="nil"/>
                  </w:tcBorders>
                  <w:vAlign w:val="center"/>
                </w:tcPr>
                <w:p w14:paraId="43272723">
                  <w:pPr>
                    <w:pStyle w:val="22"/>
                    <w:spacing w:line="360" w:lineRule="exact"/>
                    <w:ind w:left="0"/>
                    <w:jc w:val="left"/>
                    <w:rPr>
                      <w:rFonts w:hint="eastAsia" w:ascii="Times New Roman" w:hAnsi="Times New Roman" w:eastAsia="宋体" w:cs="Times New Roman"/>
                      <w:color w:val="auto"/>
                      <w:szCs w:val="21"/>
                      <w:highlight w:val="none"/>
                      <w:u w:val="none" w:color="auto"/>
                    </w:rPr>
                  </w:pPr>
                  <w:r>
                    <w:rPr>
                      <w:rFonts w:hint="eastAsia" w:ascii="Times New Roman" w:hAnsi="Times New Roman" w:eastAsia="宋体" w:cs="Times New Roman"/>
                      <w:color w:val="auto"/>
                      <w:szCs w:val="21"/>
                      <w:highlight w:val="none"/>
                      <w:u w:val="none" w:color="auto"/>
                    </w:rPr>
                    <w:t>加强大气面源污染治理。强化施工、道路、堆场、裸露地面等扬尘管控，加强城市保洁和清扫。实施建筑施工标准化管理，建立建筑工地项目清单和台账，将扬尘治理费用列入工程造价，加大监管力度。加强建筑渣土运输管理，严格落实密闭运输，依法打击不按规定路线行驶、渣土抛撒滴漏以及车轮带泥行驶、随意倾倒等违法行为。持续提高城市道路机械化清扫覆盖面积。深化消耗臭氧层物质和氢氟碳化物环境管理。加强餐饮油烟、恶臭异味治理，严查露天烧烤、焚烧垃圾、烧纸祭祀、违法燃放烟花爆竹等行为。</w:t>
                  </w:r>
                </w:p>
              </w:tc>
              <w:tc>
                <w:tcPr>
                  <w:tcW w:w="1947" w:type="dxa"/>
                  <w:tcBorders>
                    <w:tl2br w:val="nil"/>
                    <w:tr2bl w:val="nil"/>
                  </w:tcBorders>
                  <w:vAlign w:val="center"/>
                </w:tcPr>
                <w:p w14:paraId="7C2209BC">
                  <w:pPr>
                    <w:pStyle w:val="22"/>
                    <w:spacing w:line="360" w:lineRule="exact"/>
                    <w:ind w:left="0"/>
                    <w:jc w:val="left"/>
                    <w:rPr>
                      <w:rFonts w:hint="eastAsia" w:cs="Times New Roman"/>
                      <w:color w:val="auto"/>
                      <w:szCs w:val="21"/>
                      <w:highlight w:val="none"/>
                      <w:u w:val="none" w:color="auto"/>
                      <w:lang w:eastAsia="zh-CN"/>
                    </w:rPr>
                  </w:pPr>
                  <w:r>
                    <w:rPr>
                      <w:rFonts w:hint="eastAsia" w:cs="Times New Roman"/>
                      <w:color w:val="auto"/>
                      <w:szCs w:val="21"/>
                      <w:highlight w:val="none"/>
                      <w:u w:val="none" w:color="auto"/>
                      <w:lang w:eastAsia="zh-CN"/>
                    </w:rPr>
                    <w:t>符合。</w:t>
                  </w:r>
                </w:p>
                <w:p w14:paraId="08D48642">
                  <w:pPr>
                    <w:rPr>
                      <w:rFonts w:hint="eastAsia"/>
                      <w:color w:val="auto"/>
                      <w:u w:val="none" w:color="auto"/>
                      <w:lang w:eastAsia="zh-CN"/>
                    </w:rPr>
                  </w:pPr>
                  <w:r>
                    <w:rPr>
                      <w:rFonts w:hint="eastAsia"/>
                      <w:color w:val="auto"/>
                      <w:u w:val="none" w:color="auto"/>
                      <w:lang w:eastAsia="zh-CN"/>
                    </w:rPr>
                    <w:t>项目已建成，仅涉及热风炉房建设，不涉及渣土运输等，施工期加强扬尘控制，必要时洒水降尘。</w:t>
                  </w:r>
                </w:p>
              </w:tc>
            </w:tr>
            <w:tr w14:paraId="29A234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5532" w:type="dxa"/>
                  <w:tcBorders>
                    <w:tl2br w:val="nil"/>
                    <w:tr2bl w:val="nil"/>
                  </w:tcBorders>
                  <w:vAlign w:val="center"/>
                </w:tcPr>
                <w:p w14:paraId="4892D8C7">
                  <w:pPr>
                    <w:pStyle w:val="22"/>
                    <w:spacing w:line="360" w:lineRule="exact"/>
                    <w:ind w:left="0"/>
                    <w:jc w:val="left"/>
                    <w:rPr>
                      <w:rFonts w:hint="eastAsia" w:ascii="Times New Roman" w:hAnsi="Times New Roman" w:eastAsia="宋体" w:cs="Times New Roman"/>
                      <w:color w:val="auto"/>
                      <w:szCs w:val="21"/>
                      <w:highlight w:val="none"/>
                      <w:u w:val="none" w:color="auto"/>
                    </w:rPr>
                  </w:pPr>
                  <w:r>
                    <w:rPr>
                      <w:rFonts w:hint="eastAsia" w:ascii="Times New Roman" w:hAnsi="Times New Roman" w:eastAsia="宋体" w:cs="Times New Roman"/>
                      <w:color w:val="auto"/>
                      <w:szCs w:val="21"/>
                      <w:highlight w:val="none"/>
                      <w:u w:val="none" w:color="auto"/>
                    </w:rPr>
                    <w:t>强化噪声污染治理。实施噪声污染防治行动，加快解决群众关心的工业、建筑施工、交通运输以及社会生活噪声污染等问题。建设完善噪声污染防治设施和措施，加强对噪声敏感区的监管。县级及以上城市及时调整声环境功能区划，地级城市根据建成区人口规模及声环境功能区划适时调整监测点位。到2025年，地级及以上城市全面实现功能区声环境质量自动监测，全省声环境功能区夜间达标率达到85%。</w:t>
                  </w:r>
                </w:p>
              </w:tc>
              <w:tc>
                <w:tcPr>
                  <w:tcW w:w="1947" w:type="dxa"/>
                  <w:tcBorders>
                    <w:tl2br w:val="nil"/>
                    <w:tr2bl w:val="nil"/>
                  </w:tcBorders>
                  <w:vAlign w:val="center"/>
                </w:tcPr>
                <w:p w14:paraId="6A53013E">
                  <w:pPr>
                    <w:pStyle w:val="22"/>
                    <w:spacing w:line="360" w:lineRule="exact"/>
                    <w:ind w:left="0"/>
                    <w:jc w:val="left"/>
                    <w:rPr>
                      <w:rFonts w:hint="eastAsia" w:cs="Times New Roman"/>
                      <w:color w:val="auto"/>
                      <w:szCs w:val="21"/>
                      <w:highlight w:val="none"/>
                      <w:u w:val="none" w:color="auto"/>
                      <w:lang w:eastAsia="zh-CN"/>
                    </w:rPr>
                  </w:pPr>
                  <w:r>
                    <w:rPr>
                      <w:rFonts w:hint="eastAsia" w:cs="Times New Roman"/>
                      <w:color w:val="auto"/>
                      <w:szCs w:val="21"/>
                      <w:highlight w:val="none"/>
                      <w:u w:val="none" w:color="auto"/>
                      <w:lang w:eastAsia="zh-CN"/>
                    </w:rPr>
                    <w:t>符合。</w:t>
                  </w:r>
                </w:p>
                <w:p w14:paraId="1560D42C">
                  <w:pPr>
                    <w:rPr>
                      <w:rFonts w:hint="eastAsia"/>
                      <w:color w:val="auto"/>
                      <w:u w:val="none" w:color="auto"/>
                      <w:lang w:eastAsia="zh-CN"/>
                    </w:rPr>
                  </w:pPr>
                  <w:r>
                    <w:rPr>
                      <w:rFonts w:hint="eastAsia" w:cs="Times New Roman"/>
                      <w:color w:val="auto"/>
                      <w:szCs w:val="21"/>
                      <w:highlight w:val="none"/>
                      <w:u w:val="none" w:color="auto"/>
                      <w:lang w:eastAsia="zh-CN"/>
                    </w:rPr>
                    <w:t>本项目采用厂房隔声和基础减振等减少噪声排放，厂界噪声满足标准要求。</w:t>
                  </w:r>
                </w:p>
              </w:tc>
            </w:tr>
          </w:tbl>
          <w:p w14:paraId="02543CD6">
            <w:pPr>
              <w:pStyle w:val="5"/>
              <w:adjustRightInd w:val="0"/>
              <w:snapToGrid w:val="0"/>
              <w:spacing w:line="360" w:lineRule="auto"/>
              <w:jc w:val="both"/>
              <w:rPr>
                <w:rFonts w:hint="eastAsia" w:cs="Times New Roman"/>
                <w:color w:val="auto"/>
                <w:spacing w:val="7"/>
                <w:kern w:val="2"/>
                <w:sz w:val="24"/>
                <w:szCs w:val="24"/>
                <w:highlight w:val="none"/>
                <w:u w:val="single" w:color="auto"/>
                <w:lang w:val="en-US" w:eastAsia="zh-CN" w:bidi="ar-SA"/>
              </w:rPr>
            </w:pPr>
            <w:r>
              <w:rPr>
                <w:rFonts w:hint="eastAsia" w:cs="Times New Roman"/>
                <w:color w:val="auto"/>
                <w:spacing w:val="7"/>
                <w:kern w:val="2"/>
                <w:sz w:val="24"/>
                <w:szCs w:val="24"/>
                <w:highlight w:val="none"/>
                <w:u w:val="single" w:color="auto"/>
                <w:lang w:val="en-US" w:eastAsia="zh-CN" w:bidi="ar-SA"/>
              </w:rPr>
              <w:t>（7）与《吉林省生态环境保护“十四五”规划的通知》（吉政办发〔2021〕67号）符合性分析</w:t>
            </w:r>
          </w:p>
          <w:p w14:paraId="6CA8198E">
            <w:pPr>
              <w:pStyle w:val="8"/>
              <w:keepNext w:val="0"/>
              <w:keepLines w:val="0"/>
              <w:pageBreakBefore w:val="0"/>
              <w:widowControl w:val="0"/>
              <w:kinsoku/>
              <w:wordWrap/>
              <w:overflowPunct/>
              <w:topLinePunct w:val="0"/>
              <w:autoSpaceDE/>
              <w:autoSpaceDN/>
              <w:bidi w:val="0"/>
              <w:spacing w:line="360" w:lineRule="auto"/>
              <w:jc w:val="center"/>
              <w:textAlignment w:val="auto"/>
              <w:rPr>
                <w:rFonts w:ascii="Times New Roman" w:hAnsi="Times New Roman"/>
                <w:color w:val="auto"/>
                <w:sz w:val="24"/>
                <w:szCs w:val="24"/>
                <w:highlight w:val="none"/>
                <w:u w:val="single" w:color="auto"/>
              </w:rPr>
            </w:pPr>
            <w:r>
              <w:rPr>
                <w:rFonts w:ascii="Times New Roman" w:hAnsi="Times New Roman"/>
                <w:color w:val="auto"/>
                <w:sz w:val="24"/>
                <w:szCs w:val="24"/>
                <w:highlight w:val="none"/>
                <w:u w:val="single" w:color="auto"/>
              </w:rPr>
              <w:t>表</w:t>
            </w:r>
            <w:r>
              <w:rPr>
                <w:rFonts w:hint="eastAsia" w:ascii="Times New Roman" w:hAnsi="Times New Roman"/>
                <w:color w:val="auto"/>
                <w:sz w:val="24"/>
                <w:szCs w:val="24"/>
                <w:highlight w:val="none"/>
                <w:u w:val="single" w:color="auto"/>
                <w:lang w:val="en-US" w:eastAsia="zh-CN"/>
              </w:rPr>
              <w:t xml:space="preserve">1-13 </w:t>
            </w:r>
            <w:r>
              <w:rPr>
                <w:rFonts w:hint="eastAsia" w:ascii="Times New Roman" w:hAnsi="Times New Roman"/>
                <w:color w:val="auto"/>
                <w:sz w:val="24"/>
                <w:szCs w:val="24"/>
                <w:highlight w:val="none"/>
                <w:u w:val="single" w:color="auto"/>
              </w:rPr>
              <w:t>与</w:t>
            </w:r>
            <w:r>
              <w:rPr>
                <w:rFonts w:hint="eastAsia" w:cs="Times New Roman"/>
                <w:color w:val="auto"/>
                <w:spacing w:val="7"/>
                <w:kern w:val="2"/>
                <w:sz w:val="24"/>
                <w:szCs w:val="24"/>
                <w:highlight w:val="none"/>
                <w:u w:val="single" w:color="auto"/>
                <w:lang w:val="en-US" w:eastAsia="zh-CN" w:bidi="ar-SA"/>
              </w:rPr>
              <w:t>吉政办发〔2021〕67号符合性</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47"/>
              <w:gridCol w:w="3164"/>
            </w:tblGrid>
            <w:tr w14:paraId="01CBF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77" w:type="dxa"/>
                  <w:tcBorders>
                    <w:tl2br w:val="nil"/>
                    <w:tr2bl w:val="nil"/>
                  </w:tcBorders>
                  <w:vAlign w:val="center"/>
                </w:tcPr>
                <w:p w14:paraId="6CD258B1">
                  <w:pPr>
                    <w:keepNext w:val="0"/>
                    <w:keepLines w:val="0"/>
                    <w:widowControl/>
                    <w:suppressLineNumbers w:val="0"/>
                    <w:autoSpaceDE w:val="0"/>
                    <w:autoSpaceDN/>
                    <w:spacing w:before="0" w:beforeAutospacing="0" w:after="0" w:afterAutospacing="0"/>
                    <w:ind w:left="0" w:leftChars="0" w:right="0" w:rightChars="0" w:firstLine="0" w:firstLineChars="0"/>
                    <w:jc w:val="left"/>
                    <w:rPr>
                      <w:rFonts w:hint="eastAsia" w:eastAsia="宋体"/>
                      <w:color w:val="auto"/>
                      <w:szCs w:val="21"/>
                      <w:highlight w:val="none"/>
                      <w:u w:val="single" w:color="auto"/>
                      <w:lang w:eastAsia="zh-CN"/>
                    </w:rPr>
                  </w:pPr>
                  <w:r>
                    <w:rPr>
                      <w:rFonts w:hint="eastAsia" w:ascii="Times New Roman" w:hAnsi="Times New Roman" w:eastAsia="宋体" w:cs="Times New Roman"/>
                      <w:color w:val="auto"/>
                      <w:kern w:val="0"/>
                      <w:sz w:val="21"/>
                      <w:szCs w:val="21"/>
                      <w:u w:val="single"/>
                      <w:lang w:val="en-US" w:eastAsia="zh-CN" w:bidi="ar"/>
                    </w:rPr>
                    <w:t>与项目相关的要求</w:t>
                  </w:r>
                </w:p>
              </w:tc>
              <w:tc>
                <w:tcPr>
                  <w:tcW w:w="3259" w:type="dxa"/>
                  <w:tcBorders>
                    <w:tl2br w:val="nil"/>
                    <w:tr2bl w:val="nil"/>
                  </w:tcBorders>
                  <w:vAlign w:val="center"/>
                </w:tcPr>
                <w:p w14:paraId="44A89F5A">
                  <w:pPr>
                    <w:pStyle w:val="22"/>
                    <w:spacing w:line="360" w:lineRule="exact"/>
                    <w:ind w:left="0"/>
                    <w:jc w:val="both"/>
                    <w:rPr>
                      <w:color w:val="auto"/>
                      <w:szCs w:val="21"/>
                      <w:highlight w:val="none"/>
                      <w:u w:val="single" w:color="auto"/>
                    </w:rPr>
                  </w:pPr>
                  <w:r>
                    <w:rPr>
                      <w:rFonts w:hint="eastAsia"/>
                      <w:color w:val="auto"/>
                      <w:szCs w:val="21"/>
                      <w:highlight w:val="none"/>
                      <w:u w:val="single" w:color="auto"/>
                    </w:rPr>
                    <w:t>本项目符合性</w:t>
                  </w:r>
                </w:p>
              </w:tc>
            </w:tr>
            <w:tr w14:paraId="06836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4377" w:type="dxa"/>
                  <w:tcBorders>
                    <w:tl2br w:val="nil"/>
                    <w:tr2bl w:val="nil"/>
                  </w:tcBorders>
                  <w:vAlign w:val="center"/>
                </w:tcPr>
                <w:p w14:paraId="2BFA07C6">
                  <w:pPr>
                    <w:pStyle w:val="22"/>
                    <w:spacing w:line="240" w:lineRule="auto"/>
                    <w:ind w:left="0"/>
                    <w:jc w:val="both"/>
                    <w:rPr>
                      <w:rFonts w:hint="eastAsia" w:ascii="Times New Roman" w:hAnsi="Times New Roman" w:eastAsia="宋体" w:cs="Times New Roman"/>
                      <w:color w:val="auto"/>
                      <w:szCs w:val="21"/>
                      <w:highlight w:val="none"/>
                      <w:u w:val="single" w:color="auto"/>
                      <w:lang w:eastAsia="zh-CN"/>
                    </w:rPr>
                  </w:pPr>
                  <w:r>
                    <w:rPr>
                      <w:rFonts w:hint="eastAsia" w:ascii="Times New Roman" w:hAnsi="Times New Roman" w:eastAsia="宋体" w:cs="Times New Roman"/>
                      <w:color w:val="auto"/>
                      <w:szCs w:val="21"/>
                      <w:highlight w:val="none"/>
                      <w:u w:val="single" w:color="auto"/>
                      <w:lang w:eastAsia="zh-CN"/>
                    </w:rPr>
                    <w:t>推动能源清洁高效利用，推动煤炭等化石能源清洁高效利用，完善清洁燃料供应体系，推广清洁煤、生物质颗粒、天然气等燃料替代，严厉打击劣质煤炭进入市场流通销售,到</w:t>
                  </w:r>
                  <w:r>
                    <w:rPr>
                      <w:rFonts w:hint="eastAsia" w:ascii="Times New Roman" w:hAnsi="Times New Roman" w:eastAsia="宋体" w:cs="Times New Roman"/>
                      <w:color w:val="auto"/>
                      <w:szCs w:val="21"/>
                      <w:highlight w:val="none"/>
                      <w:u w:val="single" w:color="auto"/>
                      <w:lang w:val="en-US" w:eastAsia="zh-CN"/>
                    </w:rPr>
                    <w:t>2025</w:t>
                  </w:r>
                  <w:r>
                    <w:rPr>
                      <w:rFonts w:hint="eastAsia" w:ascii="Times New Roman" w:hAnsi="Times New Roman" w:eastAsia="宋体" w:cs="Times New Roman"/>
                      <w:color w:val="auto"/>
                      <w:szCs w:val="21"/>
                      <w:highlight w:val="none"/>
                      <w:u w:val="single" w:color="auto"/>
                      <w:lang w:eastAsia="zh-CN"/>
                    </w:rPr>
                    <w:t>年，洗选煤比例提高到</w:t>
                  </w:r>
                  <w:r>
                    <w:rPr>
                      <w:rFonts w:hint="eastAsia" w:ascii="Times New Roman" w:hAnsi="Times New Roman" w:eastAsia="宋体" w:cs="Times New Roman"/>
                      <w:color w:val="auto"/>
                      <w:szCs w:val="21"/>
                      <w:highlight w:val="none"/>
                      <w:u w:val="single" w:color="auto"/>
                      <w:lang w:val="en-US" w:eastAsia="zh-CN"/>
                    </w:rPr>
                    <w:t>85%</w:t>
                  </w:r>
                  <w:r>
                    <w:rPr>
                      <w:rFonts w:hint="eastAsia" w:ascii="Times New Roman" w:hAnsi="Times New Roman" w:eastAsia="宋体" w:cs="Times New Roman"/>
                      <w:color w:val="auto"/>
                      <w:szCs w:val="21"/>
                      <w:highlight w:val="none"/>
                      <w:u w:val="single" w:color="auto"/>
                      <w:lang w:eastAsia="zh-CN"/>
                    </w:rPr>
                    <w:t>以上。</w:t>
                  </w:r>
                </w:p>
              </w:tc>
              <w:tc>
                <w:tcPr>
                  <w:tcW w:w="3259" w:type="dxa"/>
                  <w:tcBorders>
                    <w:tl2br w:val="nil"/>
                    <w:tr2bl w:val="nil"/>
                  </w:tcBorders>
                  <w:vAlign w:val="center"/>
                </w:tcPr>
                <w:p w14:paraId="75C72682">
                  <w:pPr>
                    <w:spacing w:line="240" w:lineRule="auto"/>
                    <w:rPr>
                      <w:rFonts w:hint="eastAsia"/>
                      <w:color w:val="auto"/>
                      <w:u w:val="single" w:color="auto"/>
                      <w:lang w:eastAsia="zh-CN"/>
                    </w:rPr>
                  </w:pPr>
                  <w:r>
                    <w:rPr>
                      <w:rFonts w:hint="eastAsia"/>
                      <w:color w:val="auto"/>
                      <w:u w:val="single" w:color="auto"/>
                      <w:lang w:eastAsia="zh-CN"/>
                    </w:rPr>
                    <w:t>符合。</w:t>
                  </w:r>
                </w:p>
                <w:p w14:paraId="131AEE96">
                  <w:pPr>
                    <w:spacing w:line="240" w:lineRule="auto"/>
                    <w:rPr>
                      <w:rFonts w:hint="eastAsia"/>
                      <w:color w:val="auto"/>
                      <w:u w:val="single" w:color="auto"/>
                      <w:lang w:eastAsia="zh-CN"/>
                    </w:rPr>
                  </w:pPr>
                  <w:r>
                    <w:rPr>
                      <w:rFonts w:hint="eastAsia"/>
                      <w:color w:val="auto"/>
                      <w:u w:val="single" w:color="auto"/>
                      <w:lang w:eastAsia="zh-CN"/>
                    </w:rPr>
                    <w:t>本项目热风炉燃料采用生物质颗粒，不使用煤炭。</w:t>
                  </w:r>
                </w:p>
              </w:tc>
            </w:tr>
            <w:tr w14:paraId="6D6011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4377" w:type="dxa"/>
                  <w:tcBorders>
                    <w:tl2br w:val="nil"/>
                    <w:tr2bl w:val="nil"/>
                  </w:tcBorders>
                  <w:vAlign w:val="center"/>
                </w:tcPr>
                <w:p w14:paraId="2871BD21">
                  <w:pPr>
                    <w:pStyle w:val="22"/>
                    <w:spacing w:line="240" w:lineRule="auto"/>
                    <w:ind w:left="0"/>
                    <w:jc w:val="both"/>
                    <w:rPr>
                      <w:rFonts w:hint="eastAsia" w:ascii="Times New Roman" w:hAnsi="Times New Roman" w:eastAsia="宋体" w:cs="Times New Roman"/>
                      <w:color w:val="auto"/>
                      <w:szCs w:val="21"/>
                      <w:highlight w:val="none"/>
                      <w:u w:val="single" w:color="auto"/>
                      <w:lang w:eastAsia="zh-CN"/>
                    </w:rPr>
                  </w:pPr>
                  <w:r>
                    <w:rPr>
                      <w:rFonts w:hint="eastAsia" w:ascii="Times New Roman" w:hAnsi="Times New Roman" w:eastAsia="宋体" w:cs="Times New Roman"/>
                      <w:color w:val="auto"/>
                      <w:szCs w:val="21"/>
                      <w:highlight w:val="none"/>
                      <w:u w:val="single" w:color="auto"/>
                    </w:rPr>
                    <w:t>加强噪声污染防治</w:t>
                  </w:r>
                  <w:r>
                    <w:rPr>
                      <w:rFonts w:hint="eastAsia" w:cs="Times New Roman"/>
                      <w:color w:val="auto"/>
                      <w:szCs w:val="21"/>
                      <w:highlight w:val="none"/>
                      <w:u w:val="single" w:color="auto"/>
                      <w:lang w:eastAsia="zh-CN"/>
                    </w:rPr>
                    <w:t>。</w:t>
                  </w:r>
                  <w:r>
                    <w:rPr>
                      <w:rFonts w:hint="eastAsia" w:ascii="Times New Roman" w:hAnsi="Times New Roman" w:eastAsia="宋体" w:cs="Times New Roman"/>
                      <w:color w:val="auto"/>
                      <w:szCs w:val="21"/>
                      <w:highlight w:val="none"/>
                      <w:u w:val="single" w:color="auto"/>
                    </w:rPr>
                    <w:t>实施噪声污染防治行动</w:t>
                  </w:r>
                  <w:r>
                    <w:rPr>
                      <w:rFonts w:hint="eastAsia" w:cs="Times New Roman"/>
                      <w:color w:val="auto"/>
                      <w:szCs w:val="21"/>
                      <w:highlight w:val="none"/>
                      <w:u w:val="single" w:color="auto"/>
                      <w:lang w:eastAsia="zh-CN"/>
                    </w:rPr>
                    <w:t>，</w:t>
                  </w:r>
                  <w:r>
                    <w:rPr>
                      <w:rFonts w:hint="eastAsia" w:ascii="Times New Roman" w:hAnsi="Times New Roman" w:eastAsia="宋体" w:cs="Times New Roman"/>
                      <w:color w:val="auto"/>
                      <w:szCs w:val="21"/>
                      <w:highlight w:val="none"/>
                      <w:u w:val="single" w:color="auto"/>
                    </w:rPr>
                    <w:t>突出工业生产、道路交通、建筑施工、商业经营等重点领域、重点时段的噪声污染管控</w:t>
                  </w:r>
                  <w:r>
                    <w:rPr>
                      <w:rFonts w:hint="eastAsia" w:cs="Times New Roman"/>
                      <w:color w:val="auto"/>
                      <w:szCs w:val="21"/>
                      <w:highlight w:val="none"/>
                      <w:u w:val="single" w:color="auto"/>
                      <w:lang w:eastAsia="zh-CN"/>
                    </w:rPr>
                    <w:t>，</w:t>
                  </w:r>
                  <w:r>
                    <w:rPr>
                      <w:rFonts w:hint="eastAsia" w:ascii="Times New Roman" w:hAnsi="Times New Roman" w:eastAsia="宋体" w:cs="Times New Roman"/>
                      <w:color w:val="auto"/>
                      <w:szCs w:val="21"/>
                      <w:highlight w:val="none"/>
                      <w:u w:val="single" w:color="auto"/>
                    </w:rPr>
                    <w:t>加强对文化娱乐、商业经营中社会生活噪声热点问题日常监管和集中整治</w:t>
                  </w:r>
                  <w:r>
                    <w:rPr>
                      <w:rFonts w:hint="eastAsia" w:cs="Times New Roman"/>
                      <w:color w:val="auto"/>
                      <w:szCs w:val="21"/>
                      <w:highlight w:val="none"/>
                      <w:u w:val="single" w:color="auto"/>
                      <w:lang w:eastAsia="zh-CN"/>
                    </w:rPr>
                    <w:t>，</w:t>
                  </w:r>
                  <w:r>
                    <w:rPr>
                      <w:rFonts w:hint="eastAsia" w:ascii="Times New Roman" w:hAnsi="Times New Roman" w:eastAsia="宋体" w:cs="Times New Roman"/>
                      <w:color w:val="auto"/>
                      <w:szCs w:val="21"/>
                      <w:highlight w:val="none"/>
                      <w:u w:val="single" w:color="auto"/>
                    </w:rPr>
                    <w:t>加快解决群众关心的突出噪声问题</w:t>
                  </w:r>
                  <w:r>
                    <w:rPr>
                      <w:rFonts w:hint="eastAsia" w:ascii="Times New Roman" w:hAnsi="Times New Roman" w:eastAsia="宋体" w:cs="Times New Roman"/>
                      <w:color w:val="auto"/>
                      <w:szCs w:val="21"/>
                      <w:highlight w:val="none"/>
                      <w:u w:val="single" w:color="auto"/>
                      <w:lang w:eastAsia="zh-CN"/>
                    </w:rPr>
                    <w:t>。</w:t>
                  </w:r>
                </w:p>
              </w:tc>
              <w:tc>
                <w:tcPr>
                  <w:tcW w:w="3259" w:type="dxa"/>
                  <w:tcBorders>
                    <w:tl2br w:val="nil"/>
                    <w:tr2bl w:val="nil"/>
                  </w:tcBorders>
                  <w:vAlign w:val="center"/>
                </w:tcPr>
                <w:p w14:paraId="0B7942C1">
                  <w:pPr>
                    <w:spacing w:line="240" w:lineRule="auto"/>
                    <w:rPr>
                      <w:rFonts w:hint="eastAsia" w:ascii="Times New Roman" w:hAnsi="Times New Roman" w:eastAsia="宋体" w:cs="Times New Roman"/>
                      <w:color w:val="auto"/>
                      <w:szCs w:val="21"/>
                      <w:highlight w:val="none"/>
                      <w:u w:val="single" w:color="auto"/>
                      <w:lang w:eastAsia="zh-CN"/>
                    </w:rPr>
                  </w:pPr>
                  <w:r>
                    <w:rPr>
                      <w:rFonts w:hint="eastAsia" w:cs="Times New Roman"/>
                      <w:color w:val="auto"/>
                      <w:szCs w:val="21"/>
                      <w:highlight w:val="none"/>
                      <w:u w:val="single" w:color="auto"/>
                      <w:lang w:eastAsia="zh-CN"/>
                    </w:rPr>
                    <w:t>符合。本项目已基本建成，施工期噪声采用有效噪声防治措施，设备采用减振等措施，噪声可满足达标排放。</w:t>
                  </w:r>
                </w:p>
              </w:tc>
            </w:tr>
          </w:tbl>
          <w:p w14:paraId="32C44523">
            <w:pPr>
              <w:pStyle w:val="5"/>
              <w:adjustRightInd w:val="0"/>
              <w:snapToGrid w:val="0"/>
              <w:spacing w:line="360" w:lineRule="auto"/>
              <w:jc w:val="both"/>
              <w:rPr>
                <w:rFonts w:hint="eastAsia" w:cs="Times New Roman"/>
                <w:color w:val="auto"/>
                <w:spacing w:val="7"/>
                <w:kern w:val="2"/>
                <w:sz w:val="24"/>
                <w:szCs w:val="24"/>
                <w:highlight w:val="none"/>
                <w:u w:val="single" w:color="auto"/>
                <w:lang w:val="en-US" w:eastAsia="zh-CN" w:bidi="ar-SA"/>
              </w:rPr>
            </w:pPr>
            <w:r>
              <w:rPr>
                <w:rFonts w:hint="eastAsia" w:cs="Times New Roman"/>
                <w:color w:val="auto"/>
                <w:spacing w:val="7"/>
                <w:kern w:val="2"/>
                <w:sz w:val="24"/>
                <w:szCs w:val="24"/>
                <w:highlight w:val="none"/>
                <w:u w:val="single" w:color="auto"/>
                <w:lang w:val="en-US" w:eastAsia="zh-CN" w:bidi="ar-SA"/>
              </w:rPr>
              <w:t>（8）与《吉林市生态环境保护“十四五”规划》（吉市政办发〔2022〕12号）符合性分析</w:t>
            </w:r>
          </w:p>
          <w:p w14:paraId="073C4228">
            <w:pPr>
              <w:pStyle w:val="8"/>
              <w:keepNext w:val="0"/>
              <w:keepLines w:val="0"/>
              <w:pageBreakBefore w:val="0"/>
              <w:widowControl w:val="0"/>
              <w:kinsoku/>
              <w:wordWrap/>
              <w:overflowPunct/>
              <w:topLinePunct w:val="0"/>
              <w:autoSpaceDE/>
              <w:autoSpaceDN/>
              <w:bidi w:val="0"/>
              <w:spacing w:line="360" w:lineRule="auto"/>
              <w:jc w:val="center"/>
              <w:textAlignment w:val="auto"/>
              <w:rPr>
                <w:rFonts w:ascii="Times New Roman" w:hAnsi="Times New Roman"/>
                <w:color w:val="auto"/>
                <w:sz w:val="24"/>
                <w:szCs w:val="24"/>
                <w:highlight w:val="none"/>
                <w:u w:val="single" w:color="auto"/>
              </w:rPr>
            </w:pPr>
            <w:r>
              <w:rPr>
                <w:rFonts w:ascii="Times New Roman" w:hAnsi="Times New Roman"/>
                <w:color w:val="auto"/>
                <w:sz w:val="24"/>
                <w:szCs w:val="24"/>
                <w:highlight w:val="none"/>
                <w:u w:val="single" w:color="auto"/>
              </w:rPr>
              <w:t>表</w:t>
            </w:r>
            <w:r>
              <w:rPr>
                <w:rFonts w:hint="eastAsia" w:ascii="Times New Roman" w:hAnsi="Times New Roman"/>
                <w:color w:val="auto"/>
                <w:sz w:val="24"/>
                <w:szCs w:val="24"/>
                <w:highlight w:val="none"/>
                <w:u w:val="single" w:color="auto"/>
                <w:lang w:val="en-US" w:eastAsia="zh-CN"/>
              </w:rPr>
              <w:t xml:space="preserve">1-13 </w:t>
            </w:r>
            <w:r>
              <w:rPr>
                <w:rFonts w:hint="eastAsia" w:ascii="Times New Roman" w:hAnsi="Times New Roman"/>
                <w:color w:val="auto"/>
                <w:sz w:val="24"/>
                <w:szCs w:val="24"/>
                <w:highlight w:val="none"/>
                <w:u w:val="single" w:color="auto"/>
              </w:rPr>
              <w:t>与</w:t>
            </w:r>
            <w:r>
              <w:rPr>
                <w:rFonts w:hint="eastAsia" w:cs="Times New Roman"/>
                <w:color w:val="auto"/>
                <w:spacing w:val="7"/>
                <w:kern w:val="2"/>
                <w:sz w:val="24"/>
                <w:szCs w:val="24"/>
                <w:highlight w:val="none"/>
                <w:u w:val="single" w:color="auto"/>
                <w:lang w:val="en-US" w:eastAsia="zh-CN" w:bidi="ar-SA"/>
              </w:rPr>
              <w:t>《吉林市生态环境保护“十四五”规划》符合性分析</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49"/>
              <w:gridCol w:w="3162"/>
            </w:tblGrid>
            <w:tr w14:paraId="19CF57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66" w:type="pct"/>
                  <w:tcBorders>
                    <w:tl2br w:val="nil"/>
                    <w:tr2bl w:val="nil"/>
                  </w:tcBorders>
                  <w:shd w:val="clear" w:color="auto" w:fill="auto"/>
                  <w:vAlign w:val="center"/>
                </w:tcPr>
                <w:p w14:paraId="44628F36">
                  <w:pPr>
                    <w:keepNext w:val="0"/>
                    <w:keepLines w:val="0"/>
                    <w:widowControl/>
                    <w:suppressLineNumbers w:val="0"/>
                    <w:autoSpaceDE w:val="0"/>
                    <w:autoSpaceDN/>
                    <w:spacing w:before="0" w:beforeAutospacing="0" w:after="0" w:afterAutospacing="0"/>
                    <w:ind w:left="0" w:leftChars="0" w:right="0" w:rightChars="0" w:firstLine="0" w:firstLineChars="0"/>
                    <w:jc w:val="left"/>
                    <w:rPr>
                      <w:rFonts w:hint="eastAsia" w:ascii="Times New Roman" w:hAnsi="Times New Roman" w:eastAsia="宋体" w:cs="Times New Roman"/>
                      <w:color w:val="auto"/>
                      <w:kern w:val="0"/>
                      <w:sz w:val="21"/>
                      <w:szCs w:val="21"/>
                      <w:u w:val="single"/>
                      <w:lang w:val="en-US" w:eastAsia="zh-CN" w:bidi="ar"/>
                    </w:rPr>
                  </w:pPr>
                  <w:r>
                    <w:rPr>
                      <w:rFonts w:hint="eastAsia" w:ascii="Times New Roman" w:hAnsi="Times New Roman" w:eastAsia="宋体" w:cs="Times New Roman"/>
                      <w:color w:val="auto"/>
                      <w:kern w:val="0"/>
                      <w:sz w:val="21"/>
                      <w:szCs w:val="21"/>
                      <w:u w:val="single"/>
                      <w:lang w:val="en-US" w:eastAsia="zh-CN" w:bidi="ar"/>
                    </w:rPr>
                    <w:t>与项目相关的要求</w:t>
                  </w:r>
                </w:p>
              </w:tc>
              <w:tc>
                <w:tcPr>
                  <w:tcW w:w="2133" w:type="pct"/>
                  <w:tcBorders>
                    <w:tl2br w:val="nil"/>
                    <w:tr2bl w:val="nil"/>
                  </w:tcBorders>
                  <w:vAlign w:val="center"/>
                </w:tcPr>
                <w:p w14:paraId="5929432B">
                  <w:pPr>
                    <w:pStyle w:val="22"/>
                    <w:spacing w:line="360" w:lineRule="exact"/>
                    <w:ind w:left="0"/>
                    <w:jc w:val="both"/>
                    <w:rPr>
                      <w:color w:val="auto"/>
                      <w:szCs w:val="21"/>
                      <w:highlight w:val="none"/>
                      <w:u w:val="single" w:color="auto"/>
                    </w:rPr>
                  </w:pPr>
                  <w:r>
                    <w:rPr>
                      <w:rFonts w:hint="eastAsia"/>
                      <w:color w:val="auto"/>
                      <w:szCs w:val="21"/>
                      <w:highlight w:val="none"/>
                      <w:u w:val="single" w:color="auto"/>
                    </w:rPr>
                    <w:t>本项目符合性</w:t>
                  </w:r>
                </w:p>
              </w:tc>
            </w:tr>
            <w:tr w14:paraId="07A291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2866" w:type="pct"/>
                  <w:tcBorders>
                    <w:tl2br w:val="nil"/>
                    <w:tr2bl w:val="nil"/>
                  </w:tcBorders>
                  <w:vAlign w:val="center"/>
                </w:tcPr>
                <w:p w14:paraId="0261BC76">
                  <w:pPr>
                    <w:pStyle w:val="22"/>
                    <w:spacing w:line="240" w:lineRule="auto"/>
                    <w:ind w:left="0"/>
                    <w:jc w:val="both"/>
                    <w:rPr>
                      <w:rFonts w:hint="eastAsia" w:ascii="Times New Roman" w:hAnsi="Times New Roman" w:eastAsia="宋体" w:cs="Times New Roman"/>
                      <w:color w:val="auto"/>
                      <w:szCs w:val="21"/>
                      <w:highlight w:val="none"/>
                      <w:u w:val="single" w:color="auto"/>
                      <w:lang w:eastAsia="zh-CN"/>
                    </w:rPr>
                  </w:pPr>
                  <w:r>
                    <w:rPr>
                      <w:rFonts w:hint="eastAsia" w:ascii="Times New Roman" w:hAnsi="Times New Roman" w:eastAsia="宋体" w:cs="Times New Roman"/>
                      <w:color w:val="auto"/>
                      <w:szCs w:val="21"/>
                      <w:highlight w:val="none"/>
                      <w:u w:val="single" w:color="auto"/>
                      <w:lang w:eastAsia="zh-CN"/>
                    </w:rPr>
                    <w:t>实施重点行业氮氧化物深度治理，推进钢铁、水泥行业企业超低排放改造，推进水泥、玻璃、铸造、金属冶炼等行业废气深度治理。加大工业污染源烟气高效脱硫脱硝、除尘改造力度，重点排污单位规定全部安装自动监控设备并与生态环境部门联网。</w:t>
                  </w:r>
                </w:p>
                <w:p w14:paraId="6B70C876">
                  <w:pPr>
                    <w:pStyle w:val="22"/>
                    <w:spacing w:line="240" w:lineRule="auto"/>
                    <w:ind w:left="0"/>
                    <w:jc w:val="both"/>
                    <w:rPr>
                      <w:rFonts w:hint="eastAsia" w:ascii="Times New Roman" w:hAnsi="Times New Roman" w:eastAsia="宋体" w:cs="Times New Roman"/>
                      <w:color w:val="auto"/>
                      <w:szCs w:val="21"/>
                      <w:highlight w:val="none"/>
                      <w:u w:val="single" w:color="auto"/>
                      <w:lang w:eastAsia="zh-CN"/>
                    </w:rPr>
                  </w:pPr>
                  <w:r>
                    <w:rPr>
                      <w:rFonts w:hint="eastAsia" w:ascii="Times New Roman" w:hAnsi="Times New Roman" w:eastAsia="宋体" w:cs="Times New Roman"/>
                      <w:color w:val="auto"/>
                      <w:szCs w:val="21"/>
                      <w:highlight w:val="none"/>
                      <w:u w:val="single" w:color="auto"/>
                      <w:lang w:eastAsia="zh-CN"/>
                    </w:rPr>
                    <w:t>全面加强工业无组织排放管控。推进重点行业污染深度治理，强化源头防控，对排放强度高的重污染行业实施清洁化改造。加快清理淘汰类工业炉窑及燃料清洁低碳化替代。</w:t>
                  </w:r>
                </w:p>
              </w:tc>
              <w:tc>
                <w:tcPr>
                  <w:tcW w:w="2133" w:type="pct"/>
                  <w:tcBorders>
                    <w:tl2br w:val="nil"/>
                    <w:tr2bl w:val="nil"/>
                  </w:tcBorders>
                  <w:vAlign w:val="center"/>
                </w:tcPr>
                <w:p w14:paraId="2883DDD3">
                  <w:pPr>
                    <w:spacing w:line="240" w:lineRule="auto"/>
                    <w:rPr>
                      <w:rFonts w:hint="eastAsia"/>
                      <w:color w:val="auto"/>
                      <w:u w:val="single" w:color="auto"/>
                      <w:lang w:eastAsia="zh-CN"/>
                    </w:rPr>
                  </w:pPr>
                  <w:r>
                    <w:rPr>
                      <w:rFonts w:hint="eastAsia"/>
                      <w:color w:val="auto"/>
                      <w:u w:val="single" w:color="auto"/>
                      <w:lang w:eastAsia="zh-CN"/>
                    </w:rPr>
                    <w:t>符合。</w:t>
                  </w:r>
                </w:p>
                <w:p w14:paraId="5D58CE49">
                  <w:pPr>
                    <w:spacing w:line="240" w:lineRule="auto"/>
                    <w:rPr>
                      <w:rFonts w:hint="eastAsia"/>
                      <w:color w:val="auto"/>
                      <w:u w:val="single" w:color="auto"/>
                      <w:lang w:eastAsia="zh-CN"/>
                    </w:rPr>
                  </w:pPr>
                  <w:r>
                    <w:rPr>
                      <w:rFonts w:hint="eastAsia"/>
                      <w:color w:val="auto"/>
                      <w:u w:val="single" w:color="auto"/>
                      <w:lang w:eastAsia="zh-CN"/>
                    </w:rPr>
                    <w:t>本项目不属于上述重点排污单位，热风炉燃料采用成型生物质颗粒，烟气采用高效布袋除尘（属于推荐的可行技术）处理后达标排放，不属于淘汰类炉窑。</w:t>
                  </w:r>
                </w:p>
                <w:p w14:paraId="048F68A1">
                  <w:pPr>
                    <w:spacing w:line="240" w:lineRule="auto"/>
                    <w:rPr>
                      <w:rFonts w:hint="eastAsia"/>
                      <w:color w:val="auto"/>
                      <w:u w:val="single" w:color="auto"/>
                      <w:lang w:eastAsia="zh-CN"/>
                    </w:rPr>
                  </w:pPr>
                  <w:r>
                    <w:rPr>
                      <w:rFonts w:hint="eastAsia"/>
                      <w:color w:val="auto"/>
                      <w:u w:val="single" w:color="auto"/>
                      <w:lang w:eastAsia="zh-CN"/>
                    </w:rPr>
                    <w:t>项目生产过程无组织采用有效防治措施，减少无组织粉尘排放，强化源头防控。</w:t>
                  </w:r>
                </w:p>
              </w:tc>
            </w:tr>
            <w:tr w14:paraId="4E5A74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2866" w:type="pct"/>
                  <w:tcBorders>
                    <w:tl2br w:val="nil"/>
                    <w:tr2bl w:val="nil"/>
                  </w:tcBorders>
                  <w:vAlign w:val="center"/>
                </w:tcPr>
                <w:p w14:paraId="322ED0D9">
                  <w:pPr>
                    <w:pStyle w:val="22"/>
                    <w:spacing w:line="240" w:lineRule="auto"/>
                    <w:ind w:left="0"/>
                    <w:jc w:val="both"/>
                    <w:rPr>
                      <w:rFonts w:hint="eastAsia" w:ascii="Times New Roman" w:hAnsi="Times New Roman" w:eastAsia="宋体" w:cs="Times New Roman"/>
                      <w:color w:val="auto"/>
                      <w:szCs w:val="21"/>
                      <w:highlight w:val="none"/>
                      <w:u w:val="single" w:color="auto"/>
                    </w:rPr>
                  </w:pPr>
                  <w:r>
                    <w:rPr>
                      <w:rFonts w:hint="eastAsia" w:ascii="Times New Roman" w:hAnsi="Times New Roman" w:eastAsia="宋体" w:cs="Times New Roman"/>
                      <w:color w:val="auto"/>
                      <w:szCs w:val="21"/>
                      <w:highlight w:val="none"/>
                      <w:u w:val="single" w:color="auto"/>
                    </w:rPr>
                    <w:t>规范工业企业排污管理。规范工业企业和园区排污管理，各级人民政府和工业园区管理机构要对工业废水进入市政污水收集设施情况进行排查，组织开展评估。将经评估认定为污染物不能被污水处理厂有效处理，或可能影响污水处理厂出水稳定达标的纳管企业的污水依法限期退出污水管网。经评估可继续接入污水管网的，应当依法取得排污许可。积极推动工业废水资源化利用。推进企业内部工业用水循环利用，提高重复利用率。推进园区内企业间用水系统集成优化。开展石化、有色、造纸、印染等高耗水行业工业废水循环利用示范。</w:t>
                  </w:r>
                </w:p>
              </w:tc>
              <w:tc>
                <w:tcPr>
                  <w:tcW w:w="2133" w:type="pct"/>
                  <w:tcBorders>
                    <w:tl2br w:val="nil"/>
                    <w:tr2bl w:val="nil"/>
                  </w:tcBorders>
                  <w:vAlign w:val="center"/>
                </w:tcPr>
                <w:p w14:paraId="694ACFA4">
                  <w:pPr>
                    <w:spacing w:line="240" w:lineRule="auto"/>
                    <w:rPr>
                      <w:rFonts w:hint="eastAsia" w:cs="Times New Roman"/>
                      <w:color w:val="auto"/>
                      <w:szCs w:val="21"/>
                      <w:highlight w:val="none"/>
                      <w:u w:val="single" w:color="auto"/>
                      <w:lang w:eastAsia="zh-CN"/>
                    </w:rPr>
                  </w:pPr>
                  <w:r>
                    <w:rPr>
                      <w:rFonts w:hint="eastAsia" w:cs="Times New Roman"/>
                      <w:color w:val="auto"/>
                      <w:szCs w:val="21"/>
                      <w:highlight w:val="none"/>
                      <w:u w:val="single" w:color="auto"/>
                      <w:lang w:eastAsia="zh-CN"/>
                    </w:rPr>
                    <w:t>符合。</w:t>
                  </w:r>
                </w:p>
                <w:p w14:paraId="1ABB22FF">
                  <w:pPr>
                    <w:spacing w:line="240" w:lineRule="auto"/>
                    <w:rPr>
                      <w:rFonts w:hint="eastAsia" w:cs="Times New Roman"/>
                      <w:color w:val="auto"/>
                      <w:szCs w:val="21"/>
                      <w:highlight w:val="none"/>
                      <w:u w:val="single" w:color="auto"/>
                      <w:lang w:eastAsia="zh-CN"/>
                    </w:rPr>
                  </w:pPr>
                  <w:r>
                    <w:rPr>
                      <w:rFonts w:hint="eastAsia" w:cs="Times New Roman"/>
                      <w:color w:val="auto"/>
                      <w:szCs w:val="21"/>
                      <w:highlight w:val="none"/>
                      <w:u w:val="single" w:color="auto"/>
                      <w:lang w:eastAsia="zh-CN"/>
                    </w:rPr>
                    <w:t>本项目生产过程不产生废水。</w:t>
                  </w:r>
                </w:p>
              </w:tc>
            </w:tr>
            <w:tr w14:paraId="01E73A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2866" w:type="pct"/>
                  <w:tcBorders>
                    <w:tl2br w:val="nil"/>
                    <w:tr2bl w:val="nil"/>
                  </w:tcBorders>
                  <w:vAlign w:val="center"/>
                </w:tcPr>
                <w:p w14:paraId="6A022126">
                  <w:pPr>
                    <w:pStyle w:val="22"/>
                    <w:spacing w:line="240" w:lineRule="auto"/>
                    <w:ind w:left="0"/>
                    <w:jc w:val="both"/>
                    <w:rPr>
                      <w:rFonts w:hint="eastAsia" w:ascii="Times New Roman" w:hAnsi="Times New Roman" w:eastAsia="宋体" w:cs="Times New Roman"/>
                      <w:color w:val="auto"/>
                      <w:szCs w:val="21"/>
                      <w:highlight w:val="none"/>
                      <w:u w:val="single" w:color="auto"/>
                    </w:rPr>
                  </w:pPr>
                  <w:r>
                    <w:rPr>
                      <w:rFonts w:hint="eastAsia" w:ascii="Times New Roman" w:hAnsi="Times New Roman" w:eastAsia="宋体" w:cs="Times New Roman"/>
                      <w:color w:val="auto"/>
                      <w:szCs w:val="21"/>
                      <w:highlight w:val="none"/>
                      <w:u w:val="single" w:color="auto"/>
                    </w:rPr>
                    <w:t>加强对污染源的管理。对噪声源进行科学的维护，保证良好的运转状态；合理调整工业噪声源的布置，尽量设置在远离或背向噪声敏感点的厂房内，并对厂房进行降噪处置等。</w:t>
                  </w:r>
                </w:p>
              </w:tc>
              <w:tc>
                <w:tcPr>
                  <w:tcW w:w="2133" w:type="pct"/>
                  <w:tcBorders>
                    <w:tl2br w:val="nil"/>
                    <w:tr2bl w:val="nil"/>
                  </w:tcBorders>
                  <w:vAlign w:val="center"/>
                </w:tcPr>
                <w:p w14:paraId="22CA20FB">
                  <w:pPr>
                    <w:spacing w:line="240" w:lineRule="auto"/>
                    <w:rPr>
                      <w:rFonts w:hint="eastAsia" w:cs="Times New Roman"/>
                      <w:color w:val="auto"/>
                      <w:szCs w:val="21"/>
                      <w:highlight w:val="none"/>
                      <w:u w:val="single" w:color="auto"/>
                      <w:lang w:eastAsia="zh-CN"/>
                    </w:rPr>
                  </w:pPr>
                  <w:r>
                    <w:rPr>
                      <w:rFonts w:hint="eastAsia" w:cs="Times New Roman"/>
                      <w:color w:val="auto"/>
                      <w:szCs w:val="21"/>
                      <w:highlight w:val="none"/>
                      <w:u w:val="single" w:color="auto"/>
                      <w:lang w:eastAsia="zh-CN"/>
                    </w:rPr>
                    <w:t>符合。</w:t>
                  </w:r>
                </w:p>
                <w:p w14:paraId="767D6579">
                  <w:pPr>
                    <w:spacing w:line="240" w:lineRule="auto"/>
                    <w:rPr>
                      <w:rFonts w:hint="eastAsia" w:cs="Times New Roman"/>
                      <w:color w:val="auto"/>
                      <w:szCs w:val="21"/>
                      <w:highlight w:val="none"/>
                      <w:u w:val="single" w:color="auto"/>
                      <w:lang w:eastAsia="zh-CN"/>
                    </w:rPr>
                  </w:pPr>
                  <w:r>
                    <w:rPr>
                      <w:rFonts w:hint="eastAsia" w:cs="Times New Roman"/>
                      <w:color w:val="auto"/>
                      <w:szCs w:val="21"/>
                      <w:highlight w:val="none"/>
                      <w:u w:val="single" w:color="auto"/>
                      <w:lang w:eastAsia="zh-CN"/>
                    </w:rPr>
                    <w:t>本项目整体布局合理，高噪声设备尽量布设在厂房内，满足噪声排放标准。</w:t>
                  </w:r>
                </w:p>
              </w:tc>
            </w:tr>
          </w:tbl>
          <w:p w14:paraId="5212FFD9">
            <w:pPr>
              <w:pStyle w:val="5"/>
              <w:adjustRightInd w:val="0"/>
              <w:snapToGrid w:val="0"/>
              <w:spacing w:line="360" w:lineRule="auto"/>
              <w:jc w:val="both"/>
              <w:rPr>
                <w:rFonts w:hint="eastAsia" w:cs="Times New Roman"/>
                <w:color w:val="auto"/>
                <w:spacing w:val="7"/>
                <w:kern w:val="2"/>
                <w:sz w:val="24"/>
                <w:szCs w:val="24"/>
                <w:highlight w:val="none"/>
                <w:u w:val="single" w:color="auto"/>
                <w:lang w:val="en-US" w:eastAsia="zh-CN" w:bidi="ar-SA"/>
              </w:rPr>
            </w:pPr>
          </w:p>
          <w:p w14:paraId="49C17091">
            <w:pPr>
              <w:pStyle w:val="5"/>
              <w:adjustRightInd w:val="0"/>
              <w:snapToGrid w:val="0"/>
              <w:spacing w:line="360" w:lineRule="auto"/>
              <w:jc w:val="both"/>
              <w:rPr>
                <w:rFonts w:hint="eastAsia" w:cs="Times New Roman"/>
                <w:color w:val="auto"/>
                <w:spacing w:val="7"/>
                <w:kern w:val="2"/>
                <w:sz w:val="24"/>
                <w:szCs w:val="24"/>
                <w:highlight w:val="none"/>
                <w:u w:val="single" w:color="auto"/>
                <w:lang w:val="en-US" w:eastAsia="zh-CN" w:bidi="ar-SA"/>
              </w:rPr>
            </w:pPr>
            <w:r>
              <w:rPr>
                <w:rFonts w:hint="eastAsia" w:cs="Times New Roman"/>
                <w:color w:val="auto"/>
                <w:spacing w:val="7"/>
                <w:kern w:val="2"/>
                <w:sz w:val="24"/>
                <w:szCs w:val="24"/>
                <w:highlight w:val="none"/>
                <w:u w:val="single" w:color="auto"/>
                <w:lang w:val="en-US" w:eastAsia="zh-CN" w:bidi="ar-SA"/>
              </w:rPr>
              <w:t>（9）与《“十四五”噪声污染防治行动计划》符合性分析</w:t>
            </w:r>
          </w:p>
          <w:p w14:paraId="1155AE31">
            <w:pPr>
              <w:pStyle w:val="8"/>
              <w:keepNext w:val="0"/>
              <w:keepLines w:val="0"/>
              <w:pageBreakBefore w:val="0"/>
              <w:widowControl w:val="0"/>
              <w:kinsoku/>
              <w:wordWrap/>
              <w:overflowPunct/>
              <w:topLinePunct w:val="0"/>
              <w:autoSpaceDE/>
              <w:autoSpaceDN/>
              <w:bidi w:val="0"/>
              <w:spacing w:line="360" w:lineRule="auto"/>
              <w:jc w:val="center"/>
              <w:textAlignment w:val="auto"/>
              <w:rPr>
                <w:rFonts w:ascii="Times New Roman" w:hAnsi="Times New Roman"/>
                <w:color w:val="auto"/>
                <w:sz w:val="24"/>
                <w:szCs w:val="24"/>
                <w:highlight w:val="none"/>
                <w:u w:val="single" w:color="auto"/>
              </w:rPr>
            </w:pPr>
            <w:r>
              <w:rPr>
                <w:rFonts w:ascii="Times New Roman" w:hAnsi="Times New Roman"/>
                <w:color w:val="auto"/>
                <w:sz w:val="24"/>
                <w:szCs w:val="24"/>
                <w:highlight w:val="none"/>
                <w:u w:val="single" w:color="auto"/>
              </w:rPr>
              <w:t>表</w:t>
            </w:r>
            <w:r>
              <w:rPr>
                <w:rFonts w:hint="eastAsia" w:ascii="Times New Roman" w:hAnsi="Times New Roman"/>
                <w:color w:val="auto"/>
                <w:sz w:val="24"/>
                <w:szCs w:val="24"/>
                <w:highlight w:val="none"/>
                <w:u w:val="single" w:color="auto"/>
                <w:lang w:val="en-US" w:eastAsia="zh-CN"/>
              </w:rPr>
              <w:t xml:space="preserve">1-13 </w:t>
            </w:r>
            <w:r>
              <w:rPr>
                <w:rFonts w:hint="eastAsia" w:ascii="Times New Roman" w:hAnsi="Times New Roman"/>
                <w:color w:val="auto"/>
                <w:sz w:val="24"/>
                <w:szCs w:val="24"/>
                <w:highlight w:val="none"/>
                <w:u w:val="single" w:color="auto"/>
              </w:rPr>
              <w:t>与</w:t>
            </w:r>
            <w:r>
              <w:rPr>
                <w:rFonts w:hint="eastAsia" w:cs="Times New Roman"/>
                <w:color w:val="auto"/>
                <w:spacing w:val="7"/>
                <w:kern w:val="2"/>
                <w:sz w:val="24"/>
                <w:szCs w:val="24"/>
                <w:highlight w:val="none"/>
                <w:u w:val="single" w:color="auto"/>
                <w:lang w:val="en-US" w:eastAsia="zh-CN" w:bidi="ar-SA"/>
              </w:rPr>
              <w:t>《“十四五”噪声污染防治行动计划》符合性分析</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49"/>
              <w:gridCol w:w="3162"/>
            </w:tblGrid>
            <w:tr w14:paraId="7817F0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66" w:type="pct"/>
                  <w:tcBorders>
                    <w:tl2br w:val="nil"/>
                    <w:tr2bl w:val="nil"/>
                  </w:tcBorders>
                  <w:shd w:val="clear" w:color="auto" w:fill="auto"/>
                  <w:vAlign w:val="center"/>
                </w:tcPr>
                <w:p w14:paraId="407B4717">
                  <w:pPr>
                    <w:keepNext w:val="0"/>
                    <w:keepLines w:val="0"/>
                    <w:widowControl/>
                    <w:suppressLineNumbers w:val="0"/>
                    <w:autoSpaceDE w:val="0"/>
                    <w:autoSpaceDN/>
                    <w:spacing w:before="0" w:beforeAutospacing="0" w:after="0" w:afterAutospacing="0"/>
                    <w:ind w:left="0" w:leftChars="0" w:right="0" w:rightChars="0" w:firstLine="0" w:firstLineChars="0"/>
                    <w:jc w:val="left"/>
                    <w:rPr>
                      <w:rFonts w:hint="eastAsia" w:ascii="Times New Roman" w:hAnsi="Times New Roman" w:eastAsia="宋体" w:cs="Times New Roman"/>
                      <w:color w:val="auto"/>
                      <w:kern w:val="0"/>
                      <w:sz w:val="21"/>
                      <w:szCs w:val="21"/>
                      <w:u w:val="single"/>
                      <w:lang w:val="en-US" w:eastAsia="zh-CN" w:bidi="ar"/>
                    </w:rPr>
                  </w:pPr>
                  <w:r>
                    <w:rPr>
                      <w:rFonts w:hint="eastAsia" w:ascii="Times New Roman" w:hAnsi="Times New Roman" w:eastAsia="宋体" w:cs="Times New Roman"/>
                      <w:color w:val="auto"/>
                      <w:kern w:val="0"/>
                      <w:sz w:val="21"/>
                      <w:szCs w:val="21"/>
                      <w:u w:val="single"/>
                      <w:lang w:val="en-US" w:eastAsia="zh-CN" w:bidi="ar"/>
                    </w:rPr>
                    <w:t>与项目相关的要求</w:t>
                  </w:r>
                </w:p>
              </w:tc>
              <w:tc>
                <w:tcPr>
                  <w:tcW w:w="2133" w:type="pct"/>
                  <w:tcBorders>
                    <w:tl2br w:val="nil"/>
                    <w:tr2bl w:val="nil"/>
                  </w:tcBorders>
                  <w:vAlign w:val="center"/>
                </w:tcPr>
                <w:p w14:paraId="685957C7">
                  <w:pPr>
                    <w:pStyle w:val="22"/>
                    <w:spacing w:line="360" w:lineRule="exact"/>
                    <w:ind w:left="0"/>
                    <w:jc w:val="both"/>
                    <w:rPr>
                      <w:color w:val="auto"/>
                      <w:szCs w:val="21"/>
                      <w:highlight w:val="none"/>
                      <w:u w:val="single" w:color="auto"/>
                    </w:rPr>
                  </w:pPr>
                  <w:r>
                    <w:rPr>
                      <w:rFonts w:hint="eastAsia"/>
                      <w:color w:val="auto"/>
                      <w:szCs w:val="21"/>
                      <w:highlight w:val="none"/>
                      <w:u w:val="single" w:color="auto"/>
                    </w:rPr>
                    <w:t>本项目符合性</w:t>
                  </w:r>
                </w:p>
              </w:tc>
            </w:tr>
            <w:tr w14:paraId="7A75D8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2866" w:type="pct"/>
                  <w:tcBorders>
                    <w:tl2br w:val="nil"/>
                    <w:tr2bl w:val="nil"/>
                  </w:tcBorders>
                  <w:vAlign w:val="center"/>
                </w:tcPr>
                <w:p w14:paraId="1CA47370">
                  <w:pPr>
                    <w:pStyle w:val="22"/>
                    <w:spacing w:line="240" w:lineRule="auto"/>
                    <w:ind w:left="0"/>
                    <w:jc w:val="both"/>
                    <w:rPr>
                      <w:rFonts w:hint="eastAsia" w:ascii="Times New Roman" w:hAnsi="Times New Roman" w:eastAsia="宋体" w:cs="Times New Roman"/>
                      <w:color w:val="auto"/>
                      <w:szCs w:val="21"/>
                      <w:highlight w:val="none"/>
                      <w:u w:val="single" w:color="auto"/>
                      <w:lang w:eastAsia="zh-CN"/>
                    </w:rPr>
                  </w:pPr>
                  <w:r>
                    <w:rPr>
                      <w:rFonts w:hint="eastAsia" w:ascii="Times New Roman" w:hAnsi="Times New Roman" w:eastAsia="宋体" w:cs="Times New Roman"/>
                      <w:color w:val="auto"/>
                      <w:szCs w:val="21"/>
                      <w:highlight w:val="none"/>
                      <w:u w:val="single" w:color="auto"/>
                      <w:lang w:eastAsia="zh-CN"/>
                    </w:rPr>
                    <w:t>严格落实噪声污染防治要求。制定修改相关规划、建设对环境有影响的项目时，应依法开展环评，对可能产生噪声与振动的影响进行分析、预测和评估，积极采取噪声污染防治对策措施。建设项目的噪声污染防治设施应当与主体工程同时设计、同时施工、同时投产使用。督促建设单位依法开展竣工环境保护验收，加大事中事后监管力度，确保各项措施落地见效。</w:t>
                  </w:r>
                </w:p>
              </w:tc>
              <w:tc>
                <w:tcPr>
                  <w:tcW w:w="2133" w:type="pct"/>
                  <w:tcBorders>
                    <w:tl2br w:val="nil"/>
                    <w:tr2bl w:val="nil"/>
                  </w:tcBorders>
                  <w:vAlign w:val="center"/>
                </w:tcPr>
                <w:p w14:paraId="190C62F9">
                  <w:pPr>
                    <w:spacing w:line="240" w:lineRule="auto"/>
                    <w:rPr>
                      <w:rFonts w:hint="eastAsia"/>
                      <w:color w:val="auto"/>
                      <w:u w:val="single" w:color="auto"/>
                      <w:lang w:eastAsia="zh-CN"/>
                    </w:rPr>
                  </w:pPr>
                  <w:r>
                    <w:rPr>
                      <w:rFonts w:hint="eastAsia"/>
                      <w:color w:val="auto"/>
                      <w:u w:val="single" w:color="auto"/>
                      <w:lang w:eastAsia="zh-CN"/>
                    </w:rPr>
                    <w:t>符合。</w:t>
                  </w:r>
                </w:p>
                <w:p w14:paraId="4BA3DA91">
                  <w:pPr>
                    <w:spacing w:line="240" w:lineRule="auto"/>
                    <w:rPr>
                      <w:rFonts w:hint="eastAsia"/>
                      <w:color w:val="auto"/>
                      <w:u w:val="single" w:color="auto"/>
                      <w:lang w:eastAsia="zh-CN"/>
                    </w:rPr>
                  </w:pPr>
                  <w:r>
                    <w:rPr>
                      <w:rFonts w:hint="eastAsia"/>
                      <w:color w:val="auto"/>
                      <w:u w:val="single" w:color="auto"/>
                      <w:lang w:eastAsia="zh-CN"/>
                    </w:rPr>
                    <w:t>本项目产噪设施包括风机、输送带等，通过采取噪声污染防治措施满足达标排放，企业噪声污染防治设施与主体工程保证同时设计、施工和使用。</w:t>
                  </w:r>
                </w:p>
              </w:tc>
            </w:tr>
            <w:tr w14:paraId="23F9DD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2866" w:type="pct"/>
                  <w:tcBorders>
                    <w:tl2br w:val="nil"/>
                    <w:tr2bl w:val="nil"/>
                  </w:tcBorders>
                  <w:vAlign w:val="center"/>
                </w:tcPr>
                <w:p w14:paraId="51CAA406">
                  <w:pPr>
                    <w:pStyle w:val="22"/>
                    <w:spacing w:line="240" w:lineRule="auto"/>
                    <w:ind w:left="0"/>
                    <w:jc w:val="both"/>
                    <w:rPr>
                      <w:rFonts w:hint="eastAsia" w:ascii="Times New Roman" w:hAnsi="Times New Roman" w:eastAsia="宋体" w:cs="Times New Roman"/>
                      <w:color w:val="auto"/>
                      <w:szCs w:val="21"/>
                      <w:highlight w:val="none"/>
                      <w:u w:val="single" w:color="auto"/>
                    </w:rPr>
                  </w:pPr>
                  <w:r>
                    <w:rPr>
                      <w:rFonts w:hint="eastAsia" w:ascii="Times New Roman" w:hAnsi="Times New Roman" w:eastAsia="宋体" w:cs="Times New Roman"/>
                      <w:color w:val="auto"/>
                      <w:szCs w:val="21"/>
                      <w:highlight w:val="none"/>
                      <w:u w:val="single" w:color="auto"/>
                    </w:rPr>
                    <w:t>树立工业噪声污染治理标杆。排放噪声的工业企业应切实采取减振降噪措施，加强厂区内固定设备、运输工具、货物装卸等噪声源管理，同时避免突发噪声扰民。鼓励企业采用先进治理技术，打造行业噪声污染治理示范典型。</w:t>
                  </w:r>
                </w:p>
              </w:tc>
              <w:tc>
                <w:tcPr>
                  <w:tcW w:w="2133" w:type="pct"/>
                  <w:tcBorders>
                    <w:tl2br w:val="nil"/>
                    <w:tr2bl w:val="nil"/>
                  </w:tcBorders>
                  <w:vAlign w:val="center"/>
                </w:tcPr>
                <w:p w14:paraId="0FAE4998">
                  <w:pPr>
                    <w:spacing w:line="240" w:lineRule="auto"/>
                    <w:rPr>
                      <w:rFonts w:hint="eastAsia" w:cs="Times New Roman"/>
                      <w:color w:val="auto"/>
                      <w:szCs w:val="21"/>
                      <w:highlight w:val="none"/>
                      <w:u w:val="single" w:color="auto"/>
                      <w:lang w:eastAsia="zh-CN"/>
                    </w:rPr>
                  </w:pPr>
                  <w:r>
                    <w:rPr>
                      <w:rFonts w:hint="eastAsia" w:cs="Times New Roman"/>
                      <w:color w:val="auto"/>
                      <w:szCs w:val="21"/>
                      <w:highlight w:val="none"/>
                      <w:u w:val="single" w:color="auto"/>
                      <w:lang w:eastAsia="zh-CN"/>
                    </w:rPr>
                    <w:t>符合。</w:t>
                  </w:r>
                </w:p>
                <w:p w14:paraId="038A2759">
                  <w:pPr>
                    <w:spacing w:line="240" w:lineRule="auto"/>
                    <w:rPr>
                      <w:rFonts w:hint="eastAsia" w:cs="Times New Roman"/>
                      <w:color w:val="auto"/>
                      <w:szCs w:val="21"/>
                      <w:highlight w:val="none"/>
                      <w:u w:val="single" w:color="auto"/>
                      <w:lang w:eastAsia="zh-CN"/>
                    </w:rPr>
                  </w:pPr>
                  <w:r>
                    <w:rPr>
                      <w:rFonts w:hint="eastAsia" w:cs="Times New Roman"/>
                      <w:color w:val="auto"/>
                      <w:szCs w:val="21"/>
                      <w:highlight w:val="none"/>
                      <w:u w:val="single" w:color="auto"/>
                      <w:lang w:eastAsia="zh-CN"/>
                    </w:rPr>
                    <w:t>本项目设备采用减振降噪措施，运输和装卸过程加强管理，避免产生突发噪声对周边产生影响。</w:t>
                  </w:r>
                </w:p>
              </w:tc>
            </w:tr>
          </w:tbl>
          <w:p w14:paraId="65DEF476">
            <w:pPr>
              <w:pStyle w:val="5"/>
              <w:adjustRightInd w:val="0"/>
              <w:snapToGrid w:val="0"/>
              <w:spacing w:line="360" w:lineRule="auto"/>
              <w:jc w:val="both"/>
              <w:rPr>
                <w:rFonts w:hint="default" w:cs="Times New Roman"/>
                <w:color w:val="auto"/>
                <w:spacing w:val="7"/>
                <w:kern w:val="2"/>
                <w:sz w:val="24"/>
                <w:szCs w:val="24"/>
                <w:highlight w:val="none"/>
                <w:u w:val="single" w:color="auto"/>
                <w:lang w:val="en-US" w:eastAsia="zh-CN" w:bidi="ar-SA"/>
              </w:rPr>
            </w:pPr>
          </w:p>
        </w:tc>
      </w:tr>
    </w:tbl>
    <w:p w14:paraId="169CBC57">
      <w:pPr>
        <w:spacing w:line="360" w:lineRule="auto"/>
        <w:outlineLvl w:val="0"/>
        <w:rPr>
          <w:rFonts w:eastAsia="黑体"/>
          <w:color w:val="auto"/>
          <w:sz w:val="30"/>
          <w:highlight w:val="none"/>
          <w:u w:val="none" w:color="auto"/>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2E40B5F1">
      <w:pPr>
        <w:pStyle w:val="24"/>
        <w:jc w:val="center"/>
        <w:outlineLvl w:val="0"/>
        <w:rPr>
          <w:rFonts w:ascii="黑体" w:hAnsi="黑体" w:eastAsia="黑体"/>
          <w:snapToGrid w:val="0"/>
          <w:color w:val="auto"/>
          <w:sz w:val="30"/>
          <w:szCs w:val="30"/>
          <w:highlight w:val="none"/>
          <w:u w:val="none" w:color="auto"/>
        </w:rPr>
      </w:pPr>
      <w:r>
        <w:rPr>
          <w:rFonts w:hint="eastAsia" w:ascii="黑体" w:hAnsi="黑体" w:eastAsia="黑体"/>
          <w:snapToGrid w:val="0"/>
          <w:color w:val="auto"/>
          <w:sz w:val="30"/>
          <w:szCs w:val="30"/>
          <w:highlight w:val="none"/>
          <w:u w:val="none" w:color="auto"/>
        </w:rPr>
        <w:t>二、建设项目工程分析</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7933"/>
      </w:tblGrid>
      <w:tr w14:paraId="7B99F4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95" w:hRule="atLeast"/>
          <w:jc w:val="center"/>
        </w:trPr>
        <w:tc>
          <w:tcPr>
            <w:tcW w:w="1116" w:type="dxa"/>
            <w:vAlign w:val="center"/>
          </w:tcPr>
          <w:p w14:paraId="7DEF2AFC">
            <w:pPr>
              <w:pStyle w:val="24"/>
              <w:adjustRightInd w:val="0"/>
              <w:snapToGrid w:val="0"/>
              <w:spacing w:before="0" w:beforeAutospacing="0" w:after="0" w:afterAutospacing="0"/>
              <w:jc w:val="center"/>
              <w:rPr>
                <w:rFonts w:cs="宋体"/>
                <w:color w:val="auto"/>
                <w:sz w:val="21"/>
                <w:szCs w:val="21"/>
                <w:highlight w:val="none"/>
                <w:u w:val="none" w:color="auto"/>
              </w:rPr>
            </w:pPr>
            <w:r>
              <w:rPr>
                <w:rFonts w:hint="eastAsia" w:cs="宋体"/>
                <w:color w:val="auto"/>
                <w:sz w:val="21"/>
                <w:szCs w:val="21"/>
                <w:highlight w:val="none"/>
                <w:u w:val="none" w:color="auto"/>
              </w:rPr>
              <w:t>建设内容</w:t>
            </w:r>
          </w:p>
        </w:tc>
        <w:tc>
          <w:tcPr>
            <w:tcW w:w="7933" w:type="dxa"/>
          </w:tcPr>
          <w:p w14:paraId="0854AF01">
            <w:pPr>
              <w:overflowPunct w:val="0"/>
              <w:adjustRightInd w:val="0"/>
              <w:snapToGrid w:val="0"/>
              <w:spacing w:line="360" w:lineRule="auto"/>
              <w:ind w:firstLine="482" w:firstLineChars="200"/>
              <w:jc w:val="left"/>
              <w:rPr>
                <w:b/>
                <w:color w:val="auto"/>
                <w:sz w:val="24"/>
                <w:highlight w:val="none"/>
                <w:u w:val="none" w:color="auto"/>
              </w:rPr>
            </w:pPr>
            <w:r>
              <w:rPr>
                <w:rFonts w:hint="eastAsia"/>
                <w:b/>
                <w:color w:val="auto"/>
                <w:sz w:val="24"/>
                <w:highlight w:val="none"/>
                <w:u w:val="none" w:color="auto"/>
                <w:lang w:val="en-US" w:eastAsia="zh-CN"/>
              </w:rPr>
              <w:t>2.1</w:t>
            </w:r>
            <w:r>
              <w:rPr>
                <w:b/>
                <w:color w:val="auto"/>
                <w:sz w:val="24"/>
                <w:highlight w:val="none"/>
                <w:u w:val="none" w:color="auto"/>
              </w:rPr>
              <w:t>项目由来</w:t>
            </w:r>
          </w:p>
          <w:p w14:paraId="4815A14C">
            <w:pPr>
              <w:overflowPunct w:val="0"/>
              <w:adjustRightInd w:val="0"/>
              <w:snapToGrid w:val="0"/>
              <w:spacing w:line="360" w:lineRule="auto"/>
              <w:ind w:firstLine="480" w:firstLineChars="200"/>
              <w:jc w:val="left"/>
              <w:rPr>
                <w:rFonts w:hint="default" w:cs="Times New Roman"/>
                <w:color w:val="auto"/>
                <w:kern w:val="2"/>
                <w:sz w:val="24"/>
                <w:szCs w:val="24"/>
                <w:highlight w:val="none"/>
                <w:u w:val="none" w:color="auto"/>
                <w:vertAlign w:val="baseline"/>
                <w:lang w:val="en-US" w:eastAsia="zh-CN" w:bidi="ar-SA"/>
              </w:rPr>
            </w:pPr>
            <w:r>
              <w:rPr>
                <w:rFonts w:hint="eastAsia" w:cs="Times New Roman"/>
                <w:color w:val="auto"/>
                <w:kern w:val="2"/>
                <w:sz w:val="24"/>
                <w:szCs w:val="24"/>
                <w:highlight w:val="none"/>
                <w:u w:val="none" w:color="auto"/>
                <w:lang w:val="en-US" w:eastAsia="zh-CN" w:bidi="ar-SA"/>
              </w:rPr>
              <w:t>吉林市永盛粮业有限责任公司成立于2022年，永盛粮业有限责任公司与双河镇村签订租赁协议，租用双河镇村名下土地</w:t>
            </w:r>
            <w:r>
              <w:rPr>
                <w:rFonts w:hint="eastAsia" w:cs="Times New Roman"/>
                <w:color w:val="auto"/>
                <w:kern w:val="2"/>
                <w:sz w:val="24"/>
                <w:szCs w:val="24"/>
                <w:highlight w:val="none"/>
                <w:u w:val="none" w:color="auto"/>
                <w:vertAlign w:val="baseline"/>
                <w:lang w:val="en-US" w:eastAsia="zh-CN" w:bidi="ar-SA"/>
              </w:rPr>
              <w:t>3862</w:t>
            </w:r>
            <w:r>
              <w:rPr>
                <w:rFonts w:hint="eastAsia" w:cs="Times New Roman"/>
                <w:color w:val="auto"/>
                <w:kern w:val="2"/>
                <w:sz w:val="24"/>
                <w:szCs w:val="24"/>
                <w:highlight w:val="none"/>
                <w:u w:val="none" w:color="auto"/>
                <w:lang w:val="en-US" w:eastAsia="zh-CN" w:bidi="ar-SA"/>
              </w:rPr>
              <w:t>m</w:t>
            </w:r>
            <w:r>
              <w:rPr>
                <w:rFonts w:hint="eastAsia" w:cs="Times New Roman"/>
                <w:color w:val="auto"/>
                <w:kern w:val="2"/>
                <w:sz w:val="24"/>
                <w:szCs w:val="24"/>
                <w:highlight w:val="none"/>
                <w:u w:val="none" w:color="auto"/>
                <w:vertAlign w:val="superscript"/>
                <w:lang w:val="en-US" w:eastAsia="zh-CN" w:bidi="ar-SA"/>
              </w:rPr>
              <w:t>2</w:t>
            </w:r>
            <w:r>
              <w:rPr>
                <w:rFonts w:hint="eastAsia" w:cs="Times New Roman"/>
                <w:color w:val="auto"/>
                <w:kern w:val="2"/>
                <w:sz w:val="24"/>
                <w:szCs w:val="24"/>
                <w:highlight w:val="none"/>
                <w:u w:val="none" w:color="auto"/>
                <w:vertAlign w:val="baseline"/>
                <w:lang w:val="en-US" w:eastAsia="zh-CN" w:bidi="ar-SA"/>
              </w:rPr>
              <w:t>，该地块土地证（2001年颁发），</w:t>
            </w:r>
            <w:r>
              <w:rPr>
                <w:rFonts w:hint="eastAsia" w:cs="Times New Roman"/>
                <w:color w:val="auto"/>
                <w:kern w:val="2"/>
                <w:sz w:val="24"/>
                <w:szCs w:val="24"/>
                <w:highlight w:val="none"/>
                <w:u w:val="none" w:color="auto"/>
                <w:lang w:val="en-US" w:eastAsia="zh-CN" w:bidi="ar-SA"/>
              </w:rPr>
              <w:t>根据《关于永吉县双河镇双河镇村一宗地地类情况的复函》（见附件1）可知，该项目占用土地现状土地性质已变更为工业用地。企业目前</w:t>
            </w:r>
            <w:r>
              <w:rPr>
                <w:rFonts w:hint="eastAsia" w:cs="Times New Roman"/>
                <w:color w:val="auto"/>
                <w:kern w:val="2"/>
                <w:sz w:val="24"/>
                <w:szCs w:val="24"/>
                <w:highlight w:val="none"/>
                <w:u w:val="none" w:color="auto"/>
                <w:vertAlign w:val="baseline"/>
                <w:lang w:val="en-US" w:eastAsia="zh-CN" w:bidi="ar-SA"/>
              </w:rPr>
              <w:t>已建成双塔一体烘干塔1套，热风炉及配套设施等，但未进行生产，</w:t>
            </w:r>
            <w:r>
              <w:rPr>
                <w:rFonts w:hint="eastAsia"/>
                <w:color w:val="auto"/>
                <w:sz w:val="24"/>
                <w:u w:val="none" w:color="auto"/>
              </w:rPr>
              <w:t>属于未批先建项目，但未造成环境污染后果，且企业自身实施停止</w:t>
            </w:r>
            <w:r>
              <w:rPr>
                <w:rFonts w:hint="eastAsia"/>
                <w:color w:val="auto"/>
                <w:sz w:val="24"/>
                <w:u w:val="none" w:color="auto"/>
                <w:lang w:eastAsia="zh-CN"/>
              </w:rPr>
              <w:t>建设。</w:t>
            </w:r>
            <w:r>
              <w:rPr>
                <w:rFonts w:hint="eastAsia"/>
                <w:color w:val="auto"/>
                <w:sz w:val="24"/>
                <w:u w:val="none" w:color="auto"/>
                <w:lang w:val="en-US" w:eastAsia="zh-CN"/>
              </w:rPr>
              <w:t>根据吉林市生态环境局出具的告知书，本项目免予处罚，立即补办环评。</w:t>
            </w:r>
          </w:p>
          <w:p w14:paraId="1E5F3A7F">
            <w:pPr>
              <w:overflowPunct w:val="0"/>
              <w:adjustRightInd w:val="0"/>
              <w:snapToGrid w:val="0"/>
              <w:spacing w:line="360" w:lineRule="auto"/>
              <w:ind w:firstLine="480" w:firstLineChars="200"/>
              <w:jc w:val="left"/>
              <w:rPr>
                <w:rFonts w:hint="eastAsia" w:cs="Times New Roman"/>
                <w:color w:val="auto"/>
                <w:kern w:val="2"/>
                <w:sz w:val="24"/>
                <w:szCs w:val="24"/>
                <w:highlight w:val="none"/>
                <w:u w:val="single" w:color="auto"/>
                <w:lang w:val="en-US" w:eastAsia="zh-CN" w:bidi="ar-SA"/>
              </w:rPr>
            </w:pPr>
            <w:r>
              <w:rPr>
                <w:rFonts w:hint="eastAsia" w:ascii="Times New Roman" w:hAnsi="Times New Roman" w:eastAsia="宋体" w:cs="Times New Roman"/>
                <w:color w:val="auto"/>
                <w:kern w:val="2"/>
                <w:sz w:val="24"/>
                <w:szCs w:val="24"/>
                <w:highlight w:val="none"/>
                <w:u w:val="none"/>
                <w:lang w:val="en-US" w:eastAsia="zh-CN" w:bidi="ar-SA"/>
              </w:rPr>
              <w:t>本项目主行业属于“A0514 农产品初加工活动”，不属于《建设项目环境影响评价分类管理名录（2021年版）》</w:t>
            </w:r>
            <w:r>
              <w:rPr>
                <w:rFonts w:hint="eastAsia" w:cs="Times New Roman"/>
                <w:color w:val="auto"/>
                <w:kern w:val="2"/>
                <w:sz w:val="24"/>
                <w:szCs w:val="24"/>
                <w:highlight w:val="none"/>
                <w:u w:val="none"/>
                <w:lang w:val="en-US" w:eastAsia="zh-CN" w:bidi="ar-SA"/>
              </w:rPr>
              <w:t>范畴</w:t>
            </w:r>
            <w:r>
              <w:rPr>
                <w:rFonts w:hint="eastAsia" w:ascii="Times New Roman" w:hAnsi="Times New Roman" w:eastAsia="宋体" w:cs="Times New Roman"/>
                <w:color w:val="auto"/>
                <w:kern w:val="2"/>
                <w:sz w:val="24"/>
                <w:szCs w:val="24"/>
                <w:highlight w:val="none"/>
                <w:u w:val="none"/>
                <w:lang w:val="en-US" w:eastAsia="zh-CN" w:bidi="ar-SA"/>
              </w:rPr>
              <w:t>，</w:t>
            </w:r>
            <w:r>
              <w:rPr>
                <w:rFonts w:hint="eastAsia" w:cs="Times New Roman"/>
                <w:color w:val="auto"/>
                <w:kern w:val="2"/>
                <w:sz w:val="24"/>
                <w:szCs w:val="24"/>
                <w:highlight w:val="none"/>
                <w:u w:val="single" w:color="auto"/>
                <w:lang w:val="en-US" w:eastAsia="zh-CN" w:bidi="ar-SA"/>
              </w:rPr>
              <w:t>根据中华人民共和国生态环境部办公厅发布的《关于生物质锅炉等项目环评类别判定事宜的复函》（环办环评函〔2021〕264号），“二、关于粮食烘干项目环评类别，对于粮食烘干建设项目，若主要建设内容为粮食烘干塔，应按照《名录》的“91 热力生产和供应工程（包括建设单位自建自用的供热工程）”执行。</w:t>
            </w:r>
            <w:r>
              <w:rPr>
                <w:rFonts w:hint="eastAsia" w:cs="Times New Roman"/>
                <w:color w:val="auto"/>
                <w:kern w:val="2"/>
                <w:sz w:val="24"/>
                <w:szCs w:val="24"/>
                <w:highlight w:val="none"/>
                <w:u w:val="none" w:color="auto"/>
                <w:lang w:val="en-US" w:eastAsia="zh-CN" w:bidi="ar-SA"/>
              </w:rPr>
              <w:t>”</w:t>
            </w:r>
            <w:r>
              <w:rPr>
                <w:rFonts w:hint="eastAsia" w:cs="Times New Roman"/>
                <w:color w:val="auto"/>
                <w:kern w:val="2"/>
                <w:sz w:val="24"/>
                <w:szCs w:val="24"/>
                <w:highlight w:val="none"/>
                <w:u w:val="single" w:color="auto"/>
                <w:lang w:val="en-US" w:eastAsia="zh-CN" w:bidi="ar-SA"/>
              </w:rPr>
              <w:t>因此本项目应编写环境影响报告表。</w:t>
            </w:r>
          </w:p>
          <w:p w14:paraId="0DCCC251">
            <w:pPr>
              <w:snapToGrid w:val="0"/>
              <w:spacing w:line="360" w:lineRule="auto"/>
              <w:ind w:firstLine="482" w:firstLineChars="200"/>
              <w:rPr>
                <w:b/>
                <w:bCs/>
                <w:color w:val="auto"/>
                <w:sz w:val="24"/>
                <w:highlight w:val="none"/>
                <w:u w:val="none" w:color="auto"/>
              </w:rPr>
            </w:pPr>
            <w:r>
              <w:rPr>
                <w:rFonts w:hint="eastAsia"/>
                <w:b/>
                <w:bCs/>
                <w:color w:val="auto"/>
                <w:sz w:val="24"/>
                <w:highlight w:val="none"/>
                <w:u w:val="none" w:color="auto"/>
                <w:lang w:val="en-US" w:eastAsia="zh-CN"/>
              </w:rPr>
              <w:t>2.2</w:t>
            </w:r>
            <w:r>
              <w:rPr>
                <w:rFonts w:hint="eastAsia"/>
                <w:b/>
                <w:bCs/>
                <w:color w:val="auto"/>
                <w:sz w:val="24"/>
                <w:highlight w:val="none"/>
                <w:u w:val="none" w:color="auto"/>
              </w:rPr>
              <w:t>建设内容</w:t>
            </w:r>
          </w:p>
          <w:p w14:paraId="081A8F80">
            <w:pPr>
              <w:snapToGrid w:val="0"/>
              <w:spacing w:line="360" w:lineRule="auto"/>
              <w:ind w:firstLine="480" w:firstLineChars="200"/>
              <w:rPr>
                <w:color w:val="auto"/>
                <w:sz w:val="24"/>
                <w:highlight w:val="none"/>
                <w:u w:val="none" w:color="auto"/>
              </w:rPr>
            </w:pPr>
            <w:r>
              <w:rPr>
                <w:rFonts w:hint="eastAsia" w:cs="宋体"/>
                <w:color w:val="auto"/>
                <w:sz w:val="24"/>
                <w:highlight w:val="none"/>
                <w:u w:val="none" w:color="auto"/>
                <w:lang w:val="en-US" w:eastAsia="zh-CN"/>
              </w:rPr>
              <w:t>吉林市永盛粮业有限责任公司现状在场地内已建成双塔一体烘干塔1套、热风炉1座（1台6t/h燃生物质热风炉）以及配套除尘器、滚筒筛等，</w:t>
            </w:r>
            <w:r>
              <w:rPr>
                <w:rFonts w:hint="eastAsia" w:cs="宋体"/>
                <w:color w:val="auto"/>
                <w:sz w:val="24"/>
                <w:highlight w:val="none"/>
                <w:u w:val="none" w:color="auto"/>
                <w:vertAlign w:val="baseline"/>
                <w:lang w:val="en-US" w:eastAsia="zh-CN"/>
              </w:rPr>
              <w:t>主要建（构）筑物情况见表2-2，</w:t>
            </w:r>
            <w:r>
              <w:rPr>
                <w:rFonts w:hint="eastAsia" w:cs="宋体"/>
                <w:color w:val="auto"/>
                <w:sz w:val="24"/>
                <w:highlight w:val="none"/>
                <w:u w:val="none" w:color="auto"/>
                <w:lang w:val="en-US" w:eastAsia="zh-CN"/>
              </w:rPr>
              <w:t>具体建设内容见下表</w:t>
            </w:r>
            <w:r>
              <w:rPr>
                <w:rFonts w:hint="eastAsia" w:cs="宋体"/>
                <w:color w:val="auto"/>
                <w:sz w:val="24"/>
                <w:highlight w:val="none"/>
                <w:u w:val="none" w:color="auto"/>
              </w:rPr>
              <w:t>：</w:t>
            </w:r>
          </w:p>
          <w:p w14:paraId="251EA6AB">
            <w:pPr>
              <w:adjustRightInd w:val="0"/>
              <w:snapToGrid w:val="0"/>
              <w:jc w:val="center"/>
              <w:rPr>
                <w:b/>
                <w:color w:val="auto"/>
                <w:sz w:val="24"/>
                <w:highlight w:val="none"/>
                <w:u w:val="none" w:color="auto"/>
              </w:rPr>
            </w:pPr>
            <w:r>
              <w:rPr>
                <w:b/>
                <w:iCs/>
                <w:color w:val="auto"/>
                <w:sz w:val="24"/>
                <w:highlight w:val="none"/>
                <w:u w:val="none" w:color="auto"/>
              </w:rPr>
              <w:t>表</w:t>
            </w:r>
            <w:r>
              <w:rPr>
                <w:rFonts w:hint="eastAsia"/>
                <w:b/>
                <w:iCs/>
                <w:color w:val="auto"/>
                <w:sz w:val="24"/>
                <w:highlight w:val="none"/>
                <w:u w:val="none" w:color="auto"/>
                <w:lang w:val="en-US" w:eastAsia="zh-CN"/>
              </w:rPr>
              <w:t>2-1</w:t>
            </w:r>
            <w:r>
              <w:rPr>
                <w:b/>
                <w:color w:val="auto"/>
                <w:sz w:val="24"/>
                <w:highlight w:val="none"/>
                <w:u w:val="none" w:color="auto"/>
              </w:rPr>
              <w:t>项目工程组成一览表</w:t>
            </w:r>
          </w:p>
          <w:tbl>
            <w:tblPr>
              <w:tblStyle w:val="44"/>
              <w:tblW w:w="7658"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62"/>
              <w:gridCol w:w="821"/>
              <w:gridCol w:w="5127"/>
              <w:gridCol w:w="948"/>
            </w:tblGrid>
            <w:tr w14:paraId="02A972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762" w:type="dxa"/>
                  <w:tcBorders>
                    <w:tl2br w:val="nil"/>
                    <w:tr2bl w:val="nil"/>
                  </w:tcBorders>
                  <w:vAlign w:val="center"/>
                </w:tcPr>
                <w:p w14:paraId="28AD3B1A">
                  <w:pPr>
                    <w:pStyle w:val="5"/>
                    <w:widowControl w:val="0"/>
                    <w:snapToGrid w:val="0"/>
                    <w:spacing w:line="240" w:lineRule="auto"/>
                    <w:ind w:firstLine="0"/>
                    <w:jc w:val="center"/>
                    <w:rPr>
                      <w:rFonts w:hint="eastAsia" w:ascii="Times New Roman" w:hAnsi="Times New Roman" w:eastAsia="宋体" w:cs="Times New Roman"/>
                      <w:b/>
                      <w:bCs/>
                      <w:iCs/>
                      <w:color w:val="auto"/>
                      <w:kern w:val="0"/>
                      <w:sz w:val="21"/>
                      <w:szCs w:val="21"/>
                      <w:highlight w:val="none"/>
                      <w:u w:val="none" w:color="auto"/>
                      <w:lang w:val="en-US" w:eastAsia="zh-CN"/>
                    </w:rPr>
                  </w:pPr>
                  <w:r>
                    <w:rPr>
                      <w:rFonts w:hint="eastAsia" w:ascii="Times New Roman" w:hAnsi="Times New Roman" w:eastAsia="宋体" w:cs="Times New Roman"/>
                      <w:b/>
                      <w:bCs/>
                      <w:iCs/>
                      <w:color w:val="auto"/>
                      <w:kern w:val="0"/>
                      <w:sz w:val="21"/>
                      <w:szCs w:val="21"/>
                      <w:highlight w:val="none"/>
                      <w:u w:val="none" w:color="auto"/>
                      <w:lang w:val="en-US" w:eastAsia="zh-CN"/>
                    </w:rPr>
                    <w:t>工程</w:t>
                  </w:r>
                </w:p>
                <w:p w14:paraId="1A0573CE">
                  <w:pPr>
                    <w:pStyle w:val="5"/>
                    <w:widowControl w:val="0"/>
                    <w:snapToGrid w:val="0"/>
                    <w:spacing w:line="240" w:lineRule="auto"/>
                    <w:ind w:firstLine="0"/>
                    <w:jc w:val="center"/>
                    <w:rPr>
                      <w:rFonts w:hint="eastAsia" w:ascii="Times New Roman" w:hAnsi="Times New Roman" w:eastAsia="宋体" w:cs="Times New Roman"/>
                      <w:b/>
                      <w:bCs/>
                      <w:iCs/>
                      <w:color w:val="auto"/>
                      <w:kern w:val="0"/>
                      <w:sz w:val="21"/>
                      <w:szCs w:val="21"/>
                      <w:highlight w:val="none"/>
                      <w:u w:val="none" w:color="auto"/>
                      <w:lang w:val="en-US" w:eastAsia="zh-CN"/>
                    </w:rPr>
                  </w:pPr>
                  <w:r>
                    <w:rPr>
                      <w:rFonts w:hint="eastAsia" w:ascii="Times New Roman" w:hAnsi="Times New Roman" w:eastAsia="宋体" w:cs="Times New Roman"/>
                      <w:b/>
                      <w:bCs/>
                      <w:iCs/>
                      <w:color w:val="auto"/>
                      <w:kern w:val="0"/>
                      <w:sz w:val="21"/>
                      <w:szCs w:val="21"/>
                      <w:highlight w:val="none"/>
                      <w:u w:val="none" w:color="auto"/>
                      <w:lang w:val="en-US" w:eastAsia="zh-CN"/>
                    </w:rPr>
                    <w:t>类别</w:t>
                  </w:r>
                </w:p>
              </w:tc>
              <w:tc>
                <w:tcPr>
                  <w:tcW w:w="821" w:type="dxa"/>
                  <w:tcBorders>
                    <w:tl2br w:val="nil"/>
                    <w:tr2bl w:val="nil"/>
                  </w:tcBorders>
                  <w:vAlign w:val="center"/>
                </w:tcPr>
                <w:p w14:paraId="25A51284">
                  <w:pPr>
                    <w:pStyle w:val="5"/>
                    <w:widowControl w:val="0"/>
                    <w:snapToGrid w:val="0"/>
                    <w:spacing w:line="240" w:lineRule="auto"/>
                    <w:ind w:firstLine="0"/>
                    <w:jc w:val="center"/>
                    <w:rPr>
                      <w:rFonts w:hint="eastAsia" w:ascii="Times New Roman" w:hAnsi="Times New Roman" w:eastAsia="宋体" w:cs="Times New Roman"/>
                      <w:b/>
                      <w:bCs/>
                      <w:iCs/>
                      <w:color w:val="auto"/>
                      <w:kern w:val="0"/>
                      <w:sz w:val="21"/>
                      <w:szCs w:val="21"/>
                      <w:highlight w:val="none"/>
                      <w:u w:val="none" w:color="auto"/>
                      <w:lang w:val="en-US" w:eastAsia="zh-CN"/>
                    </w:rPr>
                  </w:pPr>
                  <w:r>
                    <w:rPr>
                      <w:rFonts w:hint="eastAsia" w:ascii="Times New Roman" w:hAnsi="Times New Roman" w:eastAsia="宋体" w:cs="Times New Roman"/>
                      <w:b/>
                      <w:bCs/>
                      <w:iCs/>
                      <w:color w:val="auto"/>
                      <w:kern w:val="0"/>
                      <w:sz w:val="21"/>
                      <w:szCs w:val="21"/>
                      <w:highlight w:val="none"/>
                      <w:u w:val="none" w:color="auto"/>
                      <w:lang w:val="en-US" w:eastAsia="zh-CN"/>
                    </w:rPr>
                    <w:t>工程名称</w:t>
                  </w:r>
                </w:p>
              </w:tc>
              <w:tc>
                <w:tcPr>
                  <w:tcW w:w="5127" w:type="dxa"/>
                  <w:tcBorders>
                    <w:tl2br w:val="nil"/>
                    <w:tr2bl w:val="nil"/>
                  </w:tcBorders>
                  <w:vAlign w:val="center"/>
                </w:tcPr>
                <w:p w14:paraId="3AC28E9D">
                  <w:pPr>
                    <w:pStyle w:val="5"/>
                    <w:widowControl w:val="0"/>
                    <w:snapToGrid w:val="0"/>
                    <w:spacing w:line="240" w:lineRule="auto"/>
                    <w:ind w:firstLine="0"/>
                    <w:jc w:val="center"/>
                    <w:rPr>
                      <w:rFonts w:hint="eastAsia" w:ascii="Times New Roman" w:hAnsi="Times New Roman" w:eastAsia="宋体" w:cs="Times New Roman"/>
                      <w:b/>
                      <w:bCs/>
                      <w:iCs/>
                      <w:color w:val="auto"/>
                      <w:kern w:val="0"/>
                      <w:sz w:val="21"/>
                      <w:szCs w:val="21"/>
                      <w:highlight w:val="none"/>
                      <w:u w:val="none" w:color="auto"/>
                      <w:lang w:val="en-US" w:eastAsia="zh-CN"/>
                    </w:rPr>
                  </w:pPr>
                  <w:r>
                    <w:rPr>
                      <w:rFonts w:hint="eastAsia" w:ascii="Times New Roman" w:hAnsi="Times New Roman" w:eastAsia="宋体" w:cs="Times New Roman"/>
                      <w:b/>
                      <w:bCs/>
                      <w:iCs/>
                      <w:color w:val="auto"/>
                      <w:kern w:val="0"/>
                      <w:sz w:val="21"/>
                      <w:szCs w:val="21"/>
                      <w:highlight w:val="none"/>
                      <w:u w:val="none" w:color="auto"/>
                      <w:lang w:val="en-US" w:eastAsia="zh-CN"/>
                    </w:rPr>
                    <w:t>规模</w:t>
                  </w:r>
                </w:p>
              </w:tc>
              <w:tc>
                <w:tcPr>
                  <w:tcW w:w="948" w:type="dxa"/>
                  <w:tcBorders>
                    <w:tl2br w:val="nil"/>
                    <w:tr2bl w:val="nil"/>
                  </w:tcBorders>
                  <w:vAlign w:val="center"/>
                </w:tcPr>
                <w:p w14:paraId="080704FC">
                  <w:pPr>
                    <w:pStyle w:val="5"/>
                    <w:widowControl w:val="0"/>
                    <w:snapToGrid w:val="0"/>
                    <w:spacing w:line="240" w:lineRule="auto"/>
                    <w:ind w:firstLine="0"/>
                    <w:jc w:val="center"/>
                    <w:rPr>
                      <w:rFonts w:hint="eastAsia" w:ascii="Times New Roman" w:hAnsi="Times New Roman" w:eastAsia="宋体" w:cs="Times New Roman"/>
                      <w:b/>
                      <w:bCs/>
                      <w:iCs/>
                      <w:color w:val="auto"/>
                      <w:kern w:val="0"/>
                      <w:sz w:val="21"/>
                      <w:szCs w:val="21"/>
                      <w:highlight w:val="none"/>
                      <w:u w:val="none" w:color="auto"/>
                      <w:lang w:val="en-US" w:eastAsia="zh-CN"/>
                    </w:rPr>
                  </w:pPr>
                  <w:r>
                    <w:rPr>
                      <w:rFonts w:hint="eastAsia" w:ascii="Times New Roman" w:hAnsi="Times New Roman" w:eastAsia="宋体" w:cs="Times New Roman"/>
                      <w:b/>
                      <w:bCs/>
                      <w:iCs/>
                      <w:color w:val="auto"/>
                      <w:kern w:val="0"/>
                      <w:sz w:val="21"/>
                      <w:szCs w:val="21"/>
                      <w:highlight w:val="none"/>
                      <w:u w:val="none" w:color="auto"/>
                      <w:lang w:val="en-US" w:eastAsia="zh-CN"/>
                    </w:rPr>
                    <w:t>备注</w:t>
                  </w:r>
                </w:p>
              </w:tc>
            </w:tr>
            <w:tr w14:paraId="73E610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762" w:type="dxa"/>
                  <w:vMerge w:val="restart"/>
                  <w:tcBorders>
                    <w:tl2br w:val="nil"/>
                    <w:tr2bl w:val="nil"/>
                  </w:tcBorders>
                  <w:vAlign w:val="center"/>
                </w:tcPr>
                <w:p w14:paraId="5881A8A8">
                  <w:pPr>
                    <w:pStyle w:val="5"/>
                    <w:widowControl w:val="0"/>
                    <w:snapToGrid w:val="0"/>
                    <w:spacing w:line="240" w:lineRule="auto"/>
                    <w:ind w:firstLine="0"/>
                    <w:jc w:val="left"/>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主体工程</w:t>
                  </w:r>
                </w:p>
              </w:tc>
              <w:tc>
                <w:tcPr>
                  <w:tcW w:w="821" w:type="dxa"/>
                  <w:tcBorders>
                    <w:tl2br w:val="nil"/>
                    <w:tr2bl w:val="nil"/>
                  </w:tcBorders>
                  <w:vAlign w:val="center"/>
                </w:tcPr>
                <w:p w14:paraId="36FD1A2A">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烘干塔</w:t>
                  </w:r>
                </w:p>
              </w:tc>
              <w:tc>
                <w:tcPr>
                  <w:tcW w:w="5127" w:type="dxa"/>
                  <w:tcBorders>
                    <w:tl2br w:val="nil"/>
                    <w:tr2bl w:val="nil"/>
                  </w:tcBorders>
                  <w:vAlign w:val="center"/>
                </w:tcPr>
                <w:p w14:paraId="51688604">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位于厂区中部，已建设完成双塔一体烘干塔（包括主塔1座和副塔1座），烘干能力</w:t>
                  </w:r>
                  <w:r>
                    <w:rPr>
                      <w:rFonts w:hint="eastAsia" w:cs="Times New Roman"/>
                      <w:iCs/>
                      <w:color w:val="auto"/>
                      <w:kern w:val="0"/>
                      <w:sz w:val="21"/>
                      <w:szCs w:val="21"/>
                      <w:highlight w:val="none"/>
                      <w:u w:val="none" w:color="auto"/>
                      <w:lang w:val="en-US" w:eastAsia="zh-CN"/>
                    </w:rPr>
                    <w:t>300</w:t>
                  </w:r>
                  <w:r>
                    <w:rPr>
                      <w:rFonts w:hint="eastAsia" w:ascii="Times New Roman" w:hAnsi="Times New Roman" w:eastAsia="宋体" w:cs="Times New Roman"/>
                      <w:iCs/>
                      <w:color w:val="auto"/>
                      <w:kern w:val="0"/>
                      <w:sz w:val="21"/>
                      <w:szCs w:val="21"/>
                      <w:highlight w:val="none"/>
                      <w:u w:val="none" w:color="auto"/>
                      <w:lang w:val="en-US" w:eastAsia="zh-CN"/>
                    </w:rPr>
                    <w:t>t/d。</w:t>
                  </w:r>
                </w:p>
              </w:tc>
              <w:tc>
                <w:tcPr>
                  <w:tcW w:w="948" w:type="dxa"/>
                  <w:tcBorders>
                    <w:tl2br w:val="nil"/>
                    <w:tr2bl w:val="nil"/>
                  </w:tcBorders>
                  <w:vAlign w:val="center"/>
                </w:tcPr>
                <w:p w14:paraId="2474F0C8">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已建</w:t>
                  </w:r>
                </w:p>
              </w:tc>
            </w:tr>
            <w:tr w14:paraId="240C74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0" w:hRule="atLeast"/>
              </w:trPr>
              <w:tc>
                <w:tcPr>
                  <w:tcW w:w="762" w:type="dxa"/>
                  <w:vMerge w:val="continue"/>
                  <w:tcBorders>
                    <w:tl2br w:val="nil"/>
                    <w:tr2bl w:val="nil"/>
                  </w:tcBorders>
                  <w:vAlign w:val="center"/>
                </w:tcPr>
                <w:p w14:paraId="2E05BBCD">
                  <w:pPr>
                    <w:pStyle w:val="5"/>
                    <w:widowControl w:val="0"/>
                    <w:snapToGrid w:val="0"/>
                    <w:spacing w:line="240" w:lineRule="auto"/>
                    <w:ind w:firstLine="0"/>
                    <w:jc w:val="left"/>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56167FCD">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热风炉</w:t>
                  </w:r>
                  <w:r>
                    <w:rPr>
                      <w:rFonts w:hint="eastAsia" w:cs="Times New Roman"/>
                      <w:iCs/>
                      <w:color w:val="auto"/>
                      <w:kern w:val="0"/>
                      <w:sz w:val="21"/>
                      <w:szCs w:val="21"/>
                      <w:highlight w:val="none"/>
                      <w:u w:val="none" w:color="auto"/>
                      <w:lang w:val="en-US" w:eastAsia="zh-CN"/>
                    </w:rPr>
                    <w:t>房</w:t>
                  </w:r>
                </w:p>
              </w:tc>
              <w:tc>
                <w:tcPr>
                  <w:tcW w:w="5127" w:type="dxa"/>
                  <w:tcBorders>
                    <w:tl2br w:val="nil"/>
                    <w:tr2bl w:val="nil"/>
                  </w:tcBorders>
                  <w:vAlign w:val="center"/>
                </w:tcPr>
                <w:p w14:paraId="286A2808">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热风炉房位于厂区中部，烘干塔西侧，占地面积约为</w:t>
                  </w:r>
                  <w:r>
                    <w:rPr>
                      <w:rFonts w:hint="eastAsia" w:cs="Times New Roman"/>
                      <w:iCs/>
                      <w:color w:val="auto"/>
                      <w:kern w:val="0"/>
                      <w:sz w:val="21"/>
                      <w:szCs w:val="21"/>
                      <w:highlight w:val="none"/>
                      <w:u w:val="none" w:color="auto"/>
                      <w:lang w:val="en-US" w:eastAsia="zh-CN"/>
                    </w:rPr>
                    <w:t>8</w:t>
                  </w:r>
                  <w:r>
                    <w:rPr>
                      <w:rFonts w:hint="eastAsia" w:ascii="Times New Roman" w:hAnsi="Times New Roman" w:eastAsia="宋体" w:cs="Times New Roman"/>
                      <w:iCs/>
                      <w:color w:val="auto"/>
                      <w:kern w:val="0"/>
                      <w:sz w:val="21"/>
                      <w:szCs w:val="21"/>
                      <w:highlight w:val="none"/>
                      <w:u w:val="none" w:color="auto"/>
                      <w:lang w:val="en-US" w:eastAsia="zh-CN"/>
                    </w:rPr>
                    <w:t>0m</w:t>
                  </w:r>
                  <w:r>
                    <w:rPr>
                      <w:rFonts w:hint="eastAsia" w:ascii="Times New Roman" w:hAnsi="Times New Roman" w:eastAsia="宋体" w:cs="Times New Roman"/>
                      <w:iCs/>
                      <w:color w:val="auto"/>
                      <w:kern w:val="0"/>
                      <w:sz w:val="21"/>
                      <w:szCs w:val="21"/>
                      <w:highlight w:val="none"/>
                      <w:u w:val="none" w:color="auto"/>
                      <w:vertAlign w:val="superscript"/>
                      <w:lang w:val="en-US" w:eastAsia="zh-CN"/>
                    </w:rPr>
                    <w:t>2</w:t>
                  </w:r>
                  <w:r>
                    <w:rPr>
                      <w:rFonts w:hint="eastAsia" w:cs="Times New Roman"/>
                      <w:iCs/>
                      <w:color w:val="auto"/>
                      <w:kern w:val="0"/>
                      <w:sz w:val="21"/>
                      <w:szCs w:val="21"/>
                      <w:highlight w:val="none"/>
                      <w:u w:val="none" w:color="auto"/>
                      <w:lang w:val="en-US" w:eastAsia="zh-CN"/>
                    </w:rPr>
                    <w:t>，</w:t>
                  </w:r>
                  <w:r>
                    <w:rPr>
                      <w:rFonts w:hint="eastAsia" w:ascii="Times New Roman" w:hAnsi="Times New Roman" w:eastAsia="宋体" w:cs="Times New Roman"/>
                      <w:iCs/>
                      <w:color w:val="auto"/>
                      <w:kern w:val="0"/>
                      <w:sz w:val="21"/>
                      <w:szCs w:val="21"/>
                      <w:highlight w:val="none"/>
                      <w:u w:val="none" w:color="auto"/>
                      <w:lang w:val="en-US" w:eastAsia="zh-CN"/>
                    </w:rPr>
                    <w:t>内部已建成一台6t/h热风炉。</w:t>
                  </w:r>
                </w:p>
              </w:tc>
              <w:tc>
                <w:tcPr>
                  <w:tcW w:w="948" w:type="dxa"/>
                  <w:tcBorders>
                    <w:tl2br w:val="nil"/>
                    <w:tr2bl w:val="nil"/>
                  </w:tcBorders>
                  <w:vAlign w:val="center"/>
                </w:tcPr>
                <w:p w14:paraId="75181593">
                  <w:pPr>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热风炉已建，热风炉房新建</w:t>
                  </w:r>
                </w:p>
              </w:tc>
            </w:tr>
            <w:tr w14:paraId="287017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62" w:type="dxa"/>
                  <w:vMerge w:val="restart"/>
                  <w:tcBorders>
                    <w:tl2br w:val="nil"/>
                    <w:tr2bl w:val="nil"/>
                  </w:tcBorders>
                  <w:vAlign w:val="center"/>
                </w:tcPr>
                <w:p w14:paraId="7EA0B330">
                  <w:pPr>
                    <w:pStyle w:val="5"/>
                    <w:widowControl w:val="0"/>
                    <w:snapToGrid w:val="0"/>
                    <w:spacing w:line="240" w:lineRule="auto"/>
                    <w:ind w:firstLine="0"/>
                    <w:jc w:val="left"/>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储运工程</w:t>
                  </w:r>
                </w:p>
              </w:tc>
              <w:tc>
                <w:tcPr>
                  <w:tcW w:w="821" w:type="dxa"/>
                  <w:tcBorders>
                    <w:tl2br w:val="nil"/>
                    <w:tr2bl w:val="nil"/>
                  </w:tcBorders>
                  <w:vAlign w:val="center"/>
                </w:tcPr>
                <w:p w14:paraId="338B47E5">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single" w:color="auto"/>
                      <w:lang w:val="en-US" w:eastAsia="zh-CN"/>
                    </w:rPr>
                  </w:pPr>
                  <w:r>
                    <w:rPr>
                      <w:rFonts w:hint="eastAsia" w:cs="Times New Roman"/>
                      <w:iCs/>
                      <w:color w:val="auto"/>
                      <w:kern w:val="0"/>
                      <w:sz w:val="21"/>
                      <w:szCs w:val="21"/>
                      <w:highlight w:val="none"/>
                      <w:u w:val="single" w:color="auto"/>
                      <w:lang w:val="en-US" w:eastAsia="zh-CN"/>
                    </w:rPr>
                    <w:t>晾晒场</w:t>
                  </w:r>
                </w:p>
              </w:tc>
              <w:tc>
                <w:tcPr>
                  <w:tcW w:w="5127" w:type="dxa"/>
                  <w:tcBorders>
                    <w:tl2br w:val="nil"/>
                    <w:tr2bl w:val="nil"/>
                  </w:tcBorders>
                  <w:vAlign w:val="center"/>
                </w:tcPr>
                <w:p w14:paraId="3139350A">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single" w:color="auto"/>
                      <w:lang w:val="en-US" w:eastAsia="zh-CN"/>
                    </w:rPr>
                  </w:pPr>
                  <w:r>
                    <w:rPr>
                      <w:rFonts w:hint="eastAsia" w:ascii="Times New Roman" w:hAnsi="Times New Roman" w:eastAsia="宋体" w:cs="Times New Roman"/>
                      <w:iCs/>
                      <w:color w:val="auto"/>
                      <w:kern w:val="0"/>
                      <w:sz w:val="21"/>
                      <w:szCs w:val="21"/>
                      <w:highlight w:val="none"/>
                      <w:u w:val="single" w:color="auto"/>
                      <w:lang w:val="en-US" w:eastAsia="zh-CN"/>
                    </w:rPr>
                    <w:t>位于厂内北侧空地，</w:t>
                  </w:r>
                  <w:r>
                    <w:rPr>
                      <w:rFonts w:hint="eastAsia" w:cs="Times New Roman"/>
                      <w:iCs/>
                      <w:color w:val="auto"/>
                      <w:kern w:val="0"/>
                      <w:sz w:val="21"/>
                      <w:szCs w:val="21"/>
                      <w:highlight w:val="none"/>
                      <w:u w:val="single" w:color="auto"/>
                      <w:lang w:val="en-US" w:eastAsia="zh-CN"/>
                    </w:rPr>
                    <w:t>占地面积1000m</w:t>
                  </w:r>
                  <w:r>
                    <w:rPr>
                      <w:rFonts w:hint="eastAsia" w:cs="Times New Roman"/>
                      <w:iCs/>
                      <w:color w:val="auto"/>
                      <w:kern w:val="0"/>
                      <w:sz w:val="21"/>
                      <w:szCs w:val="21"/>
                      <w:highlight w:val="none"/>
                      <w:u w:val="single" w:color="auto"/>
                      <w:vertAlign w:val="superscript"/>
                      <w:lang w:val="en-US" w:eastAsia="zh-CN"/>
                    </w:rPr>
                    <w:t>2</w:t>
                  </w:r>
                  <w:r>
                    <w:rPr>
                      <w:rFonts w:hint="eastAsia" w:cs="Times New Roman"/>
                      <w:iCs/>
                      <w:color w:val="auto"/>
                      <w:kern w:val="0"/>
                      <w:sz w:val="21"/>
                      <w:szCs w:val="21"/>
                      <w:highlight w:val="none"/>
                      <w:u w:val="single" w:color="auto"/>
                      <w:vertAlign w:val="baseline"/>
                      <w:lang w:val="en-US" w:eastAsia="zh-CN"/>
                    </w:rPr>
                    <w:t>，湿粮</w:t>
                  </w:r>
                  <w:r>
                    <w:rPr>
                      <w:rFonts w:hint="eastAsia" w:ascii="Times New Roman" w:hAnsi="Times New Roman" w:eastAsia="宋体" w:cs="Times New Roman"/>
                      <w:iCs/>
                      <w:color w:val="auto"/>
                      <w:kern w:val="0"/>
                      <w:sz w:val="21"/>
                      <w:szCs w:val="21"/>
                      <w:highlight w:val="none"/>
                      <w:u w:val="single" w:color="auto"/>
                      <w:lang w:val="en-US" w:eastAsia="zh-CN"/>
                    </w:rPr>
                    <w:t>露天存放</w:t>
                  </w:r>
                  <w:r>
                    <w:rPr>
                      <w:rFonts w:hint="eastAsia" w:cs="Times New Roman"/>
                      <w:iCs/>
                      <w:color w:val="auto"/>
                      <w:kern w:val="0"/>
                      <w:sz w:val="21"/>
                      <w:szCs w:val="21"/>
                      <w:highlight w:val="none"/>
                      <w:u w:val="single" w:color="auto"/>
                      <w:lang w:val="en-US" w:eastAsia="zh-CN"/>
                    </w:rPr>
                    <w:t>，表面用</w:t>
                  </w:r>
                  <w:r>
                    <w:rPr>
                      <w:rFonts w:hint="eastAsia" w:cs="Times New Roman"/>
                      <w:iCs/>
                      <w:color w:val="auto"/>
                      <w:kern w:val="0"/>
                      <w:sz w:val="21"/>
                      <w:szCs w:val="21"/>
                      <w:highlight w:val="yellow"/>
                      <w:u w:val="single" w:color="auto"/>
                      <w:lang w:val="en-US" w:eastAsia="zh-CN"/>
                    </w:rPr>
                    <w:t>防尘网苫盖</w:t>
                  </w:r>
                  <w:r>
                    <w:rPr>
                      <w:rFonts w:hint="eastAsia" w:ascii="Times New Roman" w:hAnsi="Times New Roman" w:eastAsia="宋体" w:cs="Times New Roman"/>
                      <w:iCs/>
                      <w:color w:val="auto"/>
                      <w:kern w:val="0"/>
                      <w:sz w:val="21"/>
                      <w:szCs w:val="21"/>
                      <w:highlight w:val="none"/>
                      <w:u w:val="single" w:color="auto"/>
                      <w:lang w:val="en-US" w:eastAsia="zh-CN"/>
                    </w:rPr>
                    <w:t>。</w:t>
                  </w:r>
                </w:p>
              </w:tc>
              <w:tc>
                <w:tcPr>
                  <w:tcW w:w="948" w:type="dxa"/>
                  <w:tcBorders>
                    <w:tl2br w:val="nil"/>
                    <w:tr2bl w:val="nil"/>
                  </w:tcBorders>
                  <w:vAlign w:val="center"/>
                </w:tcPr>
                <w:p w14:paraId="4035A304">
                  <w:pPr>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r w14:paraId="7194E9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762" w:type="dxa"/>
                  <w:vMerge w:val="continue"/>
                  <w:tcBorders>
                    <w:tl2br w:val="nil"/>
                    <w:tr2bl w:val="nil"/>
                  </w:tcBorders>
                  <w:vAlign w:val="center"/>
                </w:tcPr>
                <w:p w14:paraId="7497838F">
                  <w:pPr>
                    <w:pStyle w:val="5"/>
                    <w:widowControl w:val="0"/>
                    <w:snapToGrid w:val="0"/>
                    <w:spacing w:line="240" w:lineRule="auto"/>
                    <w:ind w:firstLine="0"/>
                    <w:jc w:val="left"/>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671ED369">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single" w:color="auto"/>
                      <w:lang w:val="en-US" w:eastAsia="zh-CN"/>
                    </w:rPr>
                  </w:pPr>
                  <w:r>
                    <w:rPr>
                      <w:rFonts w:hint="eastAsia" w:cs="Times New Roman"/>
                      <w:iCs/>
                      <w:color w:val="auto"/>
                      <w:kern w:val="0"/>
                      <w:sz w:val="21"/>
                      <w:szCs w:val="21"/>
                      <w:highlight w:val="none"/>
                      <w:u w:val="single" w:color="auto"/>
                      <w:lang w:val="en-US" w:eastAsia="zh-CN"/>
                    </w:rPr>
                    <w:t>潮粮仓</w:t>
                  </w:r>
                </w:p>
              </w:tc>
              <w:tc>
                <w:tcPr>
                  <w:tcW w:w="5127" w:type="dxa"/>
                  <w:tcBorders>
                    <w:tl2br w:val="nil"/>
                    <w:tr2bl w:val="nil"/>
                  </w:tcBorders>
                  <w:vAlign w:val="center"/>
                </w:tcPr>
                <w:p w14:paraId="17B44A84">
                  <w:pPr>
                    <w:pStyle w:val="5"/>
                    <w:widowControl w:val="0"/>
                    <w:snapToGrid w:val="0"/>
                    <w:spacing w:line="240" w:lineRule="auto"/>
                    <w:ind w:firstLine="0"/>
                    <w:jc w:val="both"/>
                    <w:rPr>
                      <w:rFonts w:hint="default" w:ascii="Times New Roman" w:hAnsi="Times New Roman" w:eastAsia="宋体" w:cs="Times New Roman"/>
                      <w:iCs/>
                      <w:color w:val="auto"/>
                      <w:kern w:val="0"/>
                      <w:sz w:val="21"/>
                      <w:szCs w:val="21"/>
                      <w:highlight w:val="none"/>
                      <w:u w:val="single" w:color="auto"/>
                      <w:lang w:val="en-US" w:eastAsia="zh-CN"/>
                    </w:rPr>
                  </w:pPr>
                  <w:r>
                    <w:rPr>
                      <w:rFonts w:hint="eastAsia" w:cs="Times New Roman"/>
                      <w:iCs/>
                      <w:color w:val="auto"/>
                      <w:kern w:val="0"/>
                      <w:sz w:val="21"/>
                      <w:szCs w:val="21"/>
                      <w:highlight w:val="none"/>
                      <w:u w:val="single" w:color="auto"/>
                      <w:lang w:val="en-US" w:eastAsia="zh-CN"/>
                    </w:rPr>
                    <w:t>位于厂区东侧烘干塔旁，直径8.8m，高13.8m，储存能力200t，用于筛分后潮粮暂存。</w:t>
                  </w:r>
                </w:p>
              </w:tc>
              <w:tc>
                <w:tcPr>
                  <w:tcW w:w="948" w:type="dxa"/>
                  <w:tcBorders>
                    <w:tl2br w:val="nil"/>
                    <w:tr2bl w:val="nil"/>
                  </w:tcBorders>
                  <w:vAlign w:val="center"/>
                </w:tcPr>
                <w:p w14:paraId="63EFDC86">
                  <w:pPr>
                    <w:pStyle w:val="5"/>
                    <w:widowControl w:val="0"/>
                    <w:snapToGrid w:val="0"/>
                    <w:spacing w:line="240" w:lineRule="auto"/>
                    <w:ind w:firstLine="0"/>
                    <w:jc w:val="center"/>
                    <w:rPr>
                      <w:rFonts w:hint="eastAsia"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r w14:paraId="44B329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762" w:type="dxa"/>
                  <w:vMerge w:val="continue"/>
                  <w:tcBorders>
                    <w:tl2br w:val="nil"/>
                    <w:tr2bl w:val="nil"/>
                  </w:tcBorders>
                  <w:vAlign w:val="center"/>
                </w:tcPr>
                <w:p w14:paraId="69A091B7">
                  <w:pPr>
                    <w:pStyle w:val="5"/>
                    <w:widowControl w:val="0"/>
                    <w:snapToGrid w:val="0"/>
                    <w:spacing w:line="240" w:lineRule="auto"/>
                    <w:ind w:firstLine="0"/>
                    <w:jc w:val="left"/>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095F404A">
                  <w:pPr>
                    <w:pStyle w:val="5"/>
                    <w:widowControl w:val="0"/>
                    <w:snapToGrid w:val="0"/>
                    <w:spacing w:line="240" w:lineRule="auto"/>
                    <w:ind w:firstLine="0"/>
                    <w:jc w:val="center"/>
                    <w:rPr>
                      <w:rFonts w:hint="eastAsia" w:cs="Times New Roman"/>
                      <w:iCs/>
                      <w:color w:val="auto"/>
                      <w:kern w:val="0"/>
                      <w:sz w:val="21"/>
                      <w:szCs w:val="21"/>
                      <w:highlight w:val="none"/>
                      <w:u w:val="single" w:color="auto"/>
                      <w:lang w:val="en-US" w:eastAsia="zh-CN"/>
                    </w:rPr>
                  </w:pPr>
                  <w:r>
                    <w:rPr>
                      <w:rFonts w:hint="eastAsia" w:cs="Times New Roman"/>
                      <w:iCs/>
                      <w:color w:val="auto"/>
                      <w:kern w:val="0"/>
                      <w:sz w:val="21"/>
                      <w:szCs w:val="21"/>
                      <w:highlight w:val="none"/>
                      <w:u w:val="single" w:color="auto"/>
                      <w:lang w:val="en-US" w:eastAsia="zh-CN"/>
                    </w:rPr>
                    <w:t>干粮仓</w:t>
                  </w:r>
                </w:p>
              </w:tc>
              <w:tc>
                <w:tcPr>
                  <w:tcW w:w="5127" w:type="dxa"/>
                  <w:tcBorders>
                    <w:tl2br w:val="nil"/>
                    <w:tr2bl w:val="nil"/>
                  </w:tcBorders>
                  <w:vAlign w:val="center"/>
                </w:tcPr>
                <w:p w14:paraId="4119FDBA">
                  <w:pPr>
                    <w:pStyle w:val="5"/>
                    <w:widowControl w:val="0"/>
                    <w:snapToGrid w:val="0"/>
                    <w:spacing w:line="240" w:lineRule="auto"/>
                    <w:ind w:firstLine="0"/>
                    <w:jc w:val="both"/>
                    <w:rPr>
                      <w:rFonts w:hint="eastAsia" w:cs="Times New Roman"/>
                      <w:iCs/>
                      <w:color w:val="auto"/>
                      <w:kern w:val="0"/>
                      <w:sz w:val="21"/>
                      <w:szCs w:val="21"/>
                      <w:highlight w:val="none"/>
                      <w:u w:val="single" w:color="auto"/>
                      <w:lang w:val="en-US" w:eastAsia="zh-CN"/>
                    </w:rPr>
                  </w:pPr>
                  <w:r>
                    <w:rPr>
                      <w:rFonts w:hint="eastAsia" w:cs="Times New Roman"/>
                      <w:iCs/>
                      <w:color w:val="auto"/>
                      <w:kern w:val="0"/>
                      <w:sz w:val="21"/>
                      <w:szCs w:val="21"/>
                      <w:highlight w:val="none"/>
                      <w:u w:val="single" w:color="auto"/>
                      <w:lang w:val="en-US" w:eastAsia="zh-CN"/>
                    </w:rPr>
                    <w:t>位于厂区东侧潮粮仓旁，直径8.8m，高13.8m，储存能力200t，用于烘干后玉米暂存。</w:t>
                  </w:r>
                </w:p>
              </w:tc>
              <w:tc>
                <w:tcPr>
                  <w:tcW w:w="948" w:type="dxa"/>
                  <w:tcBorders>
                    <w:tl2br w:val="nil"/>
                    <w:tr2bl w:val="nil"/>
                  </w:tcBorders>
                  <w:vAlign w:val="center"/>
                </w:tcPr>
                <w:p w14:paraId="51D1079E">
                  <w:pPr>
                    <w:pStyle w:val="5"/>
                    <w:widowControl w:val="0"/>
                    <w:snapToGrid w:val="0"/>
                    <w:spacing w:line="240" w:lineRule="auto"/>
                    <w:ind w:firstLine="0"/>
                    <w:jc w:val="center"/>
                    <w:rPr>
                      <w:rFonts w:hint="eastAsia"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r w14:paraId="35CC53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762" w:type="dxa"/>
                  <w:vMerge w:val="continue"/>
                  <w:tcBorders>
                    <w:tl2br w:val="nil"/>
                    <w:tr2bl w:val="nil"/>
                  </w:tcBorders>
                  <w:vAlign w:val="center"/>
                </w:tcPr>
                <w:p w14:paraId="3D7FE16F">
                  <w:pPr>
                    <w:pStyle w:val="5"/>
                    <w:widowControl w:val="0"/>
                    <w:snapToGrid w:val="0"/>
                    <w:spacing w:line="240" w:lineRule="auto"/>
                    <w:ind w:firstLine="0"/>
                    <w:jc w:val="left"/>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623EF858">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single" w:color="auto"/>
                      <w:lang w:val="en-US" w:eastAsia="zh-CN"/>
                    </w:rPr>
                  </w:pPr>
                  <w:r>
                    <w:rPr>
                      <w:rFonts w:hint="eastAsia" w:ascii="Times New Roman" w:hAnsi="Times New Roman" w:eastAsia="宋体" w:cs="Times New Roman"/>
                      <w:iCs/>
                      <w:color w:val="auto"/>
                      <w:kern w:val="0"/>
                      <w:sz w:val="21"/>
                      <w:szCs w:val="21"/>
                      <w:highlight w:val="none"/>
                      <w:u w:val="single" w:color="auto"/>
                      <w:lang w:val="en-US" w:eastAsia="zh-CN"/>
                    </w:rPr>
                    <w:t>原料库</w:t>
                  </w:r>
                </w:p>
              </w:tc>
              <w:tc>
                <w:tcPr>
                  <w:tcW w:w="5127" w:type="dxa"/>
                  <w:tcBorders>
                    <w:tl2br w:val="nil"/>
                    <w:tr2bl w:val="nil"/>
                  </w:tcBorders>
                  <w:vAlign w:val="center"/>
                </w:tcPr>
                <w:p w14:paraId="6924931F">
                  <w:pPr>
                    <w:pStyle w:val="5"/>
                    <w:widowControl w:val="0"/>
                    <w:snapToGrid w:val="0"/>
                    <w:spacing w:line="240" w:lineRule="auto"/>
                    <w:ind w:firstLine="0"/>
                    <w:jc w:val="both"/>
                    <w:rPr>
                      <w:rFonts w:hint="default" w:ascii="Times New Roman" w:hAnsi="Times New Roman" w:eastAsia="宋体" w:cs="Times New Roman"/>
                      <w:iCs/>
                      <w:color w:val="auto"/>
                      <w:kern w:val="0"/>
                      <w:sz w:val="21"/>
                      <w:szCs w:val="21"/>
                      <w:highlight w:val="none"/>
                      <w:u w:val="single" w:color="auto"/>
                      <w:vertAlign w:val="baseline"/>
                      <w:lang w:val="en-US" w:eastAsia="zh-CN"/>
                    </w:rPr>
                  </w:pPr>
                  <w:r>
                    <w:rPr>
                      <w:rFonts w:hint="eastAsia" w:cs="Times New Roman"/>
                      <w:iCs/>
                      <w:color w:val="auto"/>
                      <w:kern w:val="0"/>
                      <w:sz w:val="21"/>
                      <w:szCs w:val="21"/>
                      <w:highlight w:val="none"/>
                      <w:u w:val="single" w:color="auto"/>
                      <w:lang w:val="en-US" w:eastAsia="zh-CN"/>
                    </w:rPr>
                    <w:t>原料库</w:t>
                  </w:r>
                  <w:r>
                    <w:rPr>
                      <w:rFonts w:hint="eastAsia" w:ascii="Times New Roman" w:hAnsi="Times New Roman" w:cs="Times New Roman"/>
                      <w:iCs/>
                      <w:color w:val="auto"/>
                      <w:kern w:val="0"/>
                      <w:sz w:val="21"/>
                      <w:szCs w:val="21"/>
                      <w:highlight w:val="none"/>
                      <w:u w:val="single" w:color="auto"/>
                      <w:lang w:val="en-US" w:eastAsia="zh-CN"/>
                    </w:rPr>
                    <w:t>面积160m</w:t>
                  </w:r>
                  <w:r>
                    <w:rPr>
                      <w:rFonts w:hint="eastAsia" w:ascii="Times New Roman" w:hAnsi="Times New Roman" w:cs="Times New Roman"/>
                      <w:iCs/>
                      <w:color w:val="auto"/>
                      <w:kern w:val="0"/>
                      <w:sz w:val="21"/>
                      <w:szCs w:val="21"/>
                      <w:highlight w:val="none"/>
                      <w:u w:val="single" w:color="auto"/>
                      <w:vertAlign w:val="superscript"/>
                      <w:lang w:val="en-US" w:eastAsia="zh-CN"/>
                    </w:rPr>
                    <w:t>2</w:t>
                  </w:r>
                  <w:r>
                    <w:rPr>
                      <w:rFonts w:hint="eastAsia" w:ascii="Times New Roman" w:hAnsi="Times New Roman" w:cs="Times New Roman"/>
                      <w:iCs/>
                      <w:color w:val="auto"/>
                      <w:kern w:val="0"/>
                      <w:sz w:val="21"/>
                      <w:szCs w:val="21"/>
                      <w:highlight w:val="none"/>
                      <w:u w:val="single" w:color="auto"/>
                      <w:vertAlign w:val="baseline"/>
                      <w:lang w:val="en-US" w:eastAsia="zh-CN"/>
                    </w:rPr>
                    <w:t>，</w:t>
                  </w:r>
                  <w:r>
                    <w:rPr>
                      <w:rFonts w:hint="eastAsia" w:cs="Times New Roman"/>
                      <w:iCs/>
                      <w:color w:val="auto"/>
                      <w:kern w:val="0"/>
                      <w:sz w:val="21"/>
                      <w:szCs w:val="21"/>
                      <w:highlight w:val="none"/>
                      <w:u w:val="single" w:color="auto"/>
                      <w:lang w:val="en-US" w:eastAsia="zh-CN"/>
                    </w:rPr>
                    <w:t>储存能力200t，</w:t>
                  </w:r>
                  <w:r>
                    <w:rPr>
                      <w:rFonts w:hint="eastAsia" w:ascii="Times New Roman" w:hAnsi="Times New Roman" w:cs="Times New Roman"/>
                      <w:iCs/>
                      <w:color w:val="auto"/>
                      <w:kern w:val="0"/>
                      <w:sz w:val="21"/>
                      <w:szCs w:val="21"/>
                      <w:highlight w:val="none"/>
                      <w:u w:val="single" w:color="auto"/>
                      <w:lang w:val="en-US" w:eastAsia="zh-CN"/>
                    </w:rPr>
                    <w:t>用于</w:t>
                  </w:r>
                  <w:r>
                    <w:rPr>
                      <w:rFonts w:hint="eastAsia" w:ascii="Times New Roman" w:hAnsi="Times New Roman" w:eastAsia="宋体" w:cs="Times New Roman"/>
                      <w:iCs/>
                      <w:color w:val="auto"/>
                      <w:kern w:val="0"/>
                      <w:sz w:val="21"/>
                      <w:szCs w:val="21"/>
                      <w:highlight w:val="none"/>
                      <w:u w:val="single" w:color="auto"/>
                      <w:lang w:val="en-US" w:eastAsia="zh-CN"/>
                    </w:rPr>
                    <w:t>储存生物质颗粒。</w:t>
                  </w:r>
                </w:p>
              </w:tc>
              <w:tc>
                <w:tcPr>
                  <w:tcW w:w="948" w:type="dxa"/>
                  <w:tcBorders>
                    <w:tl2br w:val="nil"/>
                    <w:tr2bl w:val="nil"/>
                  </w:tcBorders>
                  <w:vAlign w:val="center"/>
                </w:tcPr>
                <w:p w14:paraId="354BA8BA">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r w14:paraId="072CAB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762" w:type="dxa"/>
                  <w:vMerge w:val="continue"/>
                  <w:tcBorders>
                    <w:tl2br w:val="nil"/>
                    <w:tr2bl w:val="nil"/>
                  </w:tcBorders>
                  <w:vAlign w:val="center"/>
                </w:tcPr>
                <w:p w14:paraId="3A3F7AF1">
                  <w:pPr>
                    <w:pStyle w:val="5"/>
                    <w:widowControl w:val="0"/>
                    <w:snapToGrid w:val="0"/>
                    <w:spacing w:line="240" w:lineRule="auto"/>
                    <w:ind w:firstLine="0"/>
                    <w:jc w:val="left"/>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shd w:val="clear" w:color="auto" w:fill="auto"/>
                  <w:vAlign w:val="center"/>
                </w:tcPr>
                <w:p w14:paraId="53B5BC57">
                  <w:pPr>
                    <w:pStyle w:val="5"/>
                    <w:widowControl w:val="0"/>
                    <w:snapToGrid w:val="0"/>
                    <w:spacing w:line="240" w:lineRule="auto"/>
                    <w:ind w:firstLine="0" w:firstLineChars="0"/>
                    <w:jc w:val="center"/>
                    <w:rPr>
                      <w:rFonts w:hint="eastAsia" w:ascii="Times New Roman" w:hAnsi="Times New Roman" w:eastAsia="宋体" w:cs="Times New Roman"/>
                      <w:iCs/>
                      <w:color w:val="auto"/>
                      <w:kern w:val="0"/>
                      <w:sz w:val="21"/>
                      <w:szCs w:val="21"/>
                      <w:highlight w:val="none"/>
                      <w:u w:val="single" w:color="auto"/>
                      <w:lang w:val="en-US" w:eastAsia="zh-CN" w:bidi="ar-SA"/>
                    </w:rPr>
                  </w:pPr>
                  <w:r>
                    <w:rPr>
                      <w:rFonts w:hint="eastAsia" w:ascii="Times New Roman" w:hAnsi="Times New Roman" w:eastAsia="宋体" w:cs="Times New Roman"/>
                      <w:iCs/>
                      <w:color w:val="auto"/>
                      <w:kern w:val="0"/>
                      <w:sz w:val="21"/>
                      <w:szCs w:val="21"/>
                      <w:highlight w:val="none"/>
                      <w:u w:val="single" w:color="auto"/>
                      <w:lang w:val="en-US" w:eastAsia="zh-CN"/>
                    </w:rPr>
                    <w:t>灰渣库</w:t>
                  </w:r>
                </w:p>
              </w:tc>
              <w:tc>
                <w:tcPr>
                  <w:tcW w:w="5127" w:type="dxa"/>
                  <w:tcBorders>
                    <w:tl2br w:val="nil"/>
                    <w:tr2bl w:val="nil"/>
                  </w:tcBorders>
                  <w:shd w:val="clear" w:color="auto" w:fill="auto"/>
                  <w:vAlign w:val="center"/>
                </w:tcPr>
                <w:p w14:paraId="10043C18">
                  <w:pPr>
                    <w:pStyle w:val="5"/>
                    <w:widowControl w:val="0"/>
                    <w:snapToGrid w:val="0"/>
                    <w:spacing w:line="240" w:lineRule="auto"/>
                    <w:ind w:firstLine="0" w:firstLineChars="0"/>
                    <w:jc w:val="both"/>
                    <w:rPr>
                      <w:rFonts w:hint="eastAsia" w:ascii="Times New Roman" w:hAnsi="Times New Roman" w:eastAsia="宋体" w:cs="Times New Roman"/>
                      <w:iCs/>
                      <w:color w:val="auto"/>
                      <w:kern w:val="0"/>
                      <w:sz w:val="21"/>
                      <w:szCs w:val="21"/>
                      <w:highlight w:val="none"/>
                      <w:u w:val="single" w:color="auto"/>
                      <w:lang w:val="en-US" w:eastAsia="zh-CN" w:bidi="ar-SA"/>
                    </w:rPr>
                  </w:pPr>
                  <w:r>
                    <w:rPr>
                      <w:rFonts w:hint="eastAsia" w:cs="Times New Roman"/>
                      <w:iCs/>
                      <w:color w:val="auto"/>
                      <w:kern w:val="0"/>
                      <w:sz w:val="21"/>
                      <w:szCs w:val="21"/>
                      <w:highlight w:val="none"/>
                      <w:u w:val="single" w:color="auto"/>
                      <w:lang w:val="en-US" w:eastAsia="zh-CN"/>
                    </w:rPr>
                    <w:t>灰渣库</w:t>
                  </w:r>
                  <w:r>
                    <w:rPr>
                      <w:rFonts w:hint="eastAsia" w:ascii="Times New Roman" w:hAnsi="Times New Roman" w:eastAsia="宋体" w:cs="Times New Roman"/>
                      <w:iCs/>
                      <w:color w:val="auto"/>
                      <w:kern w:val="0"/>
                      <w:sz w:val="21"/>
                      <w:szCs w:val="21"/>
                      <w:highlight w:val="none"/>
                      <w:u w:val="single" w:color="auto"/>
                      <w:lang w:val="en-US" w:eastAsia="zh-CN"/>
                    </w:rPr>
                    <w:t>占地面积</w:t>
                  </w:r>
                  <w:r>
                    <w:rPr>
                      <w:rFonts w:hint="eastAsia" w:cs="Times New Roman"/>
                      <w:iCs/>
                      <w:color w:val="auto"/>
                      <w:kern w:val="0"/>
                      <w:sz w:val="21"/>
                      <w:szCs w:val="21"/>
                      <w:highlight w:val="none"/>
                      <w:u w:val="single" w:color="auto"/>
                      <w:lang w:val="en-US" w:eastAsia="zh-CN"/>
                    </w:rPr>
                    <w:t>100</w:t>
                  </w:r>
                  <w:r>
                    <w:rPr>
                      <w:rFonts w:hint="eastAsia" w:ascii="Times New Roman" w:hAnsi="Times New Roman" w:eastAsia="宋体" w:cs="Times New Roman"/>
                      <w:iCs/>
                      <w:color w:val="auto"/>
                      <w:kern w:val="0"/>
                      <w:sz w:val="21"/>
                      <w:szCs w:val="21"/>
                      <w:highlight w:val="none"/>
                      <w:u w:val="single" w:color="auto"/>
                      <w:lang w:val="en-US" w:eastAsia="zh-CN"/>
                    </w:rPr>
                    <w:t>m</w:t>
                  </w:r>
                  <w:r>
                    <w:rPr>
                      <w:rFonts w:hint="eastAsia" w:ascii="Times New Roman" w:hAnsi="Times New Roman" w:eastAsia="宋体" w:cs="Times New Roman"/>
                      <w:iCs/>
                      <w:color w:val="auto"/>
                      <w:kern w:val="0"/>
                      <w:sz w:val="21"/>
                      <w:szCs w:val="21"/>
                      <w:highlight w:val="none"/>
                      <w:u w:val="single" w:color="auto"/>
                      <w:vertAlign w:val="superscript"/>
                      <w:lang w:val="en-US" w:eastAsia="zh-CN"/>
                    </w:rPr>
                    <w:t>2</w:t>
                  </w:r>
                  <w:r>
                    <w:rPr>
                      <w:rFonts w:hint="eastAsia" w:ascii="Times New Roman" w:hAnsi="Times New Roman" w:eastAsia="宋体" w:cs="Times New Roman"/>
                      <w:iCs/>
                      <w:color w:val="auto"/>
                      <w:kern w:val="0"/>
                      <w:sz w:val="21"/>
                      <w:szCs w:val="21"/>
                      <w:highlight w:val="none"/>
                      <w:u w:val="single" w:color="auto"/>
                      <w:lang w:val="en-US" w:eastAsia="zh-CN"/>
                    </w:rPr>
                    <w:t>，</w:t>
                  </w:r>
                  <w:r>
                    <w:rPr>
                      <w:rFonts w:hint="eastAsia" w:cs="Times New Roman"/>
                      <w:iCs/>
                      <w:color w:val="auto"/>
                      <w:kern w:val="0"/>
                      <w:sz w:val="21"/>
                      <w:szCs w:val="21"/>
                      <w:highlight w:val="none"/>
                      <w:u w:val="single" w:color="auto"/>
                      <w:lang w:val="en-US" w:eastAsia="zh-CN"/>
                    </w:rPr>
                    <w:t>储存能力50t，</w:t>
                  </w:r>
                  <w:r>
                    <w:rPr>
                      <w:rFonts w:hint="eastAsia" w:ascii="Times New Roman" w:hAnsi="Times New Roman" w:cs="Times New Roman"/>
                      <w:iCs/>
                      <w:color w:val="auto"/>
                      <w:kern w:val="0"/>
                      <w:sz w:val="21"/>
                      <w:szCs w:val="21"/>
                      <w:highlight w:val="none"/>
                      <w:u w:val="single" w:color="auto"/>
                      <w:lang w:val="en-US" w:eastAsia="zh-CN"/>
                    </w:rPr>
                    <w:t>用于储存</w:t>
                  </w:r>
                  <w:r>
                    <w:rPr>
                      <w:rFonts w:hint="eastAsia" w:ascii="Times New Roman" w:hAnsi="Times New Roman" w:eastAsia="宋体" w:cs="Times New Roman"/>
                      <w:iCs/>
                      <w:color w:val="auto"/>
                      <w:kern w:val="0"/>
                      <w:sz w:val="21"/>
                      <w:szCs w:val="21"/>
                      <w:highlight w:val="none"/>
                      <w:u w:val="single" w:color="auto"/>
                      <w:lang w:val="en-US" w:eastAsia="zh-CN"/>
                    </w:rPr>
                    <w:t>生物质</w:t>
                  </w:r>
                  <w:r>
                    <w:rPr>
                      <w:rFonts w:hint="eastAsia" w:ascii="Times New Roman" w:hAnsi="Times New Roman" w:cs="Times New Roman"/>
                      <w:iCs/>
                      <w:color w:val="auto"/>
                      <w:kern w:val="0"/>
                      <w:sz w:val="21"/>
                      <w:szCs w:val="21"/>
                      <w:highlight w:val="none"/>
                      <w:u w:val="single" w:color="auto"/>
                      <w:lang w:val="en-US" w:eastAsia="zh-CN"/>
                    </w:rPr>
                    <w:t>灰渣</w:t>
                  </w:r>
                  <w:r>
                    <w:rPr>
                      <w:rFonts w:hint="eastAsia" w:ascii="Times New Roman" w:hAnsi="Times New Roman" w:eastAsia="宋体" w:cs="Times New Roman"/>
                      <w:iCs/>
                      <w:color w:val="auto"/>
                      <w:kern w:val="0"/>
                      <w:sz w:val="21"/>
                      <w:szCs w:val="21"/>
                      <w:highlight w:val="none"/>
                      <w:u w:val="single" w:color="auto"/>
                      <w:lang w:val="en-US" w:eastAsia="zh-CN"/>
                    </w:rPr>
                    <w:t>。</w:t>
                  </w:r>
                </w:p>
              </w:tc>
              <w:tc>
                <w:tcPr>
                  <w:tcW w:w="948" w:type="dxa"/>
                  <w:tcBorders>
                    <w:tl2br w:val="nil"/>
                    <w:tr2bl w:val="nil"/>
                  </w:tcBorders>
                  <w:vAlign w:val="center"/>
                </w:tcPr>
                <w:p w14:paraId="52B5DC5C">
                  <w:pPr>
                    <w:pStyle w:val="5"/>
                    <w:widowControl w:val="0"/>
                    <w:snapToGrid w:val="0"/>
                    <w:spacing w:line="240" w:lineRule="auto"/>
                    <w:ind w:firstLine="0"/>
                    <w:jc w:val="center"/>
                    <w:rPr>
                      <w:rFonts w:hint="eastAsia"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r w14:paraId="24C43A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762" w:type="dxa"/>
                  <w:tcBorders>
                    <w:tl2br w:val="nil"/>
                    <w:tr2bl w:val="nil"/>
                  </w:tcBorders>
                  <w:vAlign w:val="center"/>
                </w:tcPr>
                <w:p w14:paraId="2EF8787A">
                  <w:pPr>
                    <w:pStyle w:val="5"/>
                    <w:widowControl w:val="0"/>
                    <w:snapToGrid w:val="0"/>
                    <w:spacing w:line="240" w:lineRule="auto"/>
                    <w:ind w:firstLine="0"/>
                    <w:jc w:val="left"/>
                    <w:rPr>
                      <w:rFonts w:hint="eastAsia" w:ascii="Times New Roman" w:hAnsi="Times New Roman" w:eastAsia="宋体" w:cs="Times New Roman"/>
                      <w:iCs/>
                      <w:strike w:val="0"/>
                      <w:dstrike w:val="0"/>
                      <w:color w:val="auto"/>
                      <w:kern w:val="0"/>
                      <w:sz w:val="21"/>
                      <w:szCs w:val="21"/>
                      <w:highlight w:val="none"/>
                      <w:u w:val="none" w:color="auto"/>
                      <w:lang w:val="en-US" w:eastAsia="zh-CN"/>
                    </w:rPr>
                  </w:pPr>
                  <w:r>
                    <w:rPr>
                      <w:rFonts w:hint="eastAsia" w:ascii="Times New Roman" w:hAnsi="Times New Roman" w:eastAsia="宋体" w:cs="Times New Roman"/>
                      <w:iCs/>
                      <w:strike w:val="0"/>
                      <w:dstrike w:val="0"/>
                      <w:color w:val="auto"/>
                      <w:kern w:val="0"/>
                      <w:sz w:val="21"/>
                      <w:szCs w:val="21"/>
                      <w:highlight w:val="none"/>
                      <w:u w:val="none" w:color="auto"/>
                      <w:lang w:val="en-US" w:eastAsia="zh-CN"/>
                    </w:rPr>
                    <w:t>辅助工程</w:t>
                  </w:r>
                </w:p>
              </w:tc>
              <w:tc>
                <w:tcPr>
                  <w:tcW w:w="821" w:type="dxa"/>
                  <w:tcBorders>
                    <w:tl2br w:val="nil"/>
                    <w:tr2bl w:val="nil"/>
                  </w:tcBorders>
                  <w:vAlign w:val="center"/>
                </w:tcPr>
                <w:p w14:paraId="618B5DF8">
                  <w:pPr>
                    <w:pStyle w:val="5"/>
                    <w:widowControl w:val="0"/>
                    <w:snapToGrid w:val="0"/>
                    <w:spacing w:line="240" w:lineRule="auto"/>
                    <w:ind w:firstLine="0"/>
                    <w:jc w:val="center"/>
                    <w:rPr>
                      <w:rFonts w:hint="eastAsia" w:ascii="Times New Roman" w:hAnsi="Times New Roman" w:eastAsia="宋体" w:cs="Times New Roman"/>
                      <w:iCs/>
                      <w:strike w:val="0"/>
                      <w:dstrike w:val="0"/>
                      <w:color w:val="auto"/>
                      <w:kern w:val="0"/>
                      <w:sz w:val="21"/>
                      <w:szCs w:val="21"/>
                      <w:highlight w:val="none"/>
                      <w:u w:val="single" w:color="auto"/>
                      <w:lang w:val="en-US" w:eastAsia="zh-CN"/>
                    </w:rPr>
                  </w:pPr>
                  <w:r>
                    <w:rPr>
                      <w:rFonts w:hint="eastAsia" w:ascii="Times New Roman" w:hAnsi="Times New Roman" w:eastAsia="宋体" w:cs="Times New Roman"/>
                      <w:iCs/>
                      <w:strike w:val="0"/>
                      <w:dstrike w:val="0"/>
                      <w:color w:val="auto"/>
                      <w:kern w:val="0"/>
                      <w:sz w:val="21"/>
                      <w:szCs w:val="21"/>
                      <w:highlight w:val="none"/>
                      <w:u w:val="single" w:color="auto"/>
                      <w:lang w:val="en-US" w:eastAsia="zh-CN"/>
                    </w:rPr>
                    <w:t>办公室</w:t>
                  </w:r>
                  <w:r>
                    <w:rPr>
                      <w:rFonts w:hint="eastAsia" w:cs="Times New Roman"/>
                      <w:iCs/>
                      <w:strike w:val="0"/>
                      <w:dstrike w:val="0"/>
                      <w:color w:val="auto"/>
                      <w:kern w:val="0"/>
                      <w:sz w:val="21"/>
                      <w:szCs w:val="21"/>
                      <w:highlight w:val="none"/>
                      <w:u w:val="single" w:color="auto"/>
                      <w:lang w:val="en-US" w:eastAsia="zh-CN"/>
                    </w:rPr>
                    <w:t>、检验室</w:t>
                  </w:r>
                </w:p>
              </w:tc>
              <w:tc>
                <w:tcPr>
                  <w:tcW w:w="5127" w:type="dxa"/>
                  <w:tcBorders>
                    <w:tl2br w:val="nil"/>
                    <w:tr2bl w:val="nil"/>
                  </w:tcBorders>
                  <w:vAlign w:val="center"/>
                </w:tcPr>
                <w:p w14:paraId="526C12F7">
                  <w:pPr>
                    <w:pStyle w:val="5"/>
                    <w:widowControl w:val="0"/>
                    <w:snapToGrid w:val="0"/>
                    <w:spacing w:line="240" w:lineRule="auto"/>
                    <w:ind w:firstLine="0"/>
                    <w:jc w:val="both"/>
                    <w:rPr>
                      <w:rFonts w:hint="eastAsia" w:ascii="Times New Roman" w:hAnsi="Times New Roman" w:eastAsia="宋体" w:cs="Times New Roman"/>
                      <w:iCs/>
                      <w:strike w:val="0"/>
                      <w:dstrike w:val="0"/>
                      <w:color w:val="auto"/>
                      <w:kern w:val="0"/>
                      <w:sz w:val="21"/>
                      <w:szCs w:val="21"/>
                      <w:highlight w:val="none"/>
                      <w:u w:val="single" w:color="auto"/>
                      <w:lang w:val="en-US" w:eastAsia="zh-CN"/>
                    </w:rPr>
                  </w:pPr>
                  <w:r>
                    <w:rPr>
                      <w:rFonts w:hint="eastAsia" w:cs="Times New Roman"/>
                      <w:iCs/>
                      <w:strike w:val="0"/>
                      <w:dstrike w:val="0"/>
                      <w:color w:val="auto"/>
                      <w:kern w:val="0"/>
                      <w:sz w:val="21"/>
                      <w:szCs w:val="21"/>
                      <w:highlight w:val="none"/>
                      <w:u w:val="single" w:color="auto"/>
                      <w:lang w:val="en-US" w:eastAsia="zh-CN"/>
                    </w:rPr>
                    <w:t>厂区东侧已建办公室，采用水分测定仪检测进出场玉米水分。</w:t>
                  </w:r>
                </w:p>
              </w:tc>
              <w:tc>
                <w:tcPr>
                  <w:tcW w:w="948" w:type="dxa"/>
                  <w:tcBorders>
                    <w:tl2br w:val="nil"/>
                    <w:tr2bl w:val="nil"/>
                  </w:tcBorders>
                  <w:vAlign w:val="center"/>
                </w:tcPr>
                <w:p w14:paraId="61842CB1">
                  <w:pPr>
                    <w:pStyle w:val="5"/>
                    <w:widowControl w:val="0"/>
                    <w:snapToGrid w:val="0"/>
                    <w:spacing w:line="240" w:lineRule="auto"/>
                    <w:ind w:firstLine="0"/>
                    <w:jc w:val="center"/>
                    <w:rPr>
                      <w:rFonts w:hint="default" w:ascii="Times New Roman" w:hAnsi="Times New Roman" w:eastAsia="宋体" w:cs="Times New Roman"/>
                      <w:iCs/>
                      <w:strike w:val="0"/>
                      <w:dstrike w:val="0"/>
                      <w:color w:val="auto"/>
                      <w:kern w:val="0"/>
                      <w:sz w:val="21"/>
                      <w:szCs w:val="21"/>
                      <w:highlight w:val="none"/>
                      <w:u w:val="none" w:color="auto"/>
                      <w:lang w:val="en-US" w:eastAsia="zh-CN"/>
                    </w:rPr>
                  </w:pPr>
                  <w:r>
                    <w:rPr>
                      <w:rFonts w:hint="eastAsia" w:cs="Times New Roman"/>
                      <w:iCs/>
                      <w:strike w:val="0"/>
                      <w:dstrike w:val="0"/>
                      <w:color w:val="auto"/>
                      <w:kern w:val="0"/>
                      <w:sz w:val="21"/>
                      <w:szCs w:val="21"/>
                      <w:highlight w:val="none"/>
                      <w:u w:val="none" w:color="auto"/>
                      <w:lang w:val="en-US" w:eastAsia="zh-CN"/>
                    </w:rPr>
                    <w:t>已建</w:t>
                  </w:r>
                </w:p>
              </w:tc>
            </w:tr>
            <w:tr w14:paraId="2C24BB1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762" w:type="dxa"/>
                  <w:vMerge w:val="restart"/>
                  <w:tcBorders>
                    <w:tl2br w:val="nil"/>
                    <w:tr2bl w:val="nil"/>
                  </w:tcBorders>
                  <w:vAlign w:val="center"/>
                </w:tcPr>
                <w:p w14:paraId="6E9147AD">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公用工程</w:t>
                  </w:r>
                </w:p>
              </w:tc>
              <w:tc>
                <w:tcPr>
                  <w:tcW w:w="821" w:type="dxa"/>
                  <w:tcBorders>
                    <w:tl2br w:val="nil"/>
                    <w:tr2bl w:val="nil"/>
                  </w:tcBorders>
                  <w:vAlign w:val="center"/>
                </w:tcPr>
                <w:p w14:paraId="06B691F2">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供热</w:t>
                  </w:r>
                </w:p>
              </w:tc>
              <w:tc>
                <w:tcPr>
                  <w:tcW w:w="5127" w:type="dxa"/>
                  <w:tcBorders>
                    <w:tl2br w:val="nil"/>
                    <w:tr2bl w:val="nil"/>
                  </w:tcBorders>
                  <w:vAlign w:val="center"/>
                </w:tcPr>
                <w:p w14:paraId="6219A3B6">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冬季</w:t>
                  </w:r>
                  <w:r>
                    <w:rPr>
                      <w:rFonts w:hint="eastAsia" w:ascii="Times New Roman" w:hAnsi="Times New Roman" w:eastAsia="宋体" w:cs="Times New Roman"/>
                      <w:iCs/>
                      <w:color w:val="auto"/>
                      <w:kern w:val="0"/>
                      <w:sz w:val="21"/>
                      <w:szCs w:val="21"/>
                      <w:highlight w:val="none"/>
                      <w:u w:val="none" w:color="auto"/>
                      <w:lang w:val="en-US" w:eastAsia="zh-CN"/>
                    </w:rPr>
                    <w:t>办公室采用电采暖。</w:t>
                  </w:r>
                </w:p>
              </w:tc>
              <w:tc>
                <w:tcPr>
                  <w:tcW w:w="948" w:type="dxa"/>
                  <w:tcBorders>
                    <w:tl2br w:val="nil"/>
                    <w:tr2bl w:val="nil"/>
                  </w:tcBorders>
                  <w:vAlign w:val="center"/>
                </w:tcPr>
                <w:p w14:paraId="3782AE71">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新建</w:t>
                  </w:r>
                </w:p>
              </w:tc>
            </w:tr>
            <w:tr w14:paraId="1A07C7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762" w:type="dxa"/>
                  <w:vMerge w:val="continue"/>
                  <w:tcBorders>
                    <w:tl2br w:val="nil"/>
                    <w:tr2bl w:val="nil"/>
                  </w:tcBorders>
                  <w:vAlign w:val="center"/>
                </w:tcPr>
                <w:p w14:paraId="5E83D9AD">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179F4282">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给水</w:t>
                  </w:r>
                </w:p>
              </w:tc>
              <w:tc>
                <w:tcPr>
                  <w:tcW w:w="5127" w:type="dxa"/>
                  <w:tcBorders>
                    <w:tl2br w:val="nil"/>
                    <w:tr2bl w:val="nil"/>
                  </w:tcBorders>
                  <w:shd w:val="clear" w:color="auto" w:fill="auto"/>
                  <w:vAlign w:val="center"/>
                </w:tcPr>
                <w:p w14:paraId="5083072A">
                  <w:pPr>
                    <w:adjustRightInd w:val="0"/>
                    <w:snapToGrid w:val="0"/>
                    <w:jc w:val="both"/>
                    <w:rPr>
                      <w:rFonts w:hint="default" w:ascii="Times New Roman" w:hAnsi="Times New Roman" w:eastAsia="宋体" w:cs="Times New Roman"/>
                      <w:iCs/>
                      <w:color w:val="auto"/>
                      <w:spacing w:val="-8"/>
                      <w:kern w:val="0"/>
                      <w:sz w:val="21"/>
                      <w:szCs w:val="21"/>
                      <w:highlight w:val="none"/>
                      <w:u w:val="none" w:color="auto"/>
                      <w:lang w:val="en-US" w:eastAsia="zh-CN" w:bidi="ar-SA"/>
                    </w:rPr>
                  </w:pPr>
                  <w:r>
                    <w:rPr>
                      <w:rFonts w:hint="eastAsia" w:eastAsia="宋体"/>
                      <w:iCs/>
                      <w:color w:val="auto"/>
                      <w:spacing w:val="-8"/>
                      <w:kern w:val="0"/>
                      <w:sz w:val="21"/>
                      <w:szCs w:val="21"/>
                      <w:highlight w:val="none"/>
                      <w:u w:val="single" w:color="auto"/>
                      <w:lang w:eastAsia="zh-CN"/>
                    </w:rPr>
                    <w:t>用水</w:t>
                  </w:r>
                  <w:r>
                    <w:rPr>
                      <w:rFonts w:hint="eastAsia" w:eastAsia="宋体"/>
                      <w:iCs/>
                      <w:color w:val="auto"/>
                      <w:spacing w:val="-8"/>
                      <w:kern w:val="0"/>
                      <w:sz w:val="21"/>
                      <w:szCs w:val="21"/>
                      <w:highlight w:val="none"/>
                      <w:u w:val="single" w:color="auto"/>
                      <w:lang w:val="en-US" w:eastAsia="zh-CN"/>
                    </w:rPr>
                    <w:t>主要为生活用水</w:t>
                  </w:r>
                  <w:r>
                    <w:rPr>
                      <w:rFonts w:hint="eastAsia" w:eastAsia="宋体"/>
                      <w:iCs/>
                      <w:color w:val="auto"/>
                      <w:spacing w:val="-8"/>
                      <w:kern w:val="0"/>
                      <w:sz w:val="21"/>
                      <w:szCs w:val="21"/>
                      <w:highlight w:val="none"/>
                      <w:u w:val="single" w:color="auto"/>
                      <w:lang w:eastAsia="zh-CN"/>
                    </w:rPr>
                    <w:t>，</w:t>
                  </w:r>
                  <w:r>
                    <w:rPr>
                      <w:rFonts w:hint="eastAsia"/>
                      <w:iCs/>
                      <w:color w:val="auto"/>
                      <w:spacing w:val="-8"/>
                      <w:kern w:val="0"/>
                      <w:sz w:val="21"/>
                      <w:szCs w:val="21"/>
                      <w:highlight w:val="none"/>
                      <w:u w:val="single" w:color="auto"/>
                      <w:lang w:val="en-US" w:eastAsia="zh-CN"/>
                    </w:rPr>
                    <w:t>来自双河镇自来水站</w:t>
                  </w:r>
                  <w:r>
                    <w:rPr>
                      <w:rFonts w:hint="eastAsia"/>
                      <w:iCs/>
                      <w:color w:val="auto"/>
                      <w:spacing w:val="-8"/>
                      <w:kern w:val="0"/>
                      <w:sz w:val="21"/>
                      <w:szCs w:val="21"/>
                      <w:highlight w:val="none"/>
                      <w:u w:val="single" w:color="auto"/>
                      <w:lang w:eastAsia="zh-CN"/>
                    </w:rPr>
                    <w:t>。</w:t>
                  </w:r>
                </w:p>
              </w:tc>
              <w:tc>
                <w:tcPr>
                  <w:tcW w:w="948" w:type="dxa"/>
                  <w:tcBorders>
                    <w:tl2br w:val="nil"/>
                    <w:tr2bl w:val="nil"/>
                  </w:tcBorders>
                  <w:vAlign w:val="center"/>
                </w:tcPr>
                <w:p w14:paraId="64F20902">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依托</w:t>
                  </w:r>
                </w:p>
              </w:tc>
            </w:tr>
            <w:tr w14:paraId="400B5B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62" w:type="dxa"/>
                  <w:vMerge w:val="continue"/>
                  <w:tcBorders>
                    <w:tl2br w:val="nil"/>
                    <w:tr2bl w:val="nil"/>
                  </w:tcBorders>
                  <w:vAlign w:val="center"/>
                </w:tcPr>
                <w:p w14:paraId="0279935F">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6E4332A8">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排水</w:t>
                  </w:r>
                </w:p>
              </w:tc>
              <w:tc>
                <w:tcPr>
                  <w:tcW w:w="5127" w:type="dxa"/>
                  <w:tcBorders>
                    <w:tl2br w:val="nil"/>
                    <w:tr2bl w:val="nil"/>
                  </w:tcBorders>
                  <w:vAlign w:val="center"/>
                </w:tcPr>
                <w:p w14:paraId="79775C69">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无生产废水产生，</w:t>
                  </w:r>
                  <w:r>
                    <w:rPr>
                      <w:rFonts w:hint="eastAsia" w:ascii="Times New Roman" w:hAnsi="Times New Roman" w:eastAsia="宋体" w:cs="Times New Roman"/>
                      <w:iCs/>
                      <w:color w:val="auto"/>
                      <w:kern w:val="0"/>
                      <w:sz w:val="21"/>
                      <w:szCs w:val="21"/>
                      <w:highlight w:val="none"/>
                      <w:u w:val="none" w:color="auto"/>
                      <w:lang w:val="en-US" w:eastAsia="zh-CN"/>
                    </w:rPr>
                    <w:t>生活污水</w:t>
                  </w:r>
                  <w:r>
                    <w:rPr>
                      <w:rFonts w:hint="eastAsia" w:cs="Times New Roman"/>
                      <w:iCs/>
                      <w:color w:val="auto"/>
                      <w:kern w:val="0"/>
                      <w:sz w:val="21"/>
                      <w:szCs w:val="21"/>
                      <w:highlight w:val="none"/>
                      <w:u w:val="none" w:color="auto"/>
                      <w:lang w:val="en-US" w:eastAsia="zh-CN"/>
                    </w:rPr>
                    <w:t>排入</w:t>
                  </w:r>
                  <w:r>
                    <w:rPr>
                      <w:rFonts w:hint="eastAsia" w:ascii="Times New Roman" w:hAnsi="Times New Roman" w:eastAsia="宋体" w:cs="Times New Roman"/>
                      <w:iCs/>
                      <w:color w:val="auto"/>
                      <w:kern w:val="0"/>
                      <w:sz w:val="21"/>
                      <w:szCs w:val="21"/>
                      <w:highlight w:val="none"/>
                      <w:u w:val="none" w:color="auto"/>
                      <w:lang w:val="en-US" w:eastAsia="zh-CN"/>
                    </w:rPr>
                    <w:t>防渗旱厕，定期清掏</w:t>
                  </w:r>
                  <w:r>
                    <w:rPr>
                      <w:rFonts w:hint="eastAsia" w:cs="Times New Roman"/>
                      <w:iCs/>
                      <w:color w:val="auto"/>
                      <w:kern w:val="0"/>
                      <w:sz w:val="21"/>
                      <w:szCs w:val="21"/>
                      <w:highlight w:val="none"/>
                      <w:u w:val="none" w:color="auto"/>
                      <w:lang w:val="en-US" w:eastAsia="zh-CN"/>
                    </w:rPr>
                    <w:t>还田</w:t>
                  </w:r>
                  <w:r>
                    <w:rPr>
                      <w:rFonts w:hint="eastAsia" w:ascii="Times New Roman" w:hAnsi="Times New Roman" w:eastAsia="宋体" w:cs="Times New Roman"/>
                      <w:iCs/>
                      <w:color w:val="auto"/>
                      <w:kern w:val="0"/>
                      <w:sz w:val="21"/>
                      <w:szCs w:val="21"/>
                      <w:highlight w:val="none"/>
                      <w:u w:val="none" w:color="auto"/>
                      <w:lang w:val="en-US" w:eastAsia="zh-CN"/>
                    </w:rPr>
                    <w:t>。</w:t>
                  </w:r>
                </w:p>
              </w:tc>
              <w:tc>
                <w:tcPr>
                  <w:tcW w:w="948" w:type="dxa"/>
                  <w:tcBorders>
                    <w:tl2br w:val="nil"/>
                    <w:tr2bl w:val="nil"/>
                  </w:tcBorders>
                  <w:vAlign w:val="center"/>
                </w:tcPr>
                <w:p w14:paraId="62922250">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r w14:paraId="6B6036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762" w:type="dxa"/>
                  <w:vMerge w:val="continue"/>
                  <w:tcBorders>
                    <w:tl2br w:val="nil"/>
                    <w:tr2bl w:val="nil"/>
                  </w:tcBorders>
                  <w:vAlign w:val="center"/>
                </w:tcPr>
                <w:p w14:paraId="0837B552">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668D4ED3">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供电</w:t>
                  </w:r>
                </w:p>
              </w:tc>
              <w:tc>
                <w:tcPr>
                  <w:tcW w:w="5127" w:type="dxa"/>
                  <w:tcBorders>
                    <w:tl2br w:val="nil"/>
                    <w:tr2bl w:val="nil"/>
                  </w:tcBorders>
                  <w:vAlign w:val="center"/>
                </w:tcPr>
                <w:p w14:paraId="6FBD0420">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依托现有</w:t>
                  </w:r>
                  <w:r>
                    <w:rPr>
                      <w:rFonts w:hint="eastAsia" w:cs="Times New Roman"/>
                      <w:iCs/>
                      <w:color w:val="auto"/>
                      <w:kern w:val="0"/>
                      <w:sz w:val="21"/>
                      <w:szCs w:val="21"/>
                      <w:highlight w:val="none"/>
                      <w:u w:val="none" w:color="auto"/>
                      <w:lang w:val="en-US" w:eastAsia="zh-CN"/>
                    </w:rPr>
                    <w:t>供电管网</w:t>
                  </w:r>
                  <w:r>
                    <w:rPr>
                      <w:rFonts w:hint="eastAsia" w:ascii="Times New Roman" w:hAnsi="Times New Roman" w:eastAsia="宋体" w:cs="Times New Roman"/>
                      <w:iCs/>
                      <w:color w:val="auto"/>
                      <w:kern w:val="0"/>
                      <w:sz w:val="21"/>
                      <w:szCs w:val="21"/>
                      <w:highlight w:val="none"/>
                      <w:u w:val="none" w:color="auto"/>
                      <w:lang w:val="en-US" w:eastAsia="zh-CN"/>
                    </w:rPr>
                    <w:t>。</w:t>
                  </w:r>
                </w:p>
              </w:tc>
              <w:tc>
                <w:tcPr>
                  <w:tcW w:w="948" w:type="dxa"/>
                  <w:tcBorders>
                    <w:tl2br w:val="nil"/>
                    <w:tr2bl w:val="nil"/>
                  </w:tcBorders>
                  <w:vAlign w:val="center"/>
                </w:tcPr>
                <w:p w14:paraId="2BB85AF0">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依托</w:t>
                  </w:r>
                </w:p>
              </w:tc>
            </w:tr>
            <w:tr w14:paraId="3A3FB2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762" w:type="dxa"/>
                  <w:vMerge w:val="restart"/>
                  <w:tcBorders>
                    <w:tl2br w:val="nil"/>
                    <w:tr2bl w:val="nil"/>
                  </w:tcBorders>
                  <w:vAlign w:val="center"/>
                </w:tcPr>
                <w:p w14:paraId="5DDFF7E9">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环保工程</w:t>
                  </w:r>
                </w:p>
              </w:tc>
              <w:tc>
                <w:tcPr>
                  <w:tcW w:w="821" w:type="dxa"/>
                  <w:vMerge w:val="restart"/>
                  <w:tcBorders>
                    <w:tl2br w:val="nil"/>
                    <w:tr2bl w:val="nil"/>
                  </w:tcBorders>
                  <w:vAlign w:val="center"/>
                </w:tcPr>
                <w:p w14:paraId="41593F8B">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废气</w:t>
                  </w:r>
                </w:p>
              </w:tc>
              <w:tc>
                <w:tcPr>
                  <w:tcW w:w="5127" w:type="dxa"/>
                  <w:tcBorders>
                    <w:tl2br w:val="nil"/>
                    <w:tr2bl w:val="nil"/>
                  </w:tcBorders>
                  <w:vAlign w:val="center"/>
                </w:tcPr>
                <w:p w14:paraId="2627E45E">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燃生物质热风炉</w:t>
                  </w:r>
                  <w:r>
                    <w:rPr>
                      <w:rFonts w:hint="eastAsia" w:cs="Times New Roman"/>
                      <w:iCs/>
                      <w:color w:val="auto"/>
                      <w:kern w:val="0"/>
                      <w:sz w:val="21"/>
                      <w:szCs w:val="21"/>
                      <w:highlight w:val="none"/>
                      <w:u w:val="none" w:color="auto"/>
                      <w:lang w:val="en-US" w:eastAsia="zh-CN"/>
                    </w:rPr>
                    <w:t>烟气</w:t>
                  </w:r>
                  <w:r>
                    <w:rPr>
                      <w:rFonts w:hint="eastAsia" w:ascii="Times New Roman" w:hAnsi="Times New Roman" w:eastAsia="宋体" w:cs="Times New Roman"/>
                      <w:iCs/>
                      <w:color w:val="auto"/>
                      <w:kern w:val="0"/>
                      <w:sz w:val="21"/>
                      <w:szCs w:val="21"/>
                      <w:highlight w:val="none"/>
                      <w:u w:val="none" w:color="auto"/>
                      <w:lang w:val="en-US" w:eastAsia="zh-CN"/>
                    </w:rPr>
                    <w:t>采用布袋除尘器处理后经已建</w:t>
                  </w:r>
                  <w:r>
                    <w:rPr>
                      <w:rFonts w:hint="eastAsia" w:cs="Times New Roman"/>
                      <w:iCs/>
                      <w:color w:val="auto"/>
                      <w:kern w:val="0"/>
                      <w:sz w:val="21"/>
                      <w:szCs w:val="21"/>
                      <w:highlight w:val="none"/>
                      <w:u w:val="none" w:color="auto"/>
                      <w:lang w:val="en-US" w:eastAsia="zh-CN"/>
                    </w:rPr>
                    <w:t>18m</w:t>
                  </w:r>
                  <w:r>
                    <w:rPr>
                      <w:rFonts w:hint="eastAsia" w:ascii="Times New Roman" w:hAnsi="Times New Roman" w:eastAsia="宋体" w:cs="Times New Roman"/>
                      <w:iCs/>
                      <w:color w:val="auto"/>
                      <w:kern w:val="0"/>
                      <w:sz w:val="21"/>
                      <w:szCs w:val="21"/>
                      <w:highlight w:val="none"/>
                      <w:u w:val="none" w:color="auto"/>
                      <w:lang w:val="en-US" w:eastAsia="zh-CN"/>
                    </w:rPr>
                    <w:t>高</w:t>
                  </w:r>
                  <w:r>
                    <w:rPr>
                      <w:rFonts w:hint="eastAsia" w:cs="Times New Roman"/>
                      <w:iCs/>
                      <w:color w:val="auto"/>
                      <w:kern w:val="0"/>
                      <w:sz w:val="21"/>
                      <w:szCs w:val="21"/>
                      <w:highlight w:val="none"/>
                      <w:u w:val="none" w:color="auto"/>
                      <w:lang w:val="en-US" w:eastAsia="zh-CN"/>
                    </w:rPr>
                    <w:t>烟囱（DA001）</w:t>
                  </w:r>
                  <w:r>
                    <w:rPr>
                      <w:rFonts w:hint="eastAsia" w:ascii="Times New Roman" w:hAnsi="Times New Roman" w:eastAsia="宋体" w:cs="Times New Roman"/>
                      <w:iCs/>
                      <w:color w:val="auto"/>
                      <w:kern w:val="0"/>
                      <w:sz w:val="21"/>
                      <w:szCs w:val="21"/>
                      <w:highlight w:val="none"/>
                      <w:u w:val="none" w:color="auto"/>
                      <w:lang w:val="en-US" w:eastAsia="zh-CN"/>
                    </w:rPr>
                    <w:t>排放。</w:t>
                  </w:r>
                </w:p>
              </w:tc>
              <w:tc>
                <w:tcPr>
                  <w:tcW w:w="948" w:type="dxa"/>
                  <w:tcBorders>
                    <w:tl2br w:val="nil"/>
                    <w:tr2bl w:val="nil"/>
                  </w:tcBorders>
                  <w:vAlign w:val="center"/>
                </w:tcPr>
                <w:p w14:paraId="7E1DC82E">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已建</w:t>
                  </w:r>
                </w:p>
              </w:tc>
            </w:tr>
            <w:tr w14:paraId="2665EF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111" w:hRule="atLeast"/>
              </w:trPr>
              <w:tc>
                <w:tcPr>
                  <w:tcW w:w="762" w:type="dxa"/>
                  <w:vMerge w:val="continue"/>
                  <w:tcBorders>
                    <w:tl2br w:val="nil"/>
                    <w:tr2bl w:val="nil"/>
                  </w:tcBorders>
                  <w:vAlign w:val="center"/>
                </w:tcPr>
                <w:p w14:paraId="08FE0DEE">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vMerge w:val="continue"/>
                  <w:tcBorders>
                    <w:tl2br w:val="nil"/>
                    <w:tr2bl w:val="nil"/>
                  </w:tcBorders>
                  <w:vAlign w:val="center"/>
                </w:tcPr>
                <w:p w14:paraId="247AA108">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p>
              </w:tc>
              <w:tc>
                <w:tcPr>
                  <w:tcW w:w="5127" w:type="dxa"/>
                  <w:tcBorders>
                    <w:tl2br w:val="nil"/>
                    <w:tr2bl w:val="nil"/>
                  </w:tcBorders>
                  <w:vAlign w:val="center"/>
                </w:tcPr>
                <w:p w14:paraId="6013332F">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single" w:color="auto"/>
                      <w:lang w:val="en-US" w:eastAsia="zh-CN"/>
                    </w:rPr>
                  </w:pPr>
                  <w:r>
                    <w:rPr>
                      <w:rFonts w:hint="eastAsia" w:ascii="Times New Roman" w:hAnsi="Times New Roman" w:eastAsia="宋体" w:cs="Times New Roman"/>
                      <w:iCs/>
                      <w:color w:val="auto"/>
                      <w:kern w:val="0"/>
                      <w:sz w:val="21"/>
                      <w:szCs w:val="21"/>
                      <w:highlight w:val="none"/>
                      <w:u w:val="single" w:color="auto"/>
                      <w:lang w:val="en-US" w:eastAsia="zh-CN"/>
                    </w:rPr>
                    <w:t>装卸粉尘：潮粮进厂后，暂存于晾晒场，表面苫盖苫布，卸料时尽量降低卸料高度，避免大风天气作业；输送带、提升机密闭，控制及减缓输送带速度，减少装卸及输送粉尘产生，可有效抑制无组织粉尘产生。</w:t>
                  </w:r>
                </w:p>
                <w:p w14:paraId="5B7A6427">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single" w:color="auto"/>
                      <w:lang w:val="en-US" w:eastAsia="zh-CN"/>
                    </w:rPr>
                  </w:pPr>
                  <w:r>
                    <w:rPr>
                      <w:rFonts w:hint="eastAsia" w:ascii="Times New Roman" w:hAnsi="Times New Roman" w:eastAsia="宋体" w:cs="Times New Roman"/>
                      <w:iCs/>
                      <w:color w:val="auto"/>
                      <w:kern w:val="0"/>
                      <w:sz w:val="21"/>
                      <w:szCs w:val="21"/>
                      <w:highlight w:val="none"/>
                      <w:u w:val="single" w:color="auto"/>
                      <w:lang w:val="en-US" w:eastAsia="zh-CN"/>
                    </w:rPr>
                    <w:t>筛分粉尘：圆筒筛外部安装密封罩，圆筒筛下方出尘口加装围挡，</w:t>
                  </w:r>
                  <w:r>
                    <w:rPr>
                      <w:rFonts w:hint="eastAsia" w:cs="Times New Roman"/>
                      <w:iCs/>
                      <w:color w:val="auto"/>
                      <w:kern w:val="0"/>
                      <w:sz w:val="21"/>
                      <w:szCs w:val="21"/>
                      <w:highlight w:val="none"/>
                      <w:u w:val="single" w:color="auto"/>
                      <w:lang w:val="en-US" w:eastAsia="zh-CN"/>
                    </w:rPr>
                    <w:t>抑制粉尘排放</w:t>
                  </w:r>
                  <w:r>
                    <w:rPr>
                      <w:rFonts w:hint="eastAsia" w:ascii="Times New Roman" w:hAnsi="Times New Roman" w:eastAsia="宋体" w:cs="Times New Roman"/>
                      <w:iCs/>
                      <w:color w:val="auto"/>
                      <w:kern w:val="0"/>
                      <w:sz w:val="21"/>
                      <w:szCs w:val="21"/>
                      <w:highlight w:val="none"/>
                      <w:u w:val="single" w:color="auto"/>
                      <w:lang w:val="en-US" w:eastAsia="zh-CN"/>
                    </w:rPr>
                    <w:t>。</w:t>
                  </w:r>
                </w:p>
                <w:p w14:paraId="1FD32F56">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single" w:color="auto"/>
                      <w:lang w:val="en-US" w:eastAsia="zh-CN"/>
                    </w:rPr>
                  </w:pPr>
                  <w:r>
                    <w:rPr>
                      <w:rFonts w:hint="eastAsia" w:ascii="Times New Roman" w:hAnsi="Times New Roman" w:eastAsia="宋体" w:cs="Times New Roman"/>
                      <w:iCs/>
                      <w:color w:val="auto"/>
                      <w:kern w:val="0"/>
                      <w:sz w:val="21"/>
                      <w:szCs w:val="21"/>
                      <w:highlight w:val="none"/>
                      <w:u w:val="single" w:color="auto"/>
                      <w:lang w:val="en-US" w:eastAsia="zh-CN"/>
                    </w:rPr>
                    <w:t>烘干粉尘：采用烘干塔外设置密闭罩，排潮口处安装加密除尘网，抑制</w:t>
                  </w:r>
                  <w:r>
                    <w:rPr>
                      <w:rFonts w:hint="eastAsia" w:cs="Times New Roman"/>
                      <w:iCs/>
                      <w:color w:val="auto"/>
                      <w:kern w:val="0"/>
                      <w:sz w:val="21"/>
                      <w:szCs w:val="21"/>
                      <w:highlight w:val="none"/>
                      <w:u w:val="single" w:color="auto"/>
                      <w:lang w:val="en-US" w:eastAsia="zh-CN"/>
                    </w:rPr>
                    <w:t>无组织</w:t>
                  </w:r>
                  <w:r>
                    <w:rPr>
                      <w:rFonts w:hint="eastAsia" w:ascii="Times New Roman" w:hAnsi="Times New Roman" w:eastAsia="宋体" w:cs="Times New Roman"/>
                      <w:iCs/>
                      <w:color w:val="auto"/>
                      <w:kern w:val="0"/>
                      <w:sz w:val="21"/>
                      <w:szCs w:val="21"/>
                      <w:highlight w:val="none"/>
                      <w:u w:val="single" w:color="auto"/>
                      <w:lang w:val="en-US" w:eastAsia="zh-CN"/>
                    </w:rPr>
                    <w:t>粉尘排放。</w:t>
                  </w:r>
                </w:p>
                <w:p w14:paraId="2E3EBBBA">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single" w:color="auto"/>
                      <w:lang w:val="en-US" w:eastAsia="zh-CN"/>
                    </w:rPr>
                    <w:t>灰渣粉尘：热风炉位于热风炉房内，除尘灰和生物质炉渣收集时洒水拌湿、</w:t>
                  </w:r>
                  <w:r>
                    <w:rPr>
                      <w:rFonts w:hint="eastAsia" w:cs="Times New Roman"/>
                      <w:iCs/>
                      <w:color w:val="auto"/>
                      <w:kern w:val="0"/>
                      <w:sz w:val="21"/>
                      <w:szCs w:val="21"/>
                      <w:highlight w:val="none"/>
                      <w:u w:val="single" w:color="auto"/>
                      <w:lang w:val="en-US" w:eastAsia="zh-CN"/>
                    </w:rPr>
                    <w:t>装袋暂存于灰渣库。</w:t>
                  </w:r>
                </w:p>
              </w:tc>
              <w:tc>
                <w:tcPr>
                  <w:tcW w:w="948" w:type="dxa"/>
                  <w:tcBorders>
                    <w:tl2br w:val="nil"/>
                    <w:tr2bl w:val="nil"/>
                  </w:tcBorders>
                  <w:vAlign w:val="center"/>
                </w:tcPr>
                <w:p w14:paraId="503C69CC">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圆筒筛密闭罩为新建，其他为已建</w:t>
                  </w:r>
                </w:p>
              </w:tc>
            </w:tr>
            <w:tr w14:paraId="549470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762" w:type="dxa"/>
                  <w:vMerge w:val="continue"/>
                  <w:tcBorders>
                    <w:tl2br w:val="nil"/>
                    <w:tr2bl w:val="nil"/>
                  </w:tcBorders>
                  <w:vAlign w:val="center"/>
                </w:tcPr>
                <w:p w14:paraId="225B8709">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26EB2985">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废水</w:t>
                  </w:r>
                </w:p>
              </w:tc>
              <w:tc>
                <w:tcPr>
                  <w:tcW w:w="5127" w:type="dxa"/>
                  <w:tcBorders>
                    <w:tl2br w:val="nil"/>
                    <w:tr2bl w:val="nil"/>
                  </w:tcBorders>
                  <w:vAlign w:val="center"/>
                </w:tcPr>
                <w:p w14:paraId="5FB8DB23">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生活污水</w:t>
                  </w:r>
                  <w:r>
                    <w:rPr>
                      <w:rFonts w:hint="eastAsia" w:cs="Times New Roman"/>
                      <w:iCs/>
                      <w:color w:val="auto"/>
                      <w:kern w:val="0"/>
                      <w:sz w:val="21"/>
                      <w:szCs w:val="21"/>
                      <w:highlight w:val="none"/>
                      <w:u w:val="none" w:color="auto"/>
                      <w:lang w:val="en-US" w:eastAsia="zh-CN"/>
                    </w:rPr>
                    <w:t>排入</w:t>
                  </w:r>
                  <w:r>
                    <w:rPr>
                      <w:rFonts w:hint="eastAsia" w:ascii="Times New Roman" w:hAnsi="Times New Roman" w:eastAsia="宋体" w:cs="Times New Roman"/>
                      <w:iCs/>
                      <w:color w:val="auto"/>
                      <w:kern w:val="0"/>
                      <w:sz w:val="21"/>
                      <w:szCs w:val="21"/>
                      <w:highlight w:val="none"/>
                      <w:u w:val="none" w:color="auto"/>
                      <w:lang w:val="en-US" w:eastAsia="zh-CN"/>
                    </w:rPr>
                    <w:t>防渗旱厕，定期清掏</w:t>
                  </w:r>
                  <w:r>
                    <w:rPr>
                      <w:rFonts w:hint="eastAsia" w:cs="Times New Roman"/>
                      <w:iCs/>
                      <w:color w:val="auto"/>
                      <w:kern w:val="0"/>
                      <w:sz w:val="21"/>
                      <w:szCs w:val="21"/>
                      <w:highlight w:val="none"/>
                      <w:u w:val="none" w:color="auto"/>
                      <w:lang w:val="en-US" w:eastAsia="zh-CN"/>
                    </w:rPr>
                    <w:t>还田</w:t>
                  </w:r>
                  <w:r>
                    <w:rPr>
                      <w:rFonts w:hint="eastAsia" w:ascii="Times New Roman" w:hAnsi="Times New Roman" w:eastAsia="宋体" w:cs="Times New Roman"/>
                      <w:iCs/>
                      <w:color w:val="auto"/>
                      <w:kern w:val="0"/>
                      <w:sz w:val="21"/>
                      <w:szCs w:val="21"/>
                      <w:highlight w:val="none"/>
                      <w:u w:val="none" w:color="auto"/>
                      <w:lang w:val="en-US" w:eastAsia="zh-CN"/>
                    </w:rPr>
                    <w:t>，不外排。</w:t>
                  </w:r>
                </w:p>
              </w:tc>
              <w:tc>
                <w:tcPr>
                  <w:tcW w:w="948" w:type="dxa"/>
                  <w:tcBorders>
                    <w:tl2br w:val="nil"/>
                    <w:tr2bl w:val="nil"/>
                  </w:tcBorders>
                  <w:vAlign w:val="center"/>
                </w:tcPr>
                <w:p w14:paraId="32C8C0D1">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r w14:paraId="508B2F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62" w:type="dxa"/>
                  <w:vMerge w:val="continue"/>
                  <w:tcBorders>
                    <w:tl2br w:val="nil"/>
                    <w:tr2bl w:val="nil"/>
                  </w:tcBorders>
                  <w:vAlign w:val="center"/>
                </w:tcPr>
                <w:p w14:paraId="659307EB">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326DD0DC">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噪声</w:t>
                  </w:r>
                </w:p>
              </w:tc>
              <w:tc>
                <w:tcPr>
                  <w:tcW w:w="5127" w:type="dxa"/>
                  <w:tcBorders>
                    <w:tl2br w:val="nil"/>
                    <w:tr2bl w:val="nil"/>
                  </w:tcBorders>
                  <w:vAlign w:val="center"/>
                </w:tcPr>
                <w:p w14:paraId="1D8F2BD6">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color w:val="auto"/>
                      <w:sz w:val="21"/>
                      <w:szCs w:val="21"/>
                      <w:highlight w:val="none"/>
                      <w:u w:val="none" w:color="auto"/>
                    </w:rPr>
                    <w:t>选用低噪声设备，采取基础减振</w:t>
                  </w:r>
                  <w:r>
                    <w:rPr>
                      <w:rFonts w:hint="eastAsia"/>
                      <w:color w:val="auto"/>
                      <w:sz w:val="21"/>
                      <w:szCs w:val="21"/>
                      <w:highlight w:val="none"/>
                      <w:u w:val="none" w:color="auto"/>
                    </w:rPr>
                    <w:t>，厂房隔声。</w:t>
                  </w:r>
                </w:p>
              </w:tc>
              <w:tc>
                <w:tcPr>
                  <w:tcW w:w="948" w:type="dxa"/>
                  <w:tcBorders>
                    <w:tl2br w:val="nil"/>
                    <w:tr2bl w:val="nil"/>
                  </w:tcBorders>
                  <w:vAlign w:val="center"/>
                </w:tcPr>
                <w:p w14:paraId="204CFD5B">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已建</w:t>
                  </w:r>
                </w:p>
              </w:tc>
            </w:tr>
            <w:tr w14:paraId="26BE3F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99" w:hRule="atLeast"/>
              </w:trPr>
              <w:tc>
                <w:tcPr>
                  <w:tcW w:w="762" w:type="dxa"/>
                  <w:vMerge w:val="continue"/>
                  <w:tcBorders>
                    <w:tl2br w:val="nil"/>
                    <w:tr2bl w:val="nil"/>
                  </w:tcBorders>
                  <w:vAlign w:val="center"/>
                </w:tcPr>
                <w:p w14:paraId="5CDD6A64">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22E2C1D3">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固体废物</w:t>
                  </w:r>
                </w:p>
              </w:tc>
              <w:tc>
                <w:tcPr>
                  <w:tcW w:w="5127" w:type="dxa"/>
                  <w:tcBorders>
                    <w:tl2br w:val="nil"/>
                    <w:tr2bl w:val="nil"/>
                  </w:tcBorders>
                  <w:vAlign w:val="center"/>
                </w:tcPr>
                <w:p w14:paraId="27E13C93">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single" w:color="auto"/>
                      <w:lang w:val="en-US" w:eastAsia="zh-CN"/>
                    </w:rPr>
                    <w:t>生活垃圾暂存于厂内密闭垃圾桶，定期由环卫部门清运；热风炉产生的炉渣和布袋除尘器产生的除尘灰经湿式收集，装袋暂存，定期外售作为肥料；除尘器布袋定期更换产生废布袋，由厂家回收处置；装卸、输送产生的原粮杂质和烘干截流粉尘装袋暂存，外售作为饲料。</w:t>
                  </w:r>
                </w:p>
              </w:tc>
              <w:tc>
                <w:tcPr>
                  <w:tcW w:w="948" w:type="dxa"/>
                  <w:tcBorders>
                    <w:tl2br w:val="nil"/>
                    <w:tr2bl w:val="nil"/>
                  </w:tcBorders>
                  <w:vAlign w:val="center"/>
                </w:tcPr>
                <w:p w14:paraId="5F684B62">
                  <w:pPr>
                    <w:pStyle w:val="5"/>
                    <w:widowControl w:val="0"/>
                    <w:snapToGrid w:val="0"/>
                    <w:spacing w:line="240" w:lineRule="auto"/>
                    <w:ind w:firstLine="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r w14:paraId="08D217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374" w:hRule="atLeast"/>
              </w:trPr>
              <w:tc>
                <w:tcPr>
                  <w:tcW w:w="762" w:type="dxa"/>
                  <w:vMerge w:val="continue"/>
                  <w:tcBorders>
                    <w:tl2br w:val="nil"/>
                    <w:tr2bl w:val="nil"/>
                  </w:tcBorders>
                  <w:vAlign w:val="center"/>
                </w:tcPr>
                <w:p w14:paraId="28FC70C9">
                  <w:pPr>
                    <w:pStyle w:val="5"/>
                    <w:widowControl w:val="0"/>
                    <w:snapToGrid w:val="0"/>
                    <w:spacing w:line="240" w:lineRule="auto"/>
                    <w:ind w:firstLine="0"/>
                    <w:jc w:val="both"/>
                    <w:rPr>
                      <w:rFonts w:hint="eastAsia" w:ascii="Times New Roman" w:hAnsi="Times New Roman" w:eastAsia="宋体" w:cs="Times New Roman"/>
                      <w:iCs/>
                      <w:color w:val="auto"/>
                      <w:kern w:val="0"/>
                      <w:sz w:val="21"/>
                      <w:szCs w:val="21"/>
                      <w:highlight w:val="none"/>
                      <w:u w:val="none" w:color="auto"/>
                      <w:lang w:val="en-US" w:eastAsia="zh-CN"/>
                    </w:rPr>
                  </w:pPr>
                </w:p>
              </w:tc>
              <w:tc>
                <w:tcPr>
                  <w:tcW w:w="821" w:type="dxa"/>
                  <w:tcBorders>
                    <w:tl2br w:val="nil"/>
                    <w:tr2bl w:val="nil"/>
                  </w:tcBorders>
                  <w:vAlign w:val="center"/>
                </w:tcPr>
                <w:p w14:paraId="604B2675">
                  <w:pPr>
                    <w:pStyle w:val="5"/>
                    <w:widowControl w:val="0"/>
                    <w:snapToGrid w:val="0"/>
                    <w:ind w:firstLine="0" w:firstLineChars="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iCs/>
                      <w:color w:val="auto"/>
                      <w:kern w:val="0"/>
                      <w:sz w:val="21"/>
                      <w:szCs w:val="21"/>
                      <w:highlight w:val="none"/>
                      <w:u w:val="none" w:color="auto"/>
                    </w:rPr>
                    <w:t>环境风险</w:t>
                  </w:r>
                </w:p>
              </w:tc>
              <w:tc>
                <w:tcPr>
                  <w:tcW w:w="5127" w:type="dxa"/>
                  <w:tcBorders>
                    <w:tl2br w:val="nil"/>
                    <w:tr2bl w:val="nil"/>
                  </w:tcBorders>
                  <w:vAlign w:val="center"/>
                </w:tcPr>
                <w:p w14:paraId="451F25DB">
                  <w:pPr>
                    <w:autoSpaceDE w:val="0"/>
                    <w:autoSpaceDN w:val="0"/>
                    <w:adjustRightInd w:val="0"/>
                    <w:snapToGrid w:val="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①合理设置生物质燃料存放地点，本项目燃料存放在单独燃料间内，远离热风炉房存放；注意生物质燃料使用安全，配备相应的消防器材，并确保消防设施好用。厂房内配备灭火器等消防器材。</w:t>
                  </w:r>
                </w:p>
                <w:p w14:paraId="552255CF">
                  <w:pPr>
                    <w:autoSpaceDE w:val="0"/>
                    <w:autoSpaceDN w:val="0"/>
                    <w:adjustRightInd w:val="0"/>
                    <w:snapToGrid w:val="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②生物质储存区内严禁吸烟，严禁带入火柴、打火机等火种。</w:t>
                  </w:r>
                </w:p>
                <w:p w14:paraId="34048A0F">
                  <w:pPr>
                    <w:autoSpaceDE w:val="0"/>
                    <w:autoSpaceDN w:val="0"/>
                    <w:adjustRightInd w:val="0"/>
                    <w:snapToGrid w:val="0"/>
                    <w:jc w:val="both"/>
                    <w:rPr>
                      <w:rFonts w:hint="eastAsia" w:ascii="Times New Roman" w:hAnsi="Times New Roman" w:eastAsia="宋体" w:cs="Times New Roman"/>
                      <w:iCs/>
                      <w:color w:val="auto"/>
                      <w:kern w:val="0"/>
                      <w:sz w:val="21"/>
                      <w:szCs w:val="21"/>
                      <w:highlight w:val="none"/>
                      <w:u w:val="none" w:color="auto"/>
                      <w:lang w:val="en-US" w:eastAsia="zh-CN"/>
                    </w:rPr>
                  </w:pPr>
                  <w:r>
                    <w:rPr>
                      <w:rFonts w:hint="eastAsia" w:ascii="Times New Roman" w:hAnsi="Times New Roman" w:eastAsia="宋体" w:cs="Times New Roman"/>
                      <w:iCs/>
                      <w:color w:val="auto"/>
                      <w:kern w:val="0"/>
                      <w:sz w:val="21"/>
                      <w:szCs w:val="21"/>
                      <w:highlight w:val="none"/>
                      <w:u w:val="none" w:color="auto"/>
                      <w:lang w:val="en-US" w:eastAsia="zh-CN"/>
                    </w:rPr>
                    <w:t>③加强宣传培训，提高员工消防安全素质。</w:t>
                  </w:r>
                </w:p>
              </w:tc>
              <w:tc>
                <w:tcPr>
                  <w:tcW w:w="948" w:type="dxa"/>
                  <w:tcBorders>
                    <w:tl2br w:val="nil"/>
                    <w:tr2bl w:val="nil"/>
                  </w:tcBorders>
                  <w:vAlign w:val="center"/>
                </w:tcPr>
                <w:p w14:paraId="3D3373E8">
                  <w:pPr>
                    <w:autoSpaceDE w:val="0"/>
                    <w:autoSpaceDN w:val="0"/>
                    <w:adjustRightInd w:val="0"/>
                    <w:snapToGrid w:val="0"/>
                    <w:jc w:val="center"/>
                    <w:rPr>
                      <w:rFonts w:hint="eastAsia" w:ascii="Times New Roman" w:hAnsi="Times New Roman" w:eastAsia="宋体" w:cs="Times New Roman"/>
                      <w:iCs/>
                      <w:color w:val="auto"/>
                      <w:kern w:val="0"/>
                      <w:sz w:val="21"/>
                      <w:szCs w:val="21"/>
                      <w:highlight w:val="none"/>
                      <w:u w:val="none" w:color="auto"/>
                      <w:lang w:val="en-US" w:eastAsia="zh-CN"/>
                    </w:rPr>
                  </w:pPr>
                  <w:r>
                    <w:rPr>
                      <w:rFonts w:hint="eastAsia" w:cs="Times New Roman"/>
                      <w:iCs/>
                      <w:color w:val="auto"/>
                      <w:kern w:val="0"/>
                      <w:sz w:val="21"/>
                      <w:szCs w:val="21"/>
                      <w:highlight w:val="none"/>
                      <w:u w:val="none" w:color="auto"/>
                      <w:lang w:val="en-US" w:eastAsia="zh-CN"/>
                    </w:rPr>
                    <w:t>已建</w:t>
                  </w:r>
                </w:p>
              </w:tc>
            </w:tr>
          </w:tbl>
          <w:p w14:paraId="47274CE2">
            <w:pPr>
              <w:adjustRightInd w:val="0"/>
              <w:snapToGrid w:val="0"/>
              <w:jc w:val="center"/>
              <w:rPr>
                <w:b/>
                <w:color w:val="auto"/>
                <w:sz w:val="24"/>
                <w:highlight w:val="none"/>
                <w:u w:val="none" w:color="auto"/>
              </w:rPr>
            </w:pPr>
          </w:p>
          <w:p w14:paraId="4ADE0B19">
            <w:pPr>
              <w:adjustRightInd w:val="0"/>
              <w:snapToGrid w:val="0"/>
              <w:jc w:val="center"/>
              <w:rPr>
                <w:b/>
                <w:iCs/>
                <w:color w:val="auto"/>
                <w:sz w:val="24"/>
                <w:highlight w:val="none"/>
                <w:u w:val="none" w:color="auto"/>
              </w:rPr>
            </w:pPr>
            <w:r>
              <w:rPr>
                <w:rFonts w:hint="eastAsia"/>
                <w:b/>
                <w:iCs/>
                <w:color w:val="auto"/>
                <w:sz w:val="24"/>
                <w:highlight w:val="none"/>
                <w:u w:val="none" w:color="auto"/>
                <w:lang w:val="en-US" w:eastAsia="zh-CN"/>
              </w:rPr>
              <w:t>表2-2主要建构筑物建筑面积</w:t>
            </w:r>
          </w:p>
          <w:tbl>
            <w:tblPr>
              <w:tblStyle w:val="29"/>
              <w:tblW w:w="4999"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7"/>
              <w:gridCol w:w="1245"/>
              <w:gridCol w:w="1448"/>
              <w:gridCol w:w="1387"/>
              <w:gridCol w:w="840"/>
              <w:gridCol w:w="1125"/>
              <w:gridCol w:w="1034"/>
            </w:tblGrid>
            <w:tr w14:paraId="4CDEFD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2" w:type="pct"/>
                  <w:tcBorders>
                    <w:tl2br w:val="nil"/>
                    <w:tr2bl w:val="nil"/>
                  </w:tcBorders>
                  <w:vAlign w:val="center"/>
                </w:tcPr>
                <w:p w14:paraId="3290DDC7">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序号</w:t>
                  </w:r>
                </w:p>
              </w:tc>
              <w:tc>
                <w:tcPr>
                  <w:tcW w:w="806" w:type="pct"/>
                  <w:tcBorders>
                    <w:tl2br w:val="nil"/>
                    <w:tr2bl w:val="nil"/>
                  </w:tcBorders>
                  <w:vAlign w:val="center"/>
                </w:tcPr>
                <w:p w14:paraId="714685A6">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项目名称</w:t>
                  </w:r>
                </w:p>
              </w:tc>
              <w:tc>
                <w:tcPr>
                  <w:tcW w:w="938" w:type="pct"/>
                  <w:tcBorders>
                    <w:tl2br w:val="nil"/>
                    <w:tr2bl w:val="nil"/>
                  </w:tcBorders>
                  <w:vAlign w:val="center"/>
                </w:tcPr>
                <w:p w14:paraId="3D87120A">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占地面积（m</w:t>
                  </w:r>
                  <w:r>
                    <w:rPr>
                      <w:rFonts w:hint="eastAsia"/>
                      <w:color w:val="auto"/>
                      <w:highlight w:val="none"/>
                      <w:u w:val="none" w:color="auto"/>
                      <w:vertAlign w:val="superscript"/>
                      <w:lang w:val="en-US" w:eastAsia="zh-CN"/>
                    </w:rPr>
                    <w:t>2</w:t>
                  </w:r>
                  <w:r>
                    <w:rPr>
                      <w:rFonts w:hint="eastAsia"/>
                      <w:color w:val="auto"/>
                      <w:highlight w:val="none"/>
                      <w:u w:val="none" w:color="auto"/>
                      <w:lang w:val="en-US" w:eastAsia="zh-CN"/>
                    </w:rPr>
                    <w:t>）</w:t>
                  </w:r>
                </w:p>
              </w:tc>
              <w:tc>
                <w:tcPr>
                  <w:tcW w:w="898" w:type="pct"/>
                  <w:tcBorders>
                    <w:tl2br w:val="nil"/>
                    <w:tr2bl w:val="nil"/>
                  </w:tcBorders>
                  <w:vAlign w:val="center"/>
                </w:tcPr>
                <w:p w14:paraId="3A82D283">
                  <w:pPr>
                    <w:autoSpaceDE w:val="0"/>
                    <w:autoSpaceDN w:val="0"/>
                    <w:adjustRightInd w:val="0"/>
                    <w:snapToGrid w:val="0"/>
                    <w:jc w:val="center"/>
                    <w:rPr>
                      <w:rFonts w:hint="eastAsia"/>
                      <w:color w:val="auto"/>
                      <w:highlight w:val="none"/>
                      <w:u w:val="none" w:color="auto"/>
                      <w:lang w:val="en-US" w:eastAsia="zh-CN"/>
                    </w:rPr>
                  </w:pPr>
                  <w:r>
                    <w:rPr>
                      <w:rFonts w:hint="eastAsia"/>
                      <w:color w:val="auto"/>
                      <w:highlight w:val="none"/>
                      <w:u w:val="none" w:color="auto"/>
                      <w:lang w:val="en-US" w:eastAsia="zh-CN"/>
                    </w:rPr>
                    <w:t>建筑面积</w:t>
                  </w:r>
                </w:p>
                <w:p w14:paraId="14E015DA">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（m</w:t>
                  </w:r>
                  <w:r>
                    <w:rPr>
                      <w:rFonts w:hint="eastAsia"/>
                      <w:color w:val="auto"/>
                      <w:highlight w:val="none"/>
                      <w:u w:val="none" w:color="auto"/>
                      <w:vertAlign w:val="superscript"/>
                      <w:lang w:val="en-US" w:eastAsia="zh-CN"/>
                    </w:rPr>
                    <w:t>2</w:t>
                  </w:r>
                  <w:r>
                    <w:rPr>
                      <w:rFonts w:hint="eastAsia"/>
                      <w:color w:val="auto"/>
                      <w:highlight w:val="none"/>
                      <w:u w:val="none" w:color="auto"/>
                      <w:lang w:val="en-US" w:eastAsia="zh-CN"/>
                    </w:rPr>
                    <w:t>）</w:t>
                  </w:r>
                </w:p>
              </w:tc>
              <w:tc>
                <w:tcPr>
                  <w:tcW w:w="544" w:type="pct"/>
                  <w:tcBorders>
                    <w:tl2br w:val="nil"/>
                    <w:tr2bl w:val="nil"/>
                  </w:tcBorders>
                  <w:vAlign w:val="center"/>
                </w:tcPr>
                <w:p w14:paraId="6480C19C">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层数</w:t>
                  </w:r>
                </w:p>
              </w:tc>
              <w:tc>
                <w:tcPr>
                  <w:tcW w:w="729" w:type="pct"/>
                  <w:tcBorders>
                    <w:tl2br w:val="nil"/>
                    <w:tr2bl w:val="nil"/>
                  </w:tcBorders>
                  <w:vAlign w:val="center"/>
                </w:tcPr>
                <w:p w14:paraId="75864046">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结构形式</w:t>
                  </w:r>
                </w:p>
              </w:tc>
              <w:tc>
                <w:tcPr>
                  <w:tcW w:w="670" w:type="pct"/>
                  <w:tcBorders>
                    <w:tl2br w:val="nil"/>
                    <w:tr2bl w:val="nil"/>
                  </w:tcBorders>
                  <w:vAlign w:val="center"/>
                </w:tcPr>
                <w:p w14:paraId="30F8CD55">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备注</w:t>
                  </w:r>
                </w:p>
              </w:tc>
            </w:tr>
            <w:tr w14:paraId="522119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2" w:type="pct"/>
                  <w:tcBorders>
                    <w:tl2br w:val="nil"/>
                    <w:tr2bl w:val="nil"/>
                  </w:tcBorders>
                  <w:vAlign w:val="center"/>
                </w:tcPr>
                <w:p w14:paraId="5C7DBE3B">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1</w:t>
                  </w:r>
                </w:p>
              </w:tc>
              <w:tc>
                <w:tcPr>
                  <w:tcW w:w="806" w:type="pct"/>
                  <w:tcBorders>
                    <w:tl2br w:val="nil"/>
                    <w:tr2bl w:val="nil"/>
                  </w:tcBorders>
                  <w:shd w:val="clear" w:color="auto" w:fill="auto"/>
                  <w:vAlign w:val="center"/>
                </w:tcPr>
                <w:p w14:paraId="24ECF0DE">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热风炉房</w:t>
                  </w:r>
                </w:p>
              </w:tc>
              <w:tc>
                <w:tcPr>
                  <w:tcW w:w="938" w:type="pct"/>
                  <w:tcBorders>
                    <w:tl2br w:val="nil"/>
                    <w:tr2bl w:val="nil"/>
                  </w:tcBorders>
                  <w:shd w:val="clear" w:color="auto" w:fill="auto"/>
                  <w:vAlign w:val="center"/>
                </w:tcPr>
                <w:p w14:paraId="50B9D82B">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80</w:t>
                  </w:r>
                </w:p>
              </w:tc>
              <w:tc>
                <w:tcPr>
                  <w:tcW w:w="898" w:type="pct"/>
                  <w:tcBorders>
                    <w:tl2br w:val="nil"/>
                    <w:tr2bl w:val="nil"/>
                  </w:tcBorders>
                  <w:shd w:val="clear" w:color="auto" w:fill="auto"/>
                  <w:vAlign w:val="center"/>
                </w:tcPr>
                <w:p w14:paraId="6DBEEADC">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80</w:t>
                  </w:r>
                </w:p>
              </w:tc>
              <w:tc>
                <w:tcPr>
                  <w:tcW w:w="544" w:type="pct"/>
                  <w:tcBorders>
                    <w:tl2br w:val="nil"/>
                    <w:tr2bl w:val="nil"/>
                  </w:tcBorders>
                  <w:shd w:val="clear" w:color="auto" w:fill="auto"/>
                  <w:vAlign w:val="center"/>
                </w:tcPr>
                <w:p w14:paraId="4FF324E9">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1</w:t>
                  </w:r>
                </w:p>
              </w:tc>
              <w:tc>
                <w:tcPr>
                  <w:tcW w:w="729" w:type="pct"/>
                  <w:tcBorders>
                    <w:tl2br w:val="nil"/>
                    <w:tr2bl w:val="nil"/>
                  </w:tcBorders>
                  <w:shd w:val="clear" w:color="auto" w:fill="auto"/>
                  <w:vAlign w:val="center"/>
                </w:tcPr>
                <w:p w14:paraId="62F0B02E">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彩钢结构</w:t>
                  </w:r>
                </w:p>
              </w:tc>
              <w:tc>
                <w:tcPr>
                  <w:tcW w:w="670" w:type="pct"/>
                  <w:tcBorders>
                    <w:tl2br w:val="nil"/>
                    <w:tr2bl w:val="nil"/>
                  </w:tcBorders>
                  <w:shd w:val="clear" w:color="auto" w:fill="auto"/>
                  <w:vAlign w:val="center"/>
                </w:tcPr>
                <w:p w14:paraId="616A79C9">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新建</w:t>
                  </w:r>
                </w:p>
              </w:tc>
            </w:tr>
            <w:tr w14:paraId="659CED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12" w:type="pct"/>
                  <w:tcBorders>
                    <w:tl2br w:val="nil"/>
                    <w:tr2bl w:val="nil"/>
                  </w:tcBorders>
                  <w:vAlign w:val="center"/>
                </w:tcPr>
                <w:p w14:paraId="30988825">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2</w:t>
                  </w:r>
                </w:p>
              </w:tc>
              <w:tc>
                <w:tcPr>
                  <w:tcW w:w="806" w:type="pct"/>
                  <w:tcBorders>
                    <w:tl2br w:val="nil"/>
                    <w:tr2bl w:val="nil"/>
                  </w:tcBorders>
                  <w:shd w:val="clear" w:color="auto" w:fill="auto"/>
                  <w:vAlign w:val="center"/>
                </w:tcPr>
                <w:p w14:paraId="77AF04B4">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办公室、检验室</w:t>
                  </w:r>
                </w:p>
              </w:tc>
              <w:tc>
                <w:tcPr>
                  <w:tcW w:w="938" w:type="pct"/>
                  <w:tcBorders>
                    <w:tl2br w:val="nil"/>
                    <w:tr2bl w:val="nil"/>
                  </w:tcBorders>
                  <w:shd w:val="clear" w:color="auto" w:fill="auto"/>
                  <w:vAlign w:val="center"/>
                </w:tcPr>
                <w:p w14:paraId="1BDF0080">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100</w:t>
                  </w:r>
                </w:p>
              </w:tc>
              <w:tc>
                <w:tcPr>
                  <w:tcW w:w="898" w:type="pct"/>
                  <w:tcBorders>
                    <w:tl2br w:val="nil"/>
                    <w:tr2bl w:val="nil"/>
                  </w:tcBorders>
                  <w:shd w:val="clear" w:color="auto" w:fill="auto"/>
                  <w:vAlign w:val="center"/>
                </w:tcPr>
                <w:p w14:paraId="60227DEC">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100</w:t>
                  </w:r>
                </w:p>
              </w:tc>
              <w:tc>
                <w:tcPr>
                  <w:tcW w:w="544" w:type="pct"/>
                  <w:tcBorders>
                    <w:tl2br w:val="nil"/>
                    <w:tr2bl w:val="nil"/>
                  </w:tcBorders>
                  <w:shd w:val="clear" w:color="auto" w:fill="auto"/>
                  <w:vAlign w:val="center"/>
                </w:tcPr>
                <w:p w14:paraId="6C9D455C">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1</w:t>
                  </w:r>
                </w:p>
              </w:tc>
              <w:tc>
                <w:tcPr>
                  <w:tcW w:w="729" w:type="pct"/>
                  <w:tcBorders>
                    <w:tl2br w:val="nil"/>
                    <w:tr2bl w:val="nil"/>
                  </w:tcBorders>
                  <w:shd w:val="clear" w:color="auto" w:fill="auto"/>
                  <w:vAlign w:val="center"/>
                </w:tcPr>
                <w:p w14:paraId="3B3977C9">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砖混结构</w:t>
                  </w:r>
                </w:p>
              </w:tc>
              <w:tc>
                <w:tcPr>
                  <w:tcW w:w="670" w:type="pct"/>
                  <w:tcBorders>
                    <w:tl2br w:val="nil"/>
                    <w:tr2bl w:val="nil"/>
                  </w:tcBorders>
                  <w:shd w:val="clear" w:color="auto" w:fill="auto"/>
                  <w:vAlign w:val="center"/>
                </w:tcPr>
                <w:p w14:paraId="3560354F">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已建</w:t>
                  </w:r>
                </w:p>
              </w:tc>
            </w:tr>
            <w:tr w14:paraId="2B2F9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2" w:type="pct"/>
                  <w:tcBorders>
                    <w:tl2br w:val="nil"/>
                    <w:tr2bl w:val="nil"/>
                  </w:tcBorders>
                  <w:vAlign w:val="center"/>
                </w:tcPr>
                <w:p w14:paraId="618A8905">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3</w:t>
                  </w:r>
                </w:p>
              </w:tc>
              <w:tc>
                <w:tcPr>
                  <w:tcW w:w="806" w:type="pct"/>
                  <w:tcBorders>
                    <w:tl2br w:val="nil"/>
                    <w:tr2bl w:val="nil"/>
                  </w:tcBorders>
                  <w:shd w:val="clear" w:color="auto" w:fill="auto"/>
                  <w:vAlign w:val="center"/>
                </w:tcPr>
                <w:p w14:paraId="57501DEE">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灰渣库</w:t>
                  </w:r>
                </w:p>
              </w:tc>
              <w:tc>
                <w:tcPr>
                  <w:tcW w:w="938" w:type="pct"/>
                  <w:tcBorders>
                    <w:tl2br w:val="nil"/>
                    <w:tr2bl w:val="nil"/>
                  </w:tcBorders>
                  <w:shd w:val="clear" w:color="auto" w:fill="auto"/>
                  <w:vAlign w:val="center"/>
                </w:tcPr>
                <w:p w14:paraId="17FFD740">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100</w:t>
                  </w:r>
                </w:p>
              </w:tc>
              <w:tc>
                <w:tcPr>
                  <w:tcW w:w="898" w:type="pct"/>
                  <w:tcBorders>
                    <w:tl2br w:val="nil"/>
                    <w:tr2bl w:val="nil"/>
                  </w:tcBorders>
                  <w:shd w:val="clear" w:color="auto" w:fill="auto"/>
                  <w:vAlign w:val="center"/>
                </w:tcPr>
                <w:p w14:paraId="29BB1995">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100</w:t>
                  </w:r>
                </w:p>
              </w:tc>
              <w:tc>
                <w:tcPr>
                  <w:tcW w:w="544" w:type="pct"/>
                  <w:tcBorders>
                    <w:tl2br w:val="nil"/>
                    <w:tr2bl w:val="nil"/>
                  </w:tcBorders>
                  <w:shd w:val="clear" w:color="auto" w:fill="auto"/>
                  <w:vAlign w:val="center"/>
                </w:tcPr>
                <w:p w14:paraId="6B9931C0">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1</w:t>
                  </w:r>
                </w:p>
              </w:tc>
              <w:tc>
                <w:tcPr>
                  <w:tcW w:w="729" w:type="pct"/>
                  <w:tcBorders>
                    <w:tl2br w:val="nil"/>
                    <w:tr2bl w:val="nil"/>
                  </w:tcBorders>
                  <w:shd w:val="clear" w:color="auto" w:fill="auto"/>
                  <w:vAlign w:val="center"/>
                </w:tcPr>
                <w:p w14:paraId="23B99085">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砖混结构</w:t>
                  </w:r>
                </w:p>
              </w:tc>
              <w:tc>
                <w:tcPr>
                  <w:tcW w:w="670" w:type="pct"/>
                  <w:tcBorders>
                    <w:tl2br w:val="nil"/>
                    <w:tr2bl w:val="nil"/>
                  </w:tcBorders>
                  <w:shd w:val="clear" w:color="auto" w:fill="auto"/>
                  <w:vAlign w:val="center"/>
                </w:tcPr>
                <w:p w14:paraId="27A74238">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已建</w:t>
                  </w:r>
                </w:p>
              </w:tc>
            </w:tr>
            <w:tr w14:paraId="7CC827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2" w:type="pct"/>
                  <w:tcBorders>
                    <w:tl2br w:val="nil"/>
                    <w:tr2bl w:val="nil"/>
                  </w:tcBorders>
                  <w:vAlign w:val="center"/>
                </w:tcPr>
                <w:p w14:paraId="08AAF77B">
                  <w:pPr>
                    <w:autoSpaceDE w:val="0"/>
                    <w:autoSpaceDN w:val="0"/>
                    <w:adjustRightInd w:val="0"/>
                    <w:snapToGrid w:val="0"/>
                    <w:jc w:val="center"/>
                    <w:rPr>
                      <w:rFonts w:hint="default"/>
                      <w:color w:val="auto"/>
                      <w:highlight w:val="none"/>
                      <w:u w:val="none" w:color="auto"/>
                      <w:lang w:val="en-US" w:eastAsia="zh-CN"/>
                    </w:rPr>
                  </w:pPr>
                  <w:r>
                    <w:rPr>
                      <w:rFonts w:hint="eastAsia"/>
                      <w:color w:val="auto"/>
                      <w:highlight w:val="none"/>
                      <w:u w:val="none" w:color="auto"/>
                      <w:lang w:val="en-US" w:eastAsia="zh-CN"/>
                    </w:rPr>
                    <w:t>4</w:t>
                  </w:r>
                </w:p>
              </w:tc>
              <w:tc>
                <w:tcPr>
                  <w:tcW w:w="806" w:type="pct"/>
                  <w:tcBorders>
                    <w:tl2br w:val="nil"/>
                    <w:tr2bl w:val="nil"/>
                  </w:tcBorders>
                  <w:shd w:val="clear" w:color="auto" w:fill="auto"/>
                  <w:vAlign w:val="center"/>
                </w:tcPr>
                <w:p w14:paraId="5EC2E53E">
                  <w:pPr>
                    <w:autoSpaceDE w:val="0"/>
                    <w:autoSpaceDN w:val="0"/>
                    <w:adjustRightInd w:val="0"/>
                    <w:snapToGrid w:val="0"/>
                    <w:jc w:val="center"/>
                    <w:rPr>
                      <w:rFonts w:hint="eastAsia" w:ascii="Times New Roman" w:hAnsi="Times New Roman" w:eastAsia="宋体" w:cs="Times New Roman"/>
                      <w:color w:val="auto"/>
                      <w:kern w:val="2"/>
                      <w:sz w:val="21"/>
                      <w:szCs w:val="24"/>
                      <w:highlight w:val="none"/>
                      <w:u w:val="none" w:color="auto"/>
                      <w:lang w:val="en-US" w:eastAsia="zh-CN" w:bidi="ar-SA"/>
                    </w:rPr>
                  </w:pPr>
                  <w:r>
                    <w:rPr>
                      <w:rFonts w:hint="eastAsia"/>
                      <w:color w:val="auto"/>
                      <w:highlight w:val="none"/>
                      <w:u w:val="none" w:color="auto"/>
                      <w:lang w:val="en-US" w:eastAsia="zh-CN"/>
                    </w:rPr>
                    <w:t>原料仓</w:t>
                  </w:r>
                </w:p>
              </w:tc>
              <w:tc>
                <w:tcPr>
                  <w:tcW w:w="938" w:type="pct"/>
                  <w:tcBorders>
                    <w:tl2br w:val="nil"/>
                    <w:tr2bl w:val="nil"/>
                  </w:tcBorders>
                  <w:shd w:val="clear" w:color="auto" w:fill="auto"/>
                  <w:vAlign w:val="center"/>
                </w:tcPr>
                <w:p w14:paraId="69E1A870">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160</w:t>
                  </w:r>
                </w:p>
              </w:tc>
              <w:tc>
                <w:tcPr>
                  <w:tcW w:w="898" w:type="pct"/>
                  <w:tcBorders>
                    <w:tl2br w:val="nil"/>
                    <w:tr2bl w:val="nil"/>
                  </w:tcBorders>
                  <w:shd w:val="clear" w:color="auto" w:fill="auto"/>
                  <w:vAlign w:val="center"/>
                </w:tcPr>
                <w:p w14:paraId="7FE47337">
                  <w:pPr>
                    <w:autoSpaceDE w:val="0"/>
                    <w:autoSpaceDN w:val="0"/>
                    <w:adjustRightInd w:val="0"/>
                    <w:snapToGrid w:val="0"/>
                    <w:jc w:val="center"/>
                    <w:rPr>
                      <w:rFonts w:hint="eastAsia"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160</w:t>
                  </w:r>
                </w:p>
              </w:tc>
              <w:tc>
                <w:tcPr>
                  <w:tcW w:w="544" w:type="pct"/>
                  <w:tcBorders>
                    <w:tl2br w:val="nil"/>
                    <w:tr2bl w:val="nil"/>
                  </w:tcBorders>
                  <w:shd w:val="clear" w:color="auto" w:fill="auto"/>
                  <w:vAlign w:val="center"/>
                </w:tcPr>
                <w:p w14:paraId="18D84143">
                  <w:pPr>
                    <w:autoSpaceDE w:val="0"/>
                    <w:autoSpaceDN w:val="0"/>
                    <w:adjustRightInd w:val="0"/>
                    <w:snapToGrid w:val="0"/>
                    <w:jc w:val="center"/>
                    <w:rPr>
                      <w:rFonts w:hint="default"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1</w:t>
                  </w:r>
                </w:p>
              </w:tc>
              <w:tc>
                <w:tcPr>
                  <w:tcW w:w="729" w:type="pct"/>
                  <w:tcBorders>
                    <w:tl2br w:val="nil"/>
                    <w:tr2bl w:val="nil"/>
                  </w:tcBorders>
                  <w:shd w:val="clear" w:color="auto" w:fill="auto"/>
                  <w:vAlign w:val="center"/>
                </w:tcPr>
                <w:p w14:paraId="1F77DE40">
                  <w:pPr>
                    <w:autoSpaceDE w:val="0"/>
                    <w:autoSpaceDN w:val="0"/>
                    <w:adjustRightInd w:val="0"/>
                    <w:snapToGrid w:val="0"/>
                    <w:jc w:val="center"/>
                    <w:rPr>
                      <w:rFonts w:hint="eastAsia"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砖混结构</w:t>
                  </w:r>
                </w:p>
              </w:tc>
              <w:tc>
                <w:tcPr>
                  <w:tcW w:w="670" w:type="pct"/>
                  <w:tcBorders>
                    <w:tl2br w:val="nil"/>
                    <w:tr2bl w:val="nil"/>
                  </w:tcBorders>
                  <w:shd w:val="clear" w:color="auto" w:fill="auto"/>
                  <w:vAlign w:val="center"/>
                </w:tcPr>
                <w:p w14:paraId="70A49F3B">
                  <w:pPr>
                    <w:autoSpaceDE w:val="0"/>
                    <w:autoSpaceDN w:val="0"/>
                    <w:adjustRightInd w:val="0"/>
                    <w:snapToGrid w:val="0"/>
                    <w:jc w:val="center"/>
                    <w:rPr>
                      <w:rFonts w:hint="eastAsia" w:ascii="Times New Roman" w:hAnsi="Times New Roman" w:eastAsia="宋体" w:cs="Times New Roman"/>
                      <w:color w:val="auto"/>
                      <w:kern w:val="2"/>
                      <w:sz w:val="21"/>
                      <w:szCs w:val="24"/>
                      <w:highlight w:val="none"/>
                      <w:u w:val="none" w:color="auto"/>
                      <w:lang w:val="en-US" w:eastAsia="zh-CN" w:bidi="ar-SA"/>
                    </w:rPr>
                  </w:pPr>
                  <w:r>
                    <w:rPr>
                      <w:rFonts w:hint="eastAsia" w:cs="Times New Roman"/>
                      <w:color w:val="auto"/>
                      <w:kern w:val="2"/>
                      <w:sz w:val="21"/>
                      <w:szCs w:val="24"/>
                      <w:highlight w:val="none"/>
                      <w:u w:val="none" w:color="auto"/>
                      <w:lang w:val="en-US" w:eastAsia="zh-CN" w:bidi="ar-SA"/>
                    </w:rPr>
                    <w:t>已建</w:t>
                  </w:r>
                </w:p>
              </w:tc>
            </w:tr>
          </w:tbl>
          <w:p w14:paraId="469D5CF9">
            <w:pPr>
              <w:snapToGrid w:val="0"/>
              <w:spacing w:line="360" w:lineRule="auto"/>
              <w:ind w:firstLine="482" w:firstLineChars="200"/>
              <w:rPr>
                <w:b/>
                <w:color w:val="auto"/>
                <w:sz w:val="24"/>
                <w:highlight w:val="none"/>
                <w:u w:val="none" w:color="auto"/>
              </w:rPr>
            </w:pPr>
            <w:r>
              <w:rPr>
                <w:rFonts w:hint="eastAsia"/>
                <w:b/>
                <w:bCs/>
                <w:color w:val="auto"/>
                <w:sz w:val="24"/>
                <w:highlight w:val="none"/>
                <w:u w:val="none" w:color="auto"/>
                <w:lang w:val="en-US" w:eastAsia="zh-CN"/>
              </w:rPr>
              <w:t>2.3</w:t>
            </w:r>
            <w:r>
              <w:rPr>
                <w:rFonts w:hint="eastAsia"/>
                <w:b/>
                <w:bCs/>
                <w:color w:val="auto"/>
                <w:sz w:val="24"/>
                <w:highlight w:val="none"/>
                <w:u w:val="none" w:color="auto"/>
              </w:rPr>
              <w:t>项目产品方案</w:t>
            </w:r>
          </w:p>
          <w:p w14:paraId="7A2E993A">
            <w:pPr>
              <w:snapToGrid w:val="0"/>
              <w:spacing w:line="360" w:lineRule="auto"/>
              <w:ind w:firstLine="480" w:firstLineChars="200"/>
              <w:rPr>
                <w:rFonts w:hint="eastAsia"/>
                <w:color w:val="auto"/>
                <w:sz w:val="24"/>
                <w:highlight w:val="none"/>
                <w:u w:val="single" w:color="auto"/>
                <w:lang w:val="en-US" w:eastAsia="zh-CN"/>
              </w:rPr>
            </w:pPr>
            <w:r>
              <w:rPr>
                <w:rFonts w:hint="eastAsia"/>
                <w:color w:val="auto"/>
                <w:sz w:val="24"/>
                <w:highlight w:val="none"/>
                <w:u w:val="none" w:color="auto"/>
                <w:lang w:val="en-US" w:eastAsia="zh-CN"/>
              </w:rPr>
              <w:t>本项目已建成300t/d烘干塔及配套的热风炉，年烘干时间段为11月-3月，时间跨度约为151d，但烘干作业为间歇性作业，烘干设备是否启动取决于湿粮的收购情况，</w:t>
            </w:r>
            <w:r>
              <w:rPr>
                <w:rFonts w:hint="eastAsia"/>
                <w:color w:val="auto"/>
                <w:sz w:val="24"/>
                <w:highlight w:val="none"/>
                <w:u w:val="single" w:color="auto"/>
                <w:lang w:val="en-US" w:eastAsia="zh-CN"/>
              </w:rPr>
              <w:t>年实际烘干天数约为50d，年烘干湿玉米15000t。</w:t>
            </w:r>
          </w:p>
          <w:p w14:paraId="4059D827">
            <w:pPr>
              <w:snapToGrid w:val="0"/>
              <w:spacing w:line="360" w:lineRule="auto"/>
              <w:ind w:firstLine="480" w:firstLineChars="200"/>
              <w:rPr>
                <w:color w:val="auto"/>
                <w:sz w:val="24"/>
                <w:highlight w:val="none"/>
                <w:u w:val="none" w:color="auto"/>
              </w:rPr>
            </w:pPr>
            <w:r>
              <w:rPr>
                <w:rFonts w:hint="eastAsia"/>
                <w:color w:val="auto"/>
                <w:sz w:val="24"/>
                <w:highlight w:val="none"/>
                <w:u w:val="none" w:color="auto"/>
                <w:lang w:val="en-US" w:eastAsia="zh-CN"/>
              </w:rPr>
              <w:t>本</w:t>
            </w:r>
            <w:r>
              <w:rPr>
                <w:rFonts w:hint="eastAsia"/>
                <w:color w:val="auto"/>
                <w:sz w:val="24"/>
                <w:highlight w:val="none"/>
                <w:u w:val="none" w:color="auto"/>
              </w:rPr>
              <w:t>项目产品方案见表</w:t>
            </w:r>
            <w:r>
              <w:rPr>
                <w:rFonts w:hint="eastAsia"/>
                <w:color w:val="auto"/>
                <w:sz w:val="24"/>
                <w:highlight w:val="none"/>
                <w:u w:val="none" w:color="auto"/>
                <w:lang w:val="en-US" w:eastAsia="zh-CN"/>
              </w:rPr>
              <w:t>2-3</w:t>
            </w:r>
            <w:r>
              <w:rPr>
                <w:rFonts w:hint="eastAsia"/>
                <w:color w:val="auto"/>
                <w:sz w:val="24"/>
                <w:highlight w:val="none"/>
                <w:u w:val="none" w:color="auto"/>
              </w:rPr>
              <w:t>。</w:t>
            </w:r>
          </w:p>
          <w:p w14:paraId="1C63448C">
            <w:pPr>
              <w:adjustRightInd w:val="0"/>
              <w:snapToGrid w:val="0"/>
              <w:jc w:val="center"/>
              <w:rPr>
                <w:b/>
                <w:color w:val="auto"/>
                <w:sz w:val="24"/>
                <w:highlight w:val="none"/>
                <w:u w:val="none" w:color="auto"/>
              </w:rPr>
            </w:pPr>
            <w:r>
              <w:rPr>
                <w:b/>
                <w:iCs/>
                <w:color w:val="auto"/>
                <w:sz w:val="24"/>
                <w:highlight w:val="none"/>
                <w:u w:val="none" w:color="auto"/>
              </w:rPr>
              <w:t>表</w:t>
            </w:r>
            <w:r>
              <w:rPr>
                <w:rFonts w:hint="eastAsia"/>
                <w:b/>
                <w:iCs/>
                <w:color w:val="auto"/>
                <w:sz w:val="24"/>
                <w:highlight w:val="none"/>
                <w:u w:val="none" w:color="auto"/>
                <w:lang w:val="en-US" w:eastAsia="zh-CN"/>
              </w:rPr>
              <w:t>2-3</w:t>
            </w:r>
            <w:r>
              <w:rPr>
                <w:b/>
                <w:iCs/>
                <w:color w:val="auto"/>
                <w:sz w:val="24"/>
                <w:highlight w:val="none"/>
                <w:u w:val="none" w:color="auto"/>
              </w:rPr>
              <w:t>项目产品方案一览表</w:t>
            </w:r>
          </w:p>
          <w:tbl>
            <w:tblPr>
              <w:tblStyle w:val="28"/>
              <w:tblW w:w="7797"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953"/>
              <w:gridCol w:w="1611"/>
              <w:gridCol w:w="1329"/>
              <w:gridCol w:w="1327"/>
              <w:gridCol w:w="2577"/>
            </w:tblGrid>
            <w:tr w14:paraId="69D00A3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4" w:hRule="atLeast"/>
                <w:tblHeader/>
                <w:jc w:val="center"/>
              </w:trPr>
              <w:tc>
                <w:tcPr>
                  <w:tcW w:w="953" w:type="dxa"/>
                  <w:tcBorders>
                    <w:tl2br w:val="nil"/>
                    <w:tr2bl w:val="nil"/>
                  </w:tcBorders>
                  <w:vAlign w:val="center"/>
                </w:tcPr>
                <w:p w14:paraId="37819542">
                  <w:pPr>
                    <w:autoSpaceDE w:val="0"/>
                    <w:autoSpaceDN w:val="0"/>
                    <w:adjustRightInd w:val="0"/>
                    <w:snapToGrid w:val="0"/>
                    <w:spacing w:line="240" w:lineRule="auto"/>
                    <w:jc w:val="center"/>
                    <w:rPr>
                      <w:rFonts w:hint="eastAsia" w:eastAsia="宋体"/>
                      <w:iCs/>
                      <w:color w:val="auto"/>
                      <w:kern w:val="0"/>
                      <w:szCs w:val="21"/>
                      <w:highlight w:val="none"/>
                      <w:u w:val="none" w:color="auto"/>
                      <w:lang w:val="en-US" w:eastAsia="zh-CN"/>
                    </w:rPr>
                  </w:pPr>
                  <w:r>
                    <w:rPr>
                      <w:rFonts w:hint="eastAsia"/>
                      <w:iCs/>
                      <w:color w:val="auto"/>
                      <w:kern w:val="0"/>
                      <w:szCs w:val="21"/>
                      <w:highlight w:val="none"/>
                      <w:u w:val="none" w:color="auto"/>
                      <w:lang w:val="en-US" w:eastAsia="zh-CN"/>
                    </w:rPr>
                    <w:t>序号</w:t>
                  </w:r>
                </w:p>
              </w:tc>
              <w:tc>
                <w:tcPr>
                  <w:tcW w:w="1611" w:type="dxa"/>
                  <w:tcBorders>
                    <w:tl2br w:val="nil"/>
                    <w:tr2bl w:val="nil"/>
                  </w:tcBorders>
                  <w:vAlign w:val="center"/>
                </w:tcPr>
                <w:p w14:paraId="0B45F5BD">
                  <w:pPr>
                    <w:autoSpaceDE w:val="0"/>
                    <w:autoSpaceDN w:val="0"/>
                    <w:adjustRightInd w:val="0"/>
                    <w:snapToGrid w:val="0"/>
                    <w:spacing w:line="240" w:lineRule="auto"/>
                    <w:jc w:val="center"/>
                    <w:rPr>
                      <w:rFonts w:hint="eastAsia" w:eastAsia="宋体"/>
                      <w:iCs/>
                      <w:color w:val="auto"/>
                      <w:kern w:val="0"/>
                      <w:szCs w:val="21"/>
                      <w:highlight w:val="none"/>
                      <w:u w:val="none" w:color="auto"/>
                      <w:lang w:eastAsia="zh-CN"/>
                    </w:rPr>
                  </w:pPr>
                  <w:r>
                    <w:rPr>
                      <w:rFonts w:hint="eastAsia"/>
                      <w:iCs/>
                      <w:color w:val="auto"/>
                      <w:kern w:val="0"/>
                      <w:szCs w:val="21"/>
                      <w:highlight w:val="none"/>
                      <w:u w:val="none" w:color="auto"/>
                      <w:lang w:val="en-US" w:eastAsia="zh-CN"/>
                    </w:rPr>
                    <w:t>产品名称</w:t>
                  </w:r>
                </w:p>
              </w:tc>
              <w:tc>
                <w:tcPr>
                  <w:tcW w:w="1329" w:type="dxa"/>
                  <w:tcBorders>
                    <w:tl2br w:val="nil"/>
                    <w:tr2bl w:val="nil"/>
                  </w:tcBorders>
                  <w:vAlign w:val="center"/>
                </w:tcPr>
                <w:p w14:paraId="52FFF135">
                  <w:pPr>
                    <w:autoSpaceDE w:val="0"/>
                    <w:autoSpaceDN w:val="0"/>
                    <w:adjustRightInd w:val="0"/>
                    <w:snapToGrid w:val="0"/>
                    <w:jc w:val="center"/>
                    <w:rPr>
                      <w:rFonts w:hint="eastAsia"/>
                      <w:iCs/>
                      <w:color w:val="auto"/>
                      <w:kern w:val="0"/>
                      <w:szCs w:val="21"/>
                      <w:highlight w:val="none"/>
                      <w:u w:val="none" w:color="auto"/>
                      <w:lang w:val="en-US" w:eastAsia="zh-CN"/>
                    </w:rPr>
                  </w:pPr>
                  <w:r>
                    <w:rPr>
                      <w:rFonts w:hint="eastAsia"/>
                      <w:iCs/>
                      <w:color w:val="auto"/>
                      <w:kern w:val="0"/>
                      <w:szCs w:val="21"/>
                      <w:highlight w:val="none"/>
                      <w:u w:val="none" w:color="auto"/>
                      <w:lang w:val="en-US" w:eastAsia="zh-CN"/>
                    </w:rPr>
                    <w:t>年产量t</w:t>
                  </w:r>
                  <w:r>
                    <w:rPr>
                      <w:rFonts w:hint="default"/>
                      <w:iCs/>
                      <w:color w:val="auto"/>
                      <w:kern w:val="0"/>
                      <w:szCs w:val="21"/>
                      <w:highlight w:val="none"/>
                      <w:u w:val="none" w:color="auto"/>
                      <w:lang w:val="en-US" w:eastAsia="zh-CN"/>
                    </w:rPr>
                    <w:t>/a</w:t>
                  </w:r>
                </w:p>
              </w:tc>
              <w:tc>
                <w:tcPr>
                  <w:tcW w:w="1327" w:type="dxa"/>
                  <w:tcBorders>
                    <w:tl2br w:val="nil"/>
                    <w:tr2bl w:val="nil"/>
                  </w:tcBorders>
                  <w:vAlign w:val="center"/>
                </w:tcPr>
                <w:p w14:paraId="226A7F87">
                  <w:pPr>
                    <w:autoSpaceDE w:val="0"/>
                    <w:autoSpaceDN w:val="0"/>
                    <w:adjustRightInd w:val="0"/>
                    <w:snapToGrid w:val="0"/>
                    <w:jc w:val="center"/>
                    <w:rPr>
                      <w:rFonts w:hint="eastAsia"/>
                      <w:iCs/>
                      <w:color w:val="auto"/>
                      <w:kern w:val="0"/>
                      <w:szCs w:val="21"/>
                      <w:highlight w:val="none"/>
                      <w:u w:val="none" w:color="auto"/>
                      <w:lang w:val="en-US" w:eastAsia="zh-CN"/>
                    </w:rPr>
                  </w:pPr>
                  <w:r>
                    <w:rPr>
                      <w:rFonts w:hint="eastAsia"/>
                      <w:iCs/>
                      <w:color w:val="auto"/>
                      <w:kern w:val="0"/>
                      <w:szCs w:val="21"/>
                      <w:highlight w:val="none"/>
                      <w:u w:val="none" w:color="auto"/>
                      <w:lang w:val="en-US" w:eastAsia="zh-CN"/>
                    </w:rPr>
                    <w:t>储存方式</w:t>
                  </w:r>
                </w:p>
              </w:tc>
              <w:tc>
                <w:tcPr>
                  <w:tcW w:w="2577" w:type="dxa"/>
                  <w:tcBorders>
                    <w:tl2br w:val="nil"/>
                    <w:tr2bl w:val="nil"/>
                  </w:tcBorders>
                  <w:vAlign w:val="center"/>
                </w:tcPr>
                <w:p w14:paraId="15D3B218">
                  <w:pPr>
                    <w:autoSpaceDE w:val="0"/>
                    <w:autoSpaceDN w:val="0"/>
                    <w:adjustRightInd w:val="0"/>
                    <w:snapToGrid w:val="0"/>
                    <w:jc w:val="center"/>
                    <w:rPr>
                      <w:rFonts w:hint="eastAsia"/>
                      <w:iCs/>
                      <w:color w:val="auto"/>
                      <w:kern w:val="0"/>
                      <w:szCs w:val="21"/>
                      <w:highlight w:val="none"/>
                      <w:u w:val="none" w:color="auto"/>
                      <w:lang w:val="en-US" w:eastAsia="zh-CN"/>
                    </w:rPr>
                  </w:pPr>
                  <w:r>
                    <w:rPr>
                      <w:rFonts w:hint="eastAsia"/>
                      <w:iCs/>
                      <w:color w:val="auto"/>
                      <w:kern w:val="0"/>
                      <w:szCs w:val="21"/>
                      <w:highlight w:val="none"/>
                      <w:u w:val="none" w:color="auto"/>
                      <w:lang w:val="en-US" w:eastAsia="zh-CN"/>
                    </w:rPr>
                    <w:t>备注</w:t>
                  </w:r>
                </w:p>
              </w:tc>
            </w:tr>
            <w:tr w14:paraId="46F89A5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57" w:hRule="atLeast"/>
                <w:tblHeader/>
                <w:jc w:val="center"/>
              </w:trPr>
              <w:tc>
                <w:tcPr>
                  <w:tcW w:w="953" w:type="dxa"/>
                  <w:tcBorders>
                    <w:tl2br w:val="nil"/>
                    <w:tr2bl w:val="nil"/>
                  </w:tcBorders>
                  <w:vAlign w:val="center"/>
                </w:tcPr>
                <w:p w14:paraId="6AFD6B6B">
                  <w:pPr>
                    <w:autoSpaceDE w:val="0"/>
                    <w:autoSpaceDN w:val="0"/>
                    <w:adjustRightInd w:val="0"/>
                    <w:snapToGrid w:val="0"/>
                    <w:spacing w:line="240" w:lineRule="auto"/>
                    <w:jc w:val="center"/>
                    <w:rPr>
                      <w:rFonts w:hint="eastAsia" w:eastAsia="宋体"/>
                      <w:iCs/>
                      <w:color w:val="auto"/>
                      <w:kern w:val="0"/>
                      <w:szCs w:val="21"/>
                      <w:highlight w:val="none"/>
                      <w:u w:val="none" w:color="auto"/>
                      <w:lang w:eastAsia="zh-CN"/>
                    </w:rPr>
                  </w:pPr>
                  <w:r>
                    <w:rPr>
                      <w:rFonts w:hint="eastAsia"/>
                      <w:color w:val="auto"/>
                      <w:sz w:val="24"/>
                      <w:highlight w:val="none"/>
                      <w:u w:val="none" w:color="auto"/>
                      <w:lang w:eastAsia="zh-CN"/>
                    </w:rPr>
                    <w:t>1</w:t>
                  </w:r>
                </w:p>
              </w:tc>
              <w:tc>
                <w:tcPr>
                  <w:tcW w:w="1611" w:type="dxa"/>
                  <w:tcBorders>
                    <w:tl2br w:val="nil"/>
                    <w:tr2bl w:val="nil"/>
                  </w:tcBorders>
                  <w:vAlign w:val="center"/>
                </w:tcPr>
                <w:p w14:paraId="712E3712">
                  <w:pPr>
                    <w:autoSpaceDE w:val="0"/>
                    <w:autoSpaceDN w:val="0"/>
                    <w:adjustRightInd w:val="0"/>
                    <w:snapToGrid w:val="0"/>
                    <w:spacing w:line="240" w:lineRule="auto"/>
                    <w:jc w:val="center"/>
                    <w:rPr>
                      <w:rFonts w:hint="eastAsia" w:eastAsia="宋体"/>
                      <w:iCs/>
                      <w:color w:val="auto"/>
                      <w:kern w:val="0"/>
                      <w:szCs w:val="21"/>
                      <w:highlight w:val="none"/>
                      <w:u w:val="single" w:color="auto"/>
                      <w:lang w:val="en-US" w:eastAsia="zh-CN"/>
                    </w:rPr>
                  </w:pPr>
                  <w:r>
                    <w:rPr>
                      <w:rFonts w:hint="eastAsia"/>
                      <w:iCs/>
                      <w:color w:val="auto"/>
                      <w:kern w:val="0"/>
                      <w:szCs w:val="21"/>
                      <w:highlight w:val="none"/>
                      <w:u w:val="single" w:color="auto"/>
                      <w:lang w:val="en-US" w:eastAsia="zh-CN"/>
                    </w:rPr>
                    <w:t>干玉米</w:t>
                  </w:r>
                </w:p>
              </w:tc>
              <w:tc>
                <w:tcPr>
                  <w:tcW w:w="1329" w:type="dxa"/>
                  <w:tcBorders>
                    <w:tl2br w:val="nil"/>
                    <w:tr2bl w:val="nil"/>
                  </w:tcBorders>
                  <w:vAlign w:val="center"/>
                </w:tcPr>
                <w:p w14:paraId="310ED963">
                  <w:pPr>
                    <w:autoSpaceDE w:val="0"/>
                    <w:autoSpaceDN w:val="0"/>
                    <w:adjustRightInd w:val="0"/>
                    <w:snapToGrid w:val="0"/>
                    <w:jc w:val="center"/>
                    <w:rPr>
                      <w:rFonts w:hint="default" w:eastAsia="宋体"/>
                      <w:iCs/>
                      <w:color w:val="auto"/>
                      <w:kern w:val="0"/>
                      <w:szCs w:val="21"/>
                      <w:highlight w:val="none"/>
                      <w:u w:val="single" w:color="auto"/>
                      <w:lang w:val="en-US" w:eastAsia="zh-CN"/>
                    </w:rPr>
                  </w:pPr>
                  <w:r>
                    <w:rPr>
                      <w:rFonts w:hint="eastAsia"/>
                      <w:iCs/>
                      <w:color w:val="auto"/>
                      <w:kern w:val="0"/>
                      <w:szCs w:val="21"/>
                      <w:highlight w:val="none"/>
                      <w:u w:val="single" w:color="auto"/>
                      <w:lang w:val="en-US" w:eastAsia="zh-CN"/>
                    </w:rPr>
                    <w:t>12383.72</w:t>
                  </w:r>
                </w:p>
              </w:tc>
              <w:tc>
                <w:tcPr>
                  <w:tcW w:w="1327" w:type="dxa"/>
                  <w:tcBorders>
                    <w:tl2br w:val="nil"/>
                    <w:tr2bl w:val="nil"/>
                  </w:tcBorders>
                  <w:vAlign w:val="center"/>
                </w:tcPr>
                <w:p w14:paraId="19FAD056">
                  <w:pPr>
                    <w:autoSpaceDE w:val="0"/>
                    <w:autoSpaceDN w:val="0"/>
                    <w:adjustRightInd w:val="0"/>
                    <w:snapToGrid w:val="0"/>
                    <w:jc w:val="center"/>
                    <w:rPr>
                      <w:rFonts w:hint="eastAsia" w:eastAsia="宋体"/>
                      <w:iCs/>
                      <w:color w:val="auto"/>
                      <w:kern w:val="0"/>
                      <w:szCs w:val="21"/>
                      <w:highlight w:val="none"/>
                      <w:u w:val="single" w:color="auto"/>
                      <w:lang w:val="en-US" w:eastAsia="zh-CN"/>
                    </w:rPr>
                  </w:pPr>
                  <w:r>
                    <w:rPr>
                      <w:rFonts w:hint="eastAsia"/>
                      <w:iCs/>
                      <w:color w:val="auto"/>
                      <w:kern w:val="0"/>
                      <w:szCs w:val="21"/>
                      <w:highlight w:val="none"/>
                      <w:u w:val="single" w:color="auto"/>
                      <w:lang w:val="en-US" w:eastAsia="zh-CN"/>
                    </w:rPr>
                    <w:t>仓库</w:t>
                  </w:r>
                </w:p>
              </w:tc>
              <w:tc>
                <w:tcPr>
                  <w:tcW w:w="2577" w:type="dxa"/>
                  <w:tcBorders>
                    <w:tl2br w:val="nil"/>
                    <w:tr2bl w:val="nil"/>
                  </w:tcBorders>
                  <w:vAlign w:val="center"/>
                </w:tcPr>
                <w:p w14:paraId="686A7B0E">
                  <w:pPr>
                    <w:autoSpaceDE w:val="0"/>
                    <w:autoSpaceDN w:val="0"/>
                    <w:adjustRightInd w:val="0"/>
                    <w:snapToGrid w:val="0"/>
                    <w:jc w:val="center"/>
                    <w:rPr>
                      <w:rFonts w:hint="eastAsia"/>
                      <w:iCs/>
                      <w:color w:val="auto"/>
                      <w:kern w:val="0"/>
                      <w:szCs w:val="21"/>
                      <w:highlight w:val="none"/>
                      <w:u w:val="single" w:color="auto"/>
                      <w:lang w:val="en-US" w:eastAsia="zh-CN"/>
                    </w:rPr>
                  </w:pPr>
                  <w:r>
                    <w:rPr>
                      <w:rFonts w:hint="eastAsia"/>
                      <w:iCs/>
                      <w:color w:val="auto"/>
                      <w:szCs w:val="21"/>
                      <w:highlight w:val="none"/>
                      <w:u w:val="single" w:color="auto"/>
                    </w:rPr>
                    <w:t>烘干后含水量约1</w:t>
                  </w:r>
                  <w:r>
                    <w:rPr>
                      <w:rFonts w:hint="eastAsia"/>
                      <w:iCs/>
                      <w:color w:val="auto"/>
                      <w:szCs w:val="21"/>
                      <w:highlight w:val="none"/>
                      <w:u w:val="single" w:color="auto"/>
                      <w:lang w:val="en-US" w:eastAsia="zh-CN"/>
                    </w:rPr>
                    <w:t>4</w:t>
                  </w:r>
                  <w:r>
                    <w:rPr>
                      <w:rFonts w:hint="eastAsia"/>
                      <w:iCs/>
                      <w:color w:val="auto"/>
                      <w:szCs w:val="21"/>
                      <w:highlight w:val="none"/>
                      <w:u w:val="single" w:color="auto"/>
                    </w:rPr>
                    <w:t>%</w:t>
                  </w:r>
                </w:p>
              </w:tc>
            </w:tr>
          </w:tbl>
          <w:p w14:paraId="3CCFB17F">
            <w:pPr>
              <w:snapToGrid w:val="0"/>
              <w:spacing w:line="360" w:lineRule="auto"/>
              <w:ind w:firstLine="480" w:firstLineChars="200"/>
              <w:rPr>
                <w:rFonts w:hint="eastAsia"/>
                <w:color w:val="auto"/>
                <w:sz w:val="24"/>
                <w:highlight w:val="none"/>
                <w:u w:val="none" w:color="auto"/>
              </w:rPr>
            </w:pPr>
            <w:r>
              <w:rPr>
                <w:rFonts w:hint="eastAsia"/>
                <w:color w:val="auto"/>
                <w:sz w:val="24"/>
                <w:highlight w:val="none"/>
                <w:u w:val="none" w:color="auto"/>
                <w:lang w:val="en-US" w:eastAsia="zh-CN"/>
              </w:rPr>
              <w:t>产品质量要求：</w:t>
            </w:r>
          </w:p>
          <w:p w14:paraId="48C18D0E">
            <w:pPr>
              <w:snapToGrid w:val="0"/>
              <w:spacing w:line="360" w:lineRule="auto"/>
              <w:ind w:firstLine="480" w:firstLineChars="200"/>
              <w:rPr>
                <w:rFonts w:hint="eastAsia"/>
                <w:color w:val="auto"/>
                <w:sz w:val="24"/>
                <w:highlight w:val="none"/>
                <w:u w:val="none" w:color="auto"/>
              </w:rPr>
            </w:pPr>
            <w:r>
              <w:rPr>
                <w:rFonts w:hint="eastAsia"/>
                <w:color w:val="auto"/>
                <w:sz w:val="24"/>
                <w:highlight w:val="none"/>
                <w:u w:val="none" w:color="auto"/>
                <w:lang w:val="en-US" w:eastAsia="zh-CN"/>
              </w:rPr>
              <w:t>烘干玉米满足《玉米》（GB1353-2018），详见下表。</w:t>
            </w:r>
          </w:p>
          <w:p w14:paraId="0B89B2F3">
            <w:pPr>
              <w:snapToGrid w:val="0"/>
              <w:spacing w:line="360" w:lineRule="auto"/>
              <w:ind w:firstLine="482" w:firstLineChars="200"/>
              <w:jc w:val="center"/>
              <w:rPr>
                <w:rFonts w:hint="eastAsia"/>
                <w:b/>
                <w:bCs/>
                <w:color w:val="auto"/>
                <w:sz w:val="24"/>
                <w:highlight w:val="none"/>
                <w:u w:val="none" w:color="auto"/>
                <w:lang w:val="en-US" w:eastAsia="zh-CN"/>
              </w:rPr>
            </w:pPr>
            <w:r>
              <w:rPr>
                <w:rFonts w:hint="eastAsia"/>
                <w:b/>
                <w:bCs/>
                <w:color w:val="auto"/>
                <w:sz w:val="24"/>
                <w:highlight w:val="none"/>
                <w:u w:val="none" w:color="auto"/>
                <w:lang w:val="en-US" w:eastAsia="zh-CN"/>
              </w:rPr>
              <w:t>表2-4玉米质量指标</w:t>
            </w:r>
          </w:p>
          <w:tbl>
            <w:tblPr>
              <w:tblStyle w:val="44"/>
              <w:tblW w:w="7737" w:type="dxa"/>
              <w:tblInd w:w="11"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875"/>
              <w:gridCol w:w="885"/>
              <w:gridCol w:w="1481"/>
              <w:gridCol w:w="1159"/>
              <w:gridCol w:w="1074"/>
              <w:gridCol w:w="1133"/>
              <w:gridCol w:w="1130"/>
            </w:tblGrid>
            <w:tr w14:paraId="5D1A9B5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875" w:type="dxa"/>
                  <w:tcBorders>
                    <w:tl2br w:val="nil"/>
                    <w:tr2bl w:val="nil"/>
                  </w:tcBorders>
                  <w:vAlign w:val="center"/>
                </w:tcPr>
                <w:p w14:paraId="0D11BED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z w:val="21"/>
                      <w:szCs w:val="21"/>
                      <w:u w:val="none" w:color="auto"/>
                    </w:rPr>
                  </w:pPr>
                  <w:r>
                    <w:rPr>
                      <w:rFonts w:ascii="宋体" w:hAnsi="宋体" w:eastAsia="宋体" w:cs="宋体"/>
                      <w:b w:val="0"/>
                      <w:bCs w:val="0"/>
                      <w:color w:val="auto"/>
                      <w:spacing w:val="3"/>
                      <w:sz w:val="21"/>
                      <w:szCs w:val="21"/>
                      <w:u w:val="none" w:color="auto"/>
                    </w:rPr>
                    <w:t>等级</w:t>
                  </w:r>
                </w:p>
              </w:tc>
              <w:tc>
                <w:tcPr>
                  <w:tcW w:w="885" w:type="dxa"/>
                  <w:tcBorders>
                    <w:tl2br w:val="nil"/>
                    <w:tr2bl w:val="nil"/>
                  </w:tcBorders>
                  <w:vAlign w:val="center"/>
                </w:tcPr>
                <w:p w14:paraId="4CA17B9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r>
                    <w:rPr>
                      <w:rFonts w:ascii="宋体" w:hAnsi="宋体" w:eastAsia="宋体" w:cs="宋体"/>
                      <w:b w:val="0"/>
                      <w:bCs w:val="0"/>
                      <w:color w:val="auto"/>
                      <w:spacing w:val="2"/>
                      <w:sz w:val="21"/>
                      <w:szCs w:val="21"/>
                      <w:u w:val="none" w:color="auto"/>
                    </w:rPr>
                    <w:t>容重</w:t>
                  </w:r>
                  <w:r>
                    <w:rPr>
                      <w:rFonts w:ascii="Times New Roman" w:hAnsi="Times New Roman" w:eastAsia="Times New Roman" w:cs="Times New Roman"/>
                      <w:b w:val="0"/>
                      <w:bCs w:val="0"/>
                      <w:color w:val="auto"/>
                      <w:spacing w:val="1"/>
                      <w:sz w:val="21"/>
                      <w:szCs w:val="21"/>
                      <w:u w:val="none" w:color="auto"/>
                    </w:rPr>
                    <w:t>g/L</w:t>
                  </w:r>
                </w:p>
              </w:tc>
              <w:tc>
                <w:tcPr>
                  <w:tcW w:w="1481" w:type="dxa"/>
                  <w:tcBorders>
                    <w:tl2br w:val="nil"/>
                    <w:tr2bl w:val="nil"/>
                  </w:tcBorders>
                  <w:vAlign w:val="center"/>
                </w:tcPr>
                <w:p w14:paraId="76E4FF0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z w:val="21"/>
                      <w:szCs w:val="21"/>
                      <w:u w:val="none" w:color="auto"/>
                    </w:rPr>
                  </w:pPr>
                  <w:r>
                    <w:rPr>
                      <w:rFonts w:ascii="宋体" w:hAnsi="宋体" w:eastAsia="宋体" w:cs="宋体"/>
                      <w:b w:val="0"/>
                      <w:bCs w:val="0"/>
                      <w:color w:val="auto"/>
                      <w:spacing w:val="6"/>
                      <w:sz w:val="21"/>
                      <w:szCs w:val="21"/>
                      <w:u w:val="none" w:color="auto"/>
                    </w:rPr>
                    <w:t>不完善粒含量</w:t>
                  </w:r>
                </w:p>
                <w:p w14:paraId="5DC4703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sz w:val="21"/>
                      <w:szCs w:val="21"/>
                      <w:u w:val="none" w:color="auto"/>
                    </w:rPr>
                    <w:t>%</w:t>
                  </w:r>
                </w:p>
              </w:tc>
              <w:tc>
                <w:tcPr>
                  <w:tcW w:w="1159" w:type="dxa"/>
                  <w:tcBorders>
                    <w:tl2br w:val="nil"/>
                    <w:tr2bl w:val="nil"/>
                  </w:tcBorders>
                  <w:vAlign w:val="center"/>
                </w:tcPr>
                <w:p w14:paraId="7D13538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z w:val="21"/>
                      <w:szCs w:val="21"/>
                      <w:u w:val="none" w:color="auto"/>
                    </w:rPr>
                  </w:pPr>
                  <w:r>
                    <w:rPr>
                      <w:rFonts w:ascii="宋体" w:hAnsi="宋体" w:eastAsia="宋体" w:cs="宋体"/>
                      <w:b w:val="0"/>
                      <w:bCs w:val="0"/>
                      <w:color w:val="auto"/>
                      <w:spacing w:val="6"/>
                      <w:sz w:val="21"/>
                      <w:szCs w:val="21"/>
                      <w:u w:val="none" w:color="auto"/>
                    </w:rPr>
                    <w:t>霉变粒含</w:t>
                  </w:r>
                </w:p>
                <w:p w14:paraId="3F7AA74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z w:val="21"/>
                      <w:szCs w:val="21"/>
                      <w:u w:val="none" w:color="auto"/>
                    </w:rPr>
                  </w:pPr>
                  <w:r>
                    <w:rPr>
                      <w:rFonts w:ascii="宋体" w:hAnsi="宋体" w:eastAsia="宋体" w:cs="宋体"/>
                      <w:b w:val="0"/>
                      <w:bCs w:val="0"/>
                      <w:color w:val="auto"/>
                      <w:spacing w:val="-2"/>
                      <w:sz w:val="21"/>
                      <w:szCs w:val="21"/>
                      <w:u w:val="none" w:color="auto"/>
                    </w:rPr>
                    <w:t>量</w:t>
                  </w:r>
                </w:p>
              </w:tc>
              <w:tc>
                <w:tcPr>
                  <w:tcW w:w="1074" w:type="dxa"/>
                  <w:tcBorders>
                    <w:tl2br w:val="nil"/>
                    <w:tr2bl w:val="nil"/>
                  </w:tcBorders>
                  <w:vAlign w:val="center"/>
                </w:tcPr>
                <w:p w14:paraId="43D9EF5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z w:val="21"/>
                      <w:szCs w:val="21"/>
                      <w:u w:val="none" w:color="auto"/>
                    </w:rPr>
                  </w:pPr>
                  <w:r>
                    <w:rPr>
                      <w:rFonts w:ascii="宋体" w:hAnsi="宋体" w:eastAsia="宋体" w:cs="宋体"/>
                      <w:b w:val="0"/>
                      <w:bCs w:val="0"/>
                      <w:color w:val="auto"/>
                      <w:spacing w:val="6"/>
                      <w:sz w:val="21"/>
                      <w:szCs w:val="21"/>
                      <w:u w:val="none" w:color="auto"/>
                    </w:rPr>
                    <w:t>杂质含量</w:t>
                  </w:r>
                </w:p>
                <w:p w14:paraId="625F7A3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sz w:val="21"/>
                      <w:szCs w:val="21"/>
                      <w:u w:val="none" w:color="auto"/>
                    </w:rPr>
                    <w:t>%</w:t>
                  </w:r>
                </w:p>
              </w:tc>
              <w:tc>
                <w:tcPr>
                  <w:tcW w:w="1133" w:type="dxa"/>
                  <w:tcBorders>
                    <w:tl2br w:val="nil"/>
                    <w:tr2bl w:val="nil"/>
                  </w:tcBorders>
                  <w:vAlign w:val="center"/>
                </w:tcPr>
                <w:p w14:paraId="25B6777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z w:val="21"/>
                      <w:szCs w:val="21"/>
                      <w:u w:val="none" w:color="auto"/>
                    </w:rPr>
                  </w:pPr>
                  <w:r>
                    <w:rPr>
                      <w:rFonts w:ascii="宋体" w:hAnsi="宋体" w:eastAsia="宋体" w:cs="宋体"/>
                      <w:b w:val="0"/>
                      <w:bCs w:val="0"/>
                      <w:color w:val="auto"/>
                      <w:spacing w:val="5"/>
                      <w:sz w:val="21"/>
                      <w:szCs w:val="21"/>
                      <w:u w:val="none" w:color="auto"/>
                    </w:rPr>
                    <w:t>水分含量</w:t>
                  </w:r>
                </w:p>
                <w:p w14:paraId="2362783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sz w:val="21"/>
                      <w:szCs w:val="21"/>
                      <w:u w:val="none" w:color="auto"/>
                    </w:rPr>
                    <w:t>%</w:t>
                  </w:r>
                </w:p>
              </w:tc>
              <w:tc>
                <w:tcPr>
                  <w:tcW w:w="1130" w:type="dxa"/>
                  <w:tcBorders>
                    <w:tl2br w:val="nil"/>
                    <w:tr2bl w:val="nil"/>
                  </w:tcBorders>
                  <w:vAlign w:val="center"/>
                </w:tcPr>
                <w:p w14:paraId="1CA8651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z w:val="21"/>
                      <w:szCs w:val="21"/>
                      <w:u w:val="none" w:color="auto"/>
                    </w:rPr>
                  </w:pPr>
                  <w:r>
                    <w:rPr>
                      <w:rFonts w:ascii="宋体" w:hAnsi="宋体" w:eastAsia="宋体" w:cs="宋体"/>
                      <w:b w:val="0"/>
                      <w:bCs w:val="0"/>
                      <w:color w:val="auto"/>
                      <w:spacing w:val="5"/>
                      <w:sz w:val="21"/>
                      <w:szCs w:val="21"/>
                      <w:u w:val="none" w:color="auto"/>
                    </w:rPr>
                    <w:t>色泽、气</w:t>
                  </w:r>
                </w:p>
                <w:p w14:paraId="60EF2A2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z w:val="21"/>
                      <w:szCs w:val="21"/>
                      <w:u w:val="none" w:color="auto"/>
                    </w:rPr>
                  </w:pPr>
                  <w:r>
                    <w:rPr>
                      <w:rFonts w:ascii="宋体" w:hAnsi="宋体" w:eastAsia="宋体" w:cs="宋体"/>
                      <w:b w:val="0"/>
                      <w:bCs w:val="0"/>
                      <w:color w:val="auto"/>
                      <w:spacing w:val="-3"/>
                      <w:sz w:val="21"/>
                      <w:szCs w:val="21"/>
                      <w:u w:val="none" w:color="auto"/>
                    </w:rPr>
                    <w:t>味</w:t>
                  </w:r>
                </w:p>
              </w:tc>
            </w:tr>
            <w:tr w14:paraId="15952D7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875" w:type="dxa"/>
                  <w:tcBorders>
                    <w:tl2br w:val="nil"/>
                    <w:tr2bl w:val="nil"/>
                  </w:tcBorders>
                  <w:vAlign w:val="center"/>
                </w:tcPr>
                <w:p w14:paraId="330707E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val="0"/>
                      <w:bCs w:val="0"/>
                      <w:color w:val="auto"/>
                      <w:spacing w:val="3"/>
                      <w:sz w:val="21"/>
                      <w:szCs w:val="21"/>
                      <w:u w:val="none" w:color="auto"/>
                      <w:lang w:val="en-US" w:eastAsia="zh-CN"/>
                    </w:rPr>
                  </w:pPr>
                  <w:r>
                    <w:rPr>
                      <w:rFonts w:hint="eastAsia" w:ascii="宋体" w:hAnsi="宋体" w:eastAsia="宋体" w:cs="宋体"/>
                      <w:b w:val="0"/>
                      <w:bCs w:val="0"/>
                      <w:color w:val="auto"/>
                      <w:spacing w:val="3"/>
                      <w:sz w:val="21"/>
                      <w:szCs w:val="21"/>
                      <w:u w:val="none" w:color="auto"/>
                      <w:lang w:val="en-US" w:eastAsia="zh-CN"/>
                    </w:rPr>
                    <w:t>1</w:t>
                  </w:r>
                </w:p>
              </w:tc>
              <w:tc>
                <w:tcPr>
                  <w:tcW w:w="885" w:type="dxa"/>
                  <w:tcBorders>
                    <w:tl2br w:val="nil"/>
                    <w:tr2bl w:val="nil"/>
                  </w:tcBorders>
                  <w:vAlign w:val="center"/>
                </w:tcPr>
                <w:p w14:paraId="116266D3">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宋体" w:hAnsi="宋体" w:eastAsia="宋体" w:cs="宋体"/>
                      <w:b w:val="0"/>
                      <w:bCs w:val="0"/>
                      <w:color w:val="auto"/>
                      <w:spacing w:val="2"/>
                      <w:sz w:val="21"/>
                      <w:szCs w:val="21"/>
                      <w:u w:val="none" w:color="auto"/>
                    </w:rPr>
                  </w:pPr>
                  <w:r>
                    <w:rPr>
                      <w:rFonts w:ascii="宋体" w:hAnsi="宋体" w:eastAsia="宋体" w:cs="宋体"/>
                      <w:b w:val="0"/>
                      <w:bCs w:val="0"/>
                      <w:color w:val="auto"/>
                      <w:spacing w:val="-2"/>
                      <w:sz w:val="21"/>
                      <w:szCs w:val="21"/>
                      <w:u w:val="none" w:color="auto"/>
                    </w:rPr>
                    <w:t>≥</w:t>
                  </w:r>
                  <w:r>
                    <w:rPr>
                      <w:rFonts w:ascii="Times New Roman" w:hAnsi="Times New Roman" w:eastAsia="Times New Roman" w:cs="Times New Roman"/>
                      <w:b w:val="0"/>
                      <w:bCs w:val="0"/>
                      <w:color w:val="auto"/>
                      <w:spacing w:val="-2"/>
                      <w:sz w:val="21"/>
                      <w:szCs w:val="21"/>
                      <w:u w:val="none" w:color="auto"/>
                    </w:rPr>
                    <w:t>720</w:t>
                  </w:r>
                </w:p>
              </w:tc>
              <w:tc>
                <w:tcPr>
                  <w:tcW w:w="1481" w:type="dxa"/>
                  <w:tcBorders>
                    <w:tl2br w:val="nil"/>
                    <w:tr2bl w:val="nil"/>
                  </w:tcBorders>
                  <w:vAlign w:val="center"/>
                </w:tcPr>
                <w:p w14:paraId="2237EB17">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spacing w:val="3"/>
                      <w:sz w:val="21"/>
                      <w:szCs w:val="21"/>
                      <w:u w:val="none" w:color="auto"/>
                    </w:rPr>
                    <w:t>4.0</w:t>
                  </w:r>
                </w:p>
              </w:tc>
              <w:tc>
                <w:tcPr>
                  <w:tcW w:w="1159" w:type="dxa"/>
                  <w:vMerge w:val="restart"/>
                  <w:tcBorders>
                    <w:tl2br w:val="nil"/>
                    <w:tr2bl w:val="nil"/>
                  </w:tcBorders>
                  <w:vAlign w:val="center"/>
                </w:tcPr>
                <w:p w14:paraId="01BADABC">
                  <w:pPr>
                    <w:keepNext w:val="0"/>
                    <w:keepLines w:val="0"/>
                    <w:pageBreakBefore w:val="0"/>
                    <w:widowControl w:val="0"/>
                    <w:kinsoku/>
                    <w:wordWrap/>
                    <w:overflowPunct/>
                    <w:topLinePunct w:val="0"/>
                    <w:autoSpaceDE/>
                    <w:autoSpaceDN/>
                    <w:bidi w:val="0"/>
                    <w:adjustRightInd/>
                    <w:snapToGrid/>
                    <w:spacing w:line="240" w:lineRule="auto"/>
                    <w:ind w:left="0" w:leftChars="0" w:firstLine="0"/>
                    <w:jc w:val="center"/>
                    <w:textAlignment w:val="auto"/>
                    <w:rPr>
                      <w:rFonts w:ascii="宋体" w:hAnsi="宋体" w:eastAsia="宋体" w:cs="宋体"/>
                      <w:b w:val="0"/>
                      <w:bCs w:val="0"/>
                      <w:color w:val="auto"/>
                      <w:spacing w:val="-2"/>
                      <w:sz w:val="21"/>
                      <w:szCs w:val="21"/>
                      <w:u w:val="none" w:color="auto"/>
                    </w:rPr>
                  </w:pPr>
                  <w:r>
                    <w:rPr>
                      <w:rFonts w:ascii="宋体" w:hAnsi="宋体" w:eastAsia="宋体" w:cs="宋体"/>
                      <w:b w:val="0"/>
                      <w:bCs w:val="0"/>
                      <w:color w:val="auto"/>
                      <w:position w:val="1"/>
                      <w:sz w:val="21"/>
                      <w:szCs w:val="21"/>
                      <w:u w:val="none" w:color="auto"/>
                    </w:rPr>
                    <w:t>≤</w:t>
                  </w:r>
                  <w:r>
                    <w:rPr>
                      <w:rFonts w:ascii="Times New Roman" w:hAnsi="Times New Roman" w:eastAsia="Times New Roman" w:cs="Times New Roman"/>
                      <w:b w:val="0"/>
                      <w:bCs w:val="0"/>
                      <w:color w:val="auto"/>
                      <w:position w:val="1"/>
                      <w:sz w:val="21"/>
                      <w:szCs w:val="21"/>
                      <w:u w:val="none" w:color="auto"/>
                    </w:rPr>
                    <w:t>2.0</w:t>
                  </w:r>
                </w:p>
              </w:tc>
              <w:tc>
                <w:tcPr>
                  <w:tcW w:w="1074" w:type="dxa"/>
                  <w:vMerge w:val="restart"/>
                  <w:tcBorders>
                    <w:tl2br w:val="nil"/>
                    <w:tr2bl w:val="nil"/>
                  </w:tcBorders>
                  <w:vAlign w:val="center"/>
                </w:tcPr>
                <w:p w14:paraId="3F9D8BB6">
                  <w:pPr>
                    <w:keepNext w:val="0"/>
                    <w:keepLines w:val="0"/>
                    <w:pageBreakBefore w:val="0"/>
                    <w:widowControl w:val="0"/>
                    <w:kinsoku/>
                    <w:wordWrap/>
                    <w:overflowPunct/>
                    <w:topLinePunct w:val="0"/>
                    <w:autoSpaceDE/>
                    <w:autoSpaceDN/>
                    <w:bidi w:val="0"/>
                    <w:adjustRightInd/>
                    <w:snapToGrid/>
                    <w:spacing w:line="240" w:lineRule="auto"/>
                    <w:ind w:left="0" w:leftChars="0" w:firstLine="0"/>
                    <w:jc w:val="center"/>
                    <w:textAlignment w:val="auto"/>
                    <w:rPr>
                      <w:rFonts w:ascii="Times New Roman" w:hAnsi="Times New Roman" w:eastAsia="Times New Roman" w:cs="Times New Roman"/>
                      <w:b w:val="0"/>
                      <w:bCs w:val="0"/>
                      <w:color w:val="auto"/>
                      <w:sz w:val="21"/>
                      <w:szCs w:val="21"/>
                      <w:u w:val="none" w:color="auto"/>
                    </w:rPr>
                  </w:pPr>
                  <w:r>
                    <w:rPr>
                      <w:rFonts w:ascii="宋体" w:hAnsi="宋体" w:eastAsia="宋体" w:cs="宋体"/>
                      <w:b w:val="0"/>
                      <w:bCs w:val="0"/>
                      <w:color w:val="auto"/>
                      <w:spacing w:val="-1"/>
                      <w:position w:val="1"/>
                      <w:sz w:val="21"/>
                      <w:szCs w:val="21"/>
                      <w:u w:val="none" w:color="auto"/>
                    </w:rPr>
                    <w:t>≤</w:t>
                  </w:r>
                  <w:r>
                    <w:rPr>
                      <w:rFonts w:ascii="Times New Roman" w:hAnsi="Times New Roman" w:eastAsia="Times New Roman" w:cs="Times New Roman"/>
                      <w:b w:val="0"/>
                      <w:bCs w:val="0"/>
                      <w:color w:val="auto"/>
                      <w:spacing w:val="-1"/>
                      <w:position w:val="1"/>
                      <w:sz w:val="21"/>
                      <w:szCs w:val="21"/>
                      <w:u w:val="none" w:color="auto"/>
                    </w:rPr>
                    <w:t>1.0</w:t>
                  </w:r>
                </w:p>
              </w:tc>
              <w:tc>
                <w:tcPr>
                  <w:tcW w:w="1133" w:type="dxa"/>
                  <w:vMerge w:val="restart"/>
                  <w:tcBorders>
                    <w:tl2br w:val="nil"/>
                    <w:tr2bl w:val="nil"/>
                  </w:tcBorders>
                  <w:vAlign w:val="center"/>
                </w:tcPr>
                <w:p w14:paraId="72E98797">
                  <w:pPr>
                    <w:keepNext w:val="0"/>
                    <w:keepLines w:val="0"/>
                    <w:pageBreakBefore w:val="0"/>
                    <w:widowControl w:val="0"/>
                    <w:kinsoku/>
                    <w:wordWrap/>
                    <w:overflowPunct/>
                    <w:topLinePunct w:val="0"/>
                    <w:autoSpaceDE/>
                    <w:autoSpaceDN/>
                    <w:bidi w:val="0"/>
                    <w:adjustRightInd/>
                    <w:snapToGrid/>
                    <w:spacing w:line="240" w:lineRule="auto"/>
                    <w:ind w:left="0" w:leftChars="0" w:firstLine="0"/>
                    <w:jc w:val="center"/>
                    <w:textAlignment w:val="auto"/>
                    <w:rPr>
                      <w:rFonts w:ascii="Times New Roman" w:hAnsi="Times New Roman" w:eastAsia="Times New Roman" w:cs="Times New Roman"/>
                      <w:b w:val="0"/>
                      <w:bCs w:val="0"/>
                      <w:color w:val="auto"/>
                      <w:sz w:val="21"/>
                      <w:szCs w:val="21"/>
                      <w:u w:val="none" w:color="auto"/>
                    </w:rPr>
                  </w:pPr>
                  <w:r>
                    <w:rPr>
                      <w:rFonts w:ascii="宋体" w:hAnsi="宋体" w:eastAsia="宋体" w:cs="宋体"/>
                      <w:b w:val="0"/>
                      <w:bCs w:val="0"/>
                      <w:color w:val="auto"/>
                      <w:spacing w:val="1"/>
                      <w:position w:val="1"/>
                      <w:sz w:val="21"/>
                      <w:szCs w:val="21"/>
                      <w:u w:val="none" w:color="auto"/>
                    </w:rPr>
                    <w:t>≤</w:t>
                  </w:r>
                  <w:r>
                    <w:rPr>
                      <w:rFonts w:ascii="Times New Roman" w:hAnsi="Times New Roman" w:eastAsia="Times New Roman" w:cs="Times New Roman"/>
                      <w:b w:val="0"/>
                      <w:bCs w:val="0"/>
                      <w:color w:val="auto"/>
                      <w:spacing w:val="1"/>
                      <w:position w:val="1"/>
                      <w:sz w:val="21"/>
                      <w:szCs w:val="21"/>
                      <w:u w:val="none" w:color="auto"/>
                    </w:rPr>
                    <w:t>14.0</w:t>
                  </w:r>
                </w:p>
              </w:tc>
              <w:tc>
                <w:tcPr>
                  <w:tcW w:w="1130" w:type="dxa"/>
                  <w:vMerge w:val="restart"/>
                  <w:tcBorders>
                    <w:tl2br w:val="nil"/>
                    <w:tr2bl w:val="nil"/>
                  </w:tcBorders>
                  <w:vAlign w:val="center"/>
                </w:tcPr>
                <w:p w14:paraId="2968C721">
                  <w:pPr>
                    <w:keepNext w:val="0"/>
                    <w:keepLines w:val="0"/>
                    <w:pageBreakBefore w:val="0"/>
                    <w:widowControl w:val="0"/>
                    <w:kinsoku/>
                    <w:wordWrap/>
                    <w:overflowPunct/>
                    <w:topLinePunct w:val="0"/>
                    <w:autoSpaceDE/>
                    <w:autoSpaceDN/>
                    <w:bidi w:val="0"/>
                    <w:adjustRightInd/>
                    <w:snapToGrid/>
                    <w:spacing w:line="240" w:lineRule="auto"/>
                    <w:ind w:left="0" w:leftChars="0" w:firstLine="0"/>
                    <w:jc w:val="center"/>
                    <w:textAlignment w:val="auto"/>
                    <w:rPr>
                      <w:rFonts w:ascii="宋体" w:hAnsi="宋体" w:eastAsia="宋体" w:cs="宋体"/>
                      <w:b w:val="0"/>
                      <w:bCs w:val="0"/>
                      <w:color w:val="auto"/>
                      <w:spacing w:val="-3"/>
                      <w:sz w:val="21"/>
                      <w:szCs w:val="21"/>
                      <w:u w:val="none" w:color="auto"/>
                    </w:rPr>
                  </w:pPr>
                  <w:r>
                    <w:rPr>
                      <w:rFonts w:ascii="宋体" w:hAnsi="宋体" w:eastAsia="宋体" w:cs="宋体"/>
                      <w:b w:val="0"/>
                      <w:bCs w:val="0"/>
                      <w:color w:val="auto"/>
                      <w:spacing w:val="2"/>
                      <w:sz w:val="21"/>
                      <w:szCs w:val="21"/>
                      <w:u w:val="none" w:color="auto"/>
                    </w:rPr>
                    <w:t>正常</w:t>
                  </w:r>
                </w:p>
              </w:tc>
            </w:tr>
            <w:tr w14:paraId="1BF87E3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875" w:type="dxa"/>
                  <w:tcBorders>
                    <w:tl2br w:val="nil"/>
                    <w:tr2bl w:val="nil"/>
                  </w:tcBorders>
                  <w:vAlign w:val="center"/>
                </w:tcPr>
                <w:p w14:paraId="32C5001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val="0"/>
                      <w:bCs w:val="0"/>
                      <w:color w:val="auto"/>
                      <w:spacing w:val="3"/>
                      <w:sz w:val="21"/>
                      <w:szCs w:val="21"/>
                      <w:u w:val="none" w:color="auto"/>
                      <w:lang w:val="en-US" w:eastAsia="zh-CN"/>
                    </w:rPr>
                  </w:pPr>
                  <w:r>
                    <w:rPr>
                      <w:rFonts w:hint="eastAsia" w:ascii="宋体" w:hAnsi="宋体" w:eastAsia="宋体" w:cs="宋体"/>
                      <w:b w:val="0"/>
                      <w:bCs w:val="0"/>
                      <w:color w:val="auto"/>
                      <w:spacing w:val="3"/>
                      <w:sz w:val="21"/>
                      <w:szCs w:val="21"/>
                      <w:u w:val="none" w:color="auto"/>
                      <w:lang w:val="en-US" w:eastAsia="zh-CN"/>
                    </w:rPr>
                    <w:t>2</w:t>
                  </w:r>
                </w:p>
              </w:tc>
              <w:tc>
                <w:tcPr>
                  <w:tcW w:w="885" w:type="dxa"/>
                  <w:tcBorders>
                    <w:tl2br w:val="nil"/>
                    <w:tr2bl w:val="nil"/>
                  </w:tcBorders>
                  <w:vAlign w:val="center"/>
                </w:tcPr>
                <w:p w14:paraId="0137B348">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宋体" w:hAnsi="宋体" w:eastAsia="宋体" w:cs="宋体"/>
                      <w:b w:val="0"/>
                      <w:bCs w:val="0"/>
                      <w:color w:val="auto"/>
                      <w:spacing w:val="2"/>
                      <w:sz w:val="21"/>
                      <w:szCs w:val="21"/>
                      <w:u w:val="none" w:color="auto"/>
                    </w:rPr>
                  </w:pPr>
                  <w:r>
                    <w:rPr>
                      <w:rFonts w:ascii="宋体" w:hAnsi="宋体" w:eastAsia="宋体" w:cs="宋体"/>
                      <w:b w:val="0"/>
                      <w:bCs w:val="0"/>
                      <w:color w:val="auto"/>
                      <w:spacing w:val="-2"/>
                      <w:sz w:val="21"/>
                      <w:szCs w:val="21"/>
                      <w:u w:val="none" w:color="auto"/>
                    </w:rPr>
                    <w:t>≥</w:t>
                  </w:r>
                  <w:r>
                    <w:rPr>
                      <w:rFonts w:ascii="Times New Roman" w:hAnsi="Times New Roman" w:eastAsia="Times New Roman" w:cs="Times New Roman"/>
                      <w:b w:val="0"/>
                      <w:bCs w:val="0"/>
                      <w:color w:val="auto"/>
                      <w:spacing w:val="-2"/>
                      <w:sz w:val="21"/>
                      <w:szCs w:val="21"/>
                      <w:u w:val="none" w:color="auto"/>
                    </w:rPr>
                    <w:t>690</w:t>
                  </w:r>
                </w:p>
              </w:tc>
              <w:tc>
                <w:tcPr>
                  <w:tcW w:w="1481" w:type="dxa"/>
                  <w:tcBorders>
                    <w:tl2br w:val="nil"/>
                    <w:tr2bl w:val="nil"/>
                  </w:tcBorders>
                  <w:vAlign w:val="center"/>
                </w:tcPr>
                <w:p w14:paraId="13B33D15">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spacing w:val="1"/>
                      <w:sz w:val="21"/>
                      <w:szCs w:val="21"/>
                      <w:u w:val="none" w:color="auto"/>
                    </w:rPr>
                    <w:t>6.0</w:t>
                  </w:r>
                </w:p>
              </w:tc>
              <w:tc>
                <w:tcPr>
                  <w:tcW w:w="1159" w:type="dxa"/>
                  <w:vMerge w:val="continue"/>
                  <w:tcBorders>
                    <w:tl2br w:val="nil"/>
                    <w:tr2bl w:val="nil"/>
                  </w:tcBorders>
                  <w:vAlign w:val="center"/>
                </w:tcPr>
                <w:p w14:paraId="26D6145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2"/>
                      <w:sz w:val="21"/>
                      <w:szCs w:val="21"/>
                      <w:u w:val="none" w:color="auto"/>
                    </w:rPr>
                  </w:pPr>
                </w:p>
              </w:tc>
              <w:tc>
                <w:tcPr>
                  <w:tcW w:w="1074" w:type="dxa"/>
                  <w:vMerge w:val="continue"/>
                  <w:tcBorders>
                    <w:tl2br w:val="nil"/>
                    <w:tr2bl w:val="nil"/>
                  </w:tcBorders>
                  <w:vAlign w:val="center"/>
                </w:tcPr>
                <w:p w14:paraId="13341F1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3" w:type="dxa"/>
                  <w:vMerge w:val="continue"/>
                  <w:tcBorders>
                    <w:tl2br w:val="nil"/>
                    <w:tr2bl w:val="nil"/>
                  </w:tcBorders>
                  <w:vAlign w:val="center"/>
                </w:tcPr>
                <w:p w14:paraId="66E3A3F7">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0" w:type="dxa"/>
                  <w:vMerge w:val="continue"/>
                  <w:tcBorders>
                    <w:tl2br w:val="nil"/>
                    <w:tr2bl w:val="nil"/>
                  </w:tcBorders>
                  <w:vAlign w:val="center"/>
                </w:tcPr>
                <w:p w14:paraId="61BC41F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3"/>
                      <w:sz w:val="21"/>
                      <w:szCs w:val="21"/>
                      <w:u w:val="none" w:color="auto"/>
                    </w:rPr>
                  </w:pPr>
                </w:p>
              </w:tc>
            </w:tr>
            <w:tr w14:paraId="1141D0D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875" w:type="dxa"/>
                  <w:tcBorders>
                    <w:tl2br w:val="nil"/>
                    <w:tr2bl w:val="nil"/>
                  </w:tcBorders>
                  <w:vAlign w:val="center"/>
                </w:tcPr>
                <w:p w14:paraId="5671F52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val="0"/>
                      <w:bCs w:val="0"/>
                      <w:color w:val="auto"/>
                      <w:spacing w:val="3"/>
                      <w:sz w:val="21"/>
                      <w:szCs w:val="21"/>
                      <w:u w:val="none" w:color="auto"/>
                      <w:lang w:val="en-US" w:eastAsia="zh-CN"/>
                    </w:rPr>
                  </w:pPr>
                  <w:r>
                    <w:rPr>
                      <w:rFonts w:hint="eastAsia" w:ascii="宋体" w:hAnsi="宋体" w:eastAsia="宋体" w:cs="宋体"/>
                      <w:b w:val="0"/>
                      <w:bCs w:val="0"/>
                      <w:color w:val="auto"/>
                      <w:spacing w:val="3"/>
                      <w:sz w:val="21"/>
                      <w:szCs w:val="21"/>
                      <w:u w:val="none" w:color="auto"/>
                      <w:lang w:val="en-US" w:eastAsia="zh-CN"/>
                    </w:rPr>
                    <w:t>3</w:t>
                  </w:r>
                </w:p>
              </w:tc>
              <w:tc>
                <w:tcPr>
                  <w:tcW w:w="885" w:type="dxa"/>
                  <w:tcBorders>
                    <w:tl2br w:val="nil"/>
                    <w:tr2bl w:val="nil"/>
                  </w:tcBorders>
                  <w:vAlign w:val="center"/>
                </w:tcPr>
                <w:p w14:paraId="6F7B2895">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宋体" w:hAnsi="宋体" w:eastAsia="宋体" w:cs="宋体"/>
                      <w:b w:val="0"/>
                      <w:bCs w:val="0"/>
                      <w:color w:val="auto"/>
                      <w:spacing w:val="2"/>
                      <w:sz w:val="21"/>
                      <w:szCs w:val="21"/>
                      <w:u w:val="none" w:color="auto"/>
                    </w:rPr>
                  </w:pPr>
                  <w:r>
                    <w:rPr>
                      <w:rFonts w:ascii="宋体" w:hAnsi="宋体" w:eastAsia="宋体" w:cs="宋体"/>
                      <w:b w:val="0"/>
                      <w:bCs w:val="0"/>
                      <w:color w:val="auto"/>
                      <w:spacing w:val="-2"/>
                      <w:sz w:val="21"/>
                      <w:szCs w:val="21"/>
                      <w:u w:val="none" w:color="auto"/>
                    </w:rPr>
                    <w:t>≥</w:t>
                  </w:r>
                  <w:r>
                    <w:rPr>
                      <w:rFonts w:ascii="Times New Roman" w:hAnsi="Times New Roman" w:eastAsia="Times New Roman" w:cs="Times New Roman"/>
                      <w:b w:val="0"/>
                      <w:bCs w:val="0"/>
                      <w:color w:val="auto"/>
                      <w:spacing w:val="-2"/>
                      <w:sz w:val="21"/>
                      <w:szCs w:val="21"/>
                      <w:u w:val="none" w:color="auto"/>
                    </w:rPr>
                    <w:t>660</w:t>
                  </w:r>
                </w:p>
              </w:tc>
              <w:tc>
                <w:tcPr>
                  <w:tcW w:w="1481" w:type="dxa"/>
                  <w:tcBorders>
                    <w:tl2br w:val="nil"/>
                    <w:tr2bl w:val="nil"/>
                  </w:tcBorders>
                  <w:vAlign w:val="center"/>
                </w:tcPr>
                <w:p w14:paraId="19C396F1">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sz w:val="21"/>
                      <w:szCs w:val="21"/>
                      <w:u w:val="none" w:color="auto"/>
                    </w:rPr>
                    <w:t>8.0</w:t>
                  </w:r>
                </w:p>
              </w:tc>
              <w:tc>
                <w:tcPr>
                  <w:tcW w:w="1159" w:type="dxa"/>
                  <w:vMerge w:val="continue"/>
                  <w:tcBorders>
                    <w:tl2br w:val="nil"/>
                    <w:tr2bl w:val="nil"/>
                  </w:tcBorders>
                  <w:vAlign w:val="center"/>
                </w:tcPr>
                <w:p w14:paraId="772B7E3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2"/>
                      <w:sz w:val="21"/>
                      <w:szCs w:val="21"/>
                      <w:u w:val="none" w:color="auto"/>
                    </w:rPr>
                  </w:pPr>
                </w:p>
              </w:tc>
              <w:tc>
                <w:tcPr>
                  <w:tcW w:w="1074" w:type="dxa"/>
                  <w:vMerge w:val="continue"/>
                  <w:tcBorders>
                    <w:tl2br w:val="nil"/>
                    <w:tr2bl w:val="nil"/>
                  </w:tcBorders>
                  <w:vAlign w:val="center"/>
                </w:tcPr>
                <w:p w14:paraId="62C60B7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3" w:type="dxa"/>
                  <w:vMerge w:val="continue"/>
                  <w:tcBorders>
                    <w:tl2br w:val="nil"/>
                    <w:tr2bl w:val="nil"/>
                  </w:tcBorders>
                  <w:vAlign w:val="center"/>
                </w:tcPr>
                <w:p w14:paraId="0B69936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0" w:type="dxa"/>
                  <w:vMerge w:val="continue"/>
                  <w:tcBorders>
                    <w:tl2br w:val="nil"/>
                    <w:tr2bl w:val="nil"/>
                  </w:tcBorders>
                  <w:vAlign w:val="center"/>
                </w:tcPr>
                <w:p w14:paraId="71CCE04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3"/>
                      <w:sz w:val="21"/>
                      <w:szCs w:val="21"/>
                      <w:u w:val="none" w:color="auto"/>
                    </w:rPr>
                  </w:pPr>
                </w:p>
              </w:tc>
            </w:tr>
            <w:tr w14:paraId="1AF6B0E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875" w:type="dxa"/>
                  <w:tcBorders>
                    <w:tl2br w:val="nil"/>
                    <w:tr2bl w:val="nil"/>
                  </w:tcBorders>
                  <w:vAlign w:val="center"/>
                </w:tcPr>
                <w:p w14:paraId="74A635E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val="0"/>
                      <w:bCs w:val="0"/>
                      <w:color w:val="auto"/>
                      <w:spacing w:val="3"/>
                      <w:sz w:val="21"/>
                      <w:szCs w:val="21"/>
                      <w:u w:val="none" w:color="auto"/>
                      <w:lang w:val="en-US" w:eastAsia="zh-CN"/>
                    </w:rPr>
                  </w:pPr>
                  <w:r>
                    <w:rPr>
                      <w:rFonts w:hint="eastAsia" w:ascii="宋体" w:hAnsi="宋体" w:eastAsia="宋体" w:cs="宋体"/>
                      <w:b w:val="0"/>
                      <w:bCs w:val="0"/>
                      <w:color w:val="auto"/>
                      <w:spacing w:val="3"/>
                      <w:sz w:val="21"/>
                      <w:szCs w:val="21"/>
                      <w:u w:val="none" w:color="auto"/>
                      <w:lang w:val="en-US" w:eastAsia="zh-CN"/>
                    </w:rPr>
                    <w:t>4</w:t>
                  </w:r>
                </w:p>
              </w:tc>
              <w:tc>
                <w:tcPr>
                  <w:tcW w:w="885" w:type="dxa"/>
                  <w:tcBorders>
                    <w:tl2br w:val="nil"/>
                    <w:tr2bl w:val="nil"/>
                  </w:tcBorders>
                  <w:vAlign w:val="center"/>
                </w:tcPr>
                <w:p w14:paraId="1F6E6212">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宋体" w:hAnsi="宋体" w:eastAsia="宋体" w:cs="宋体"/>
                      <w:b w:val="0"/>
                      <w:bCs w:val="0"/>
                      <w:color w:val="auto"/>
                      <w:spacing w:val="2"/>
                      <w:sz w:val="21"/>
                      <w:szCs w:val="21"/>
                      <w:u w:val="none" w:color="auto"/>
                    </w:rPr>
                  </w:pPr>
                  <w:r>
                    <w:rPr>
                      <w:rFonts w:ascii="宋体" w:hAnsi="宋体" w:eastAsia="宋体" w:cs="宋体"/>
                      <w:b w:val="0"/>
                      <w:bCs w:val="0"/>
                      <w:color w:val="auto"/>
                      <w:spacing w:val="-2"/>
                      <w:sz w:val="21"/>
                      <w:szCs w:val="21"/>
                      <w:u w:val="none" w:color="auto"/>
                    </w:rPr>
                    <w:t>≥</w:t>
                  </w:r>
                  <w:r>
                    <w:rPr>
                      <w:rFonts w:ascii="Times New Roman" w:hAnsi="Times New Roman" w:eastAsia="Times New Roman" w:cs="Times New Roman"/>
                      <w:b w:val="0"/>
                      <w:bCs w:val="0"/>
                      <w:color w:val="auto"/>
                      <w:spacing w:val="-2"/>
                      <w:sz w:val="21"/>
                      <w:szCs w:val="21"/>
                      <w:u w:val="none" w:color="auto"/>
                    </w:rPr>
                    <w:t>630</w:t>
                  </w:r>
                </w:p>
              </w:tc>
              <w:tc>
                <w:tcPr>
                  <w:tcW w:w="1481" w:type="dxa"/>
                  <w:tcBorders>
                    <w:tl2br w:val="nil"/>
                    <w:tr2bl w:val="nil"/>
                  </w:tcBorders>
                  <w:vAlign w:val="center"/>
                </w:tcPr>
                <w:p w14:paraId="04724DCC">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spacing w:val="-2"/>
                      <w:sz w:val="21"/>
                      <w:szCs w:val="21"/>
                      <w:u w:val="none" w:color="auto"/>
                    </w:rPr>
                    <w:t>10.0</w:t>
                  </w:r>
                </w:p>
              </w:tc>
              <w:tc>
                <w:tcPr>
                  <w:tcW w:w="1159" w:type="dxa"/>
                  <w:vMerge w:val="continue"/>
                  <w:tcBorders>
                    <w:tl2br w:val="nil"/>
                    <w:tr2bl w:val="nil"/>
                  </w:tcBorders>
                  <w:vAlign w:val="center"/>
                </w:tcPr>
                <w:p w14:paraId="360F3AC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2"/>
                      <w:sz w:val="21"/>
                      <w:szCs w:val="21"/>
                      <w:u w:val="none" w:color="auto"/>
                    </w:rPr>
                  </w:pPr>
                </w:p>
              </w:tc>
              <w:tc>
                <w:tcPr>
                  <w:tcW w:w="1074" w:type="dxa"/>
                  <w:vMerge w:val="continue"/>
                  <w:tcBorders>
                    <w:tl2br w:val="nil"/>
                    <w:tr2bl w:val="nil"/>
                  </w:tcBorders>
                  <w:vAlign w:val="center"/>
                </w:tcPr>
                <w:p w14:paraId="284F2FFB">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3" w:type="dxa"/>
                  <w:vMerge w:val="continue"/>
                  <w:tcBorders>
                    <w:tl2br w:val="nil"/>
                    <w:tr2bl w:val="nil"/>
                  </w:tcBorders>
                  <w:vAlign w:val="center"/>
                </w:tcPr>
                <w:p w14:paraId="34093B4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0" w:type="dxa"/>
                  <w:vMerge w:val="continue"/>
                  <w:tcBorders>
                    <w:tl2br w:val="nil"/>
                    <w:tr2bl w:val="nil"/>
                  </w:tcBorders>
                  <w:vAlign w:val="center"/>
                </w:tcPr>
                <w:p w14:paraId="409B703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3"/>
                      <w:sz w:val="21"/>
                      <w:szCs w:val="21"/>
                      <w:u w:val="none" w:color="auto"/>
                    </w:rPr>
                  </w:pPr>
                </w:p>
              </w:tc>
            </w:tr>
            <w:tr w14:paraId="764A982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875" w:type="dxa"/>
                  <w:tcBorders>
                    <w:tl2br w:val="nil"/>
                    <w:tr2bl w:val="nil"/>
                  </w:tcBorders>
                  <w:vAlign w:val="center"/>
                </w:tcPr>
                <w:p w14:paraId="6DA190B4">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val="0"/>
                      <w:bCs w:val="0"/>
                      <w:color w:val="auto"/>
                      <w:spacing w:val="3"/>
                      <w:sz w:val="21"/>
                      <w:szCs w:val="21"/>
                      <w:u w:val="none" w:color="auto"/>
                      <w:lang w:val="en-US" w:eastAsia="zh-CN"/>
                    </w:rPr>
                  </w:pPr>
                  <w:r>
                    <w:rPr>
                      <w:rFonts w:hint="eastAsia" w:ascii="宋体" w:hAnsi="宋体" w:eastAsia="宋体" w:cs="宋体"/>
                      <w:b w:val="0"/>
                      <w:bCs w:val="0"/>
                      <w:color w:val="auto"/>
                      <w:spacing w:val="3"/>
                      <w:sz w:val="21"/>
                      <w:szCs w:val="21"/>
                      <w:u w:val="none" w:color="auto"/>
                      <w:lang w:val="en-US" w:eastAsia="zh-CN"/>
                    </w:rPr>
                    <w:t>5</w:t>
                  </w:r>
                </w:p>
              </w:tc>
              <w:tc>
                <w:tcPr>
                  <w:tcW w:w="885" w:type="dxa"/>
                  <w:tcBorders>
                    <w:tl2br w:val="nil"/>
                    <w:tr2bl w:val="nil"/>
                  </w:tcBorders>
                  <w:vAlign w:val="center"/>
                </w:tcPr>
                <w:p w14:paraId="6831F550">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宋体" w:hAnsi="宋体" w:eastAsia="宋体" w:cs="宋体"/>
                      <w:b w:val="0"/>
                      <w:bCs w:val="0"/>
                      <w:color w:val="auto"/>
                      <w:spacing w:val="2"/>
                      <w:sz w:val="21"/>
                      <w:szCs w:val="21"/>
                      <w:u w:val="none" w:color="auto"/>
                    </w:rPr>
                  </w:pPr>
                  <w:r>
                    <w:rPr>
                      <w:rFonts w:ascii="宋体" w:hAnsi="宋体" w:eastAsia="宋体" w:cs="宋体"/>
                      <w:b w:val="0"/>
                      <w:bCs w:val="0"/>
                      <w:color w:val="auto"/>
                      <w:spacing w:val="-2"/>
                      <w:sz w:val="21"/>
                      <w:szCs w:val="21"/>
                      <w:u w:val="none" w:color="auto"/>
                    </w:rPr>
                    <w:t>≥</w:t>
                  </w:r>
                  <w:r>
                    <w:rPr>
                      <w:rFonts w:ascii="Times New Roman" w:hAnsi="Times New Roman" w:eastAsia="Times New Roman" w:cs="Times New Roman"/>
                      <w:b w:val="0"/>
                      <w:bCs w:val="0"/>
                      <w:color w:val="auto"/>
                      <w:spacing w:val="-2"/>
                      <w:sz w:val="21"/>
                      <w:szCs w:val="21"/>
                      <w:u w:val="none" w:color="auto"/>
                    </w:rPr>
                    <w:t>600</w:t>
                  </w:r>
                </w:p>
              </w:tc>
              <w:tc>
                <w:tcPr>
                  <w:tcW w:w="1481" w:type="dxa"/>
                  <w:tcBorders>
                    <w:tl2br w:val="nil"/>
                    <w:tr2bl w:val="nil"/>
                  </w:tcBorders>
                  <w:vAlign w:val="center"/>
                </w:tcPr>
                <w:p w14:paraId="23DDD2BA">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spacing w:val="-2"/>
                      <w:sz w:val="21"/>
                      <w:szCs w:val="21"/>
                      <w:u w:val="none" w:color="auto"/>
                    </w:rPr>
                    <w:t>15.0</w:t>
                  </w:r>
                </w:p>
              </w:tc>
              <w:tc>
                <w:tcPr>
                  <w:tcW w:w="1159" w:type="dxa"/>
                  <w:vMerge w:val="continue"/>
                  <w:tcBorders>
                    <w:tl2br w:val="nil"/>
                    <w:tr2bl w:val="nil"/>
                  </w:tcBorders>
                  <w:vAlign w:val="center"/>
                </w:tcPr>
                <w:p w14:paraId="2CDC814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2"/>
                      <w:sz w:val="21"/>
                      <w:szCs w:val="21"/>
                      <w:u w:val="none" w:color="auto"/>
                    </w:rPr>
                  </w:pPr>
                </w:p>
              </w:tc>
              <w:tc>
                <w:tcPr>
                  <w:tcW w:w="1074" w:type="dxa"/>
                  <w:vMerge w:val="continue"/>
                  <w:tcBorders>
                    <w:tl2br w:val="nil"/>
                    <w:tr2bl w:val="nil"/>
                  </w:tcBorders>
                  <w:vAlign w:val="center"/>
                </w:tcPr>
                <w:p w14:paraId="0FA98EE5">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3" w:type="dxa"/>
                  <w:vMerge w:val="continue"/>
                  <w:tcBorders>
                    <w:tl2br w:val="nil"/>
                    <w:tr2bl w:val="nil"/>
                  </w:tcBorders>
                  <w:vAlign w:val="center"/>
                </w:tcPr>
                <w:p w14:paraId="2EF0B17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0" w:type="dxa"/>
                  <w:vMerge w:val="continue"/>
                  <w:tcBorders>
                    <w:tl2br w:val="nil"/>
                    <w:tr2bl w:val="nil"/>
                  </w:tcBorders>
                  <w:vAlign w:val="center"/>
                </w:tcPr>
                <w:p w14:paraId="5BFA1A6E">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3"/>
                      <w:sz w:val="21"/>
                      <w:szCs w:val="21"/>
                      <w:u w:val="none" w:color="auto"/>
                    </w:rPr>
                  </w:pPr>
                </w:p>
              </w:tc>
            </w:tr>
            <w:tr w14:paraId="43DBD1F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875" w:type="dxa"/>
                  <w:tcBorders>
                    <w:tl2br w:val="nil"/>
                    <w:tr2bl w:val="nil"/>
                  </w:tcBorders>
                  <w:vAlign w:val="center"/>
                </w:tcPr>
                <w:p w14:paraId="183F225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宋体" w:hAnsi="宋体" w:eastAsia="宋体" w:cs="宋体"/>
                      <w:b w:val="0"/>
                      <w:bCs w:val="0"/>
                      <w:color w:val="auto"/>
                      <w:spacing w:val="3"/>
                      <w:sz w:val="21"/>
                      <w:szCs w:val="21"/>
                      <w:u w:val="none" w:color="auto"/>
                      <w:lang w:val="en-US" w:eastAsia="zh-CN"/>
                    </w:rPr>
                  </w:pPr>
                  <w:r>
                    <w:rPr>
                      <w:rFonts w:hint="eastAsia" w:ascii="宋体" w:hAnsi="宋体" w:eastAsia="宋体" w:cs="宋体"/>
                      <w:b w:val="0"/>
                      <w:bCs w:val="0"/>
                      <w:color w:val="auto"/>
                      <w:spacing w:val="3"/>
                      <w:sz w:val="21"/>
                      <w:szCs w:val="21"/>
                      <w:u w:val="none" w:color="auto"/>
                      <w:lang w:val="en-US" w:eastAsia="zh-CN"/>
                    </w:rPr>
                    <w:t>等外</w:t>
                  </w:r>
                </w:p>
              </w:tc>
              <w:tc>
                <w:tcPr>
                  <w:tcW w:w="885" w:type="dxa"/>
                  <w:tcBorders>
                    <w:tl2br w:val="nil"/>
                    <w:tr2bl w:val="nil"/>
                  </w:tcBorders>
                  <w:vAlign w:val="center"/>
                </w:tcPr>
                <w:p w14:paraId="62D8F141">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宋体" w:hAnsi="宋体" w:eastAsia="宋体" w:cs="宋体"/>
                      <w:b w:val="0"/>
                      <w:bCs w:val="0"/>
                      <w:color w:val="auto"/>
                      <w:spacing w:val="2"/>
                      <w:sz w:val="21"/>
                      <w:szCs w:val="21"/>
                      <w:u w:val="none" w:color="auto"/>
                    </w:rPr>
                  </w:pPr>
                  <w:r>
                    <w:rPr>
                      <w:rFonts w:ascii="Times New Roman" w:hAnsi="Times New Roman" w:eastAsia="Times New Roman" w:cs="Times New Roman"/>
                      <w:b w:val="0"/>
                      <w:bCs w:val="0"/>
                      <w:color w:val="auto"/>
                      <w:spacing w:val="4"/>
                      <w:sz w:val="21"/>
                      <w:szCs w:val="21"/>
                      <w:u w:val="none" w:color="auto"/>
                    </w:rPr>
                    <w:t>&lt;600</w:t>
                  </w:r>
                </w:p>
              </w:tc>
              <w:tc>
                <w:tcPr>
                  <w:tcW w:w="1481" w:type="dxa"/>
                  <w:tcBorders>
                    <w:tl2br w:val="nil"/>
                    <w:tr2bl w:val="nil"/>
                  </w:tcBorders>
                  <w:vAlign w:val="center"/>
                </w:tcPr>
                <w:p w14:paraId="5B532F5D">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hAnsi="Times New Roman" w:eastAsia="Times New Roman" w:cs="Times New Roman"/>
                      <w:b w:val="0"/>
                      <w:bCs w:val="0"/>
                      <w:color w:val="auto"/>
                      <w:sz w:val="21"/>
                      <w:szCs w:val="21"/>
                      <w:u w:val="none" w:color="auto"/>
                    </w:rPr>
                  </w:pPr>
                  <w:r>
                    <w:rPr>
                      <w:rFonts w:ascii="Times New Roman" w:hAnsi="Times New Roman" w:eastAsia="Times New Roman" w:cs="Times New Roman"/>
                      <w:b w:val="0"/>
                      <w:bCs w:val="0"/>
                      <w:color w:val="auto"/>
                      <w:position w:val="-2"/>
                      <w:sz w:val="21"/>
                      <w:szCs w:val="21"/>
                      <w:u w:val="none" w:color="auto"/>
                    </w:rPr>
                    <w:t>-</w:t>
                  </w:r>
                </w:p>
              </w:tc>
              <w:tc>
                <w:tcPr>
                  <w:tcW w:w="1159" w:type="dxa"/>
                  <w:vMerge w:val="continue"/>
                  <w:tcBorders>
                    <w:tl2br w:val="nil"/>
                    <w:tr2bl w:val="nil"/>
                  </w:tcBorders>
                  <w:vAlign w:val="center"/>
                </w:tcPr>
                <w:p w14:paraId="57EED9F1">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2"/>
                      <w:sz w:val="21"/>
                      <w:szCs w:val="21"/>
                      <w:u w:val="none" w:color="auto"/>
                    </w:rPr>
                  </w:pPr>
                </w:p>
              </w:tc>
              <w:tc>
                <w:tcPr>
                  <w:tcW w:w="1074" w:type="dxa"/>
                  <w:vMerge w:val="continue"/>
                  <w:tcBorders>
                    <w:tl2br w:val="nil"/>
                    <w:tr2bl w:val="nil"/>
                  </w:tcBorders>
                  <w:vAlign w:val="center"/>
                </w:tcPr>
                <w:p w14:paraId="1FD39563">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3" w:type="dxa"/>
                  <w:vMerge w:val="continue"/>
                  <w:tcBorders>
                    <w:tl2br w:val="nil"/>
                    <w:tr2bl w:val="nil"/>
                  </w:tcBorders>
                  <w:vAlign w:val="center"/>
                </w:tcPr>
                <w:p w14:paraId="3E879D8F">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b w:val="0"/>
                      <w:bCs w:val="0"/>
                      <w:color w:val="auto"/>
                      <w:sz w:val="21"/>
                      <w:szCs w:val="21"/>
                      <w:u w:val="none" w:color="auto"/>
                    </w:rPr>
                  </w:pPr>
                </w:p>
              </w:tc>
              <w:tc>
                <w:tcPr>
                  <w:tcW w:w="1130" w:type="dxa"/>
                  <w:vMerge w:val="continue"/>
                  <w:tcBorders>
                    <w:tl2br w:val="nil"/>
                    <w:tr2bl w:val="nil"/>
                  </w:tcBorders>
                  <w:vAlign w:val="center"/>
                </w:tcPr>
                <w:p w14:paraId="24D98C5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宋体" w:hAnsi="宋体" w:eastAsia="宋体" w:cs="宋体"/>
                      <w:b w:val="0"/>
                      <w:bCs w:val="0"/>
                      <w:color w:val="auto"/>
                      <w:spacing w:val="-3"/>
                      <w:sz w:val="21"/>
                      <w:szCs w:val="21"/>
                      <w:u w:val="none" w:color="auto"/>
                    </w:rPr>
                  </w:pPr>
                </w:p>
              </w:tc>
            </w:tr>
            <w:tr w14:paraId="6E36978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88" w:hRule="atLeast"/>
              </w:trPr>
              <w:tc>
                <w:tcPr>
                  <w:tcW w:w="7737" w:type="dxa"/>
                  <w:gridSpan w:val="7"/>
                  <w:tcBorders>
                    <w:tl2br w:val="nil"/>
                    <w:tr2bl w:val="nil"/>
                  </w:tcBorders>
                  <w:vAlign w:val="center"/>
                </w:tcPr>
                <w:p w14:paraId="61138254">
                  <w:pPr>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宋体" w:hAnsi="宋体" w:eastAsia="宋体" w:cs="宋体"/>
                      <w:b w:val="0"/>
                      <w:bCs w:val="0"/>
                      <w:color w:val="auto"/>
                      <w:spacing w:val="-3"/>
                      <w:sz w:val="21"/>
                      <w:szCs w:val="21"/>
                      <w:u w:val="none" w:color="auto"/>
                      <w:lang w:val="en-US" w:eastAsia="zh-CN"/>
                    </w:rPr>
                  </w:pPr>
                  <w:r>
                    <w:rPr>
                      <w:rFonts w:hint="eastAsia" w:ascii="宋体" w:hAnsi="宋体" w:eastAsia="宋体" w:cs="宋体"/>
                      <w:b w:val="0"/>
                      <w:bCs w:val="0"/>
                      <w:color w:val="auto"/>
                      <w:spacing w:val="-3"/>
                      <w:sz w:val="21"/>
                      <w:szCs w:val="21"/>
                      <w:u w:val="none" w:color="auto"/>
                      <w:lang w:val="en-US" w:eastAsia="zh-CN"/>
                    </w:rPr>
                    <w:t>注：“-”为不要求。</w:t>
                  </w:r>
                </w:p>
              </w:tc>
            </w:tr>
          </w:tbl>
          <w:p w14:paraId="70A09F89">
            <w:pPr>
              <w:spacing w:line="360" w:lineRule="auto"/>
              <w:rPr>
                <w:rFonts w:hint="eastAsia"/>
                <w:b/>
                <w:color w:val="auto"/>
                <w:sz w:val="24"/>
                <w:highlight w:val="none"/>
                <w:u w:val="none" w:color="auto"/>
              </w:rPr>
            </w:pPr>
          </w:p>
          <w:p w14:paraId="5C3A4033">
            <w:pPr>
              <w:snapToGrid w:val="0"/>
              <w:spacing w:line="360" w:lineRule="auto"/>
              <w:ind w:firstLine="482" w:firstLineChars="200"/>
              <w:rPr>
                <w:color w:val="auto"/>
                <w:highlight w:val="none"/>
                <w:u w:val="none" w:color="auto"/>
              </w:rPr>
            </w:pPr>
            <w:r>
              <w:rPr>
                <w:rFonts w:hint="eastAsia"/>
                <w:b/>
                <w:bCs/>
                <w:color w:val="auto"/>
                <w:sz w:val="24"/>
                <w:highlight w:val="none"/>
                <w:u w:val="none" w:color="auto"/>
                <w:lang w:val="en-US" w:eastAsia="zh-CN"/>
              </w:rPr>
              <w:t>2.4主要原辅材料消耗情况</w:t>
            </w:r>
          </w:p>
          <w:p w14:paraId="21E59676">
            <w:pPr>
              <w:pStyle w:val="48"/>
              <w:widowControl w:val="0"/>
              <w:overflowPunct w:val="0"/>
              <w:spacing w:line="360" w:lineRule="auto"/>
              <w:ind w:firstLine="504"/>
              <w:jc w:val="both"/>
              <w:rPr>
                <w:rFonts w:hint="eastAsia" w:ascii="Times New Roman" w:hAnsi="Times New Roman" w:cs="Times New Roman"/>
                <w:color w:val="auto"/>
                <w:szCs w:val="21"/>
                <w:highlight w:val="none"/>
                <w:u w:val="none" w:color="auto"/>
              </w:rPr>
            </w:pPr>
            <w:r>
              <w:rPr>
                <w:rFonts w:hint="eastAsia" w:ascii="Times New Roman" w:hAnsi="Times New Roman" w:cs="Times New Roman"/>
                <w:color w:val="auto"/>
                <w:szCs w:val="21"/>
                <w:highlight w:val="none"/>
                <w:u w:val="none" w:color="auto"/>
              </w:rPr>
              <w:t>本项目主要原辅材料详见下表。燃料消耗量计算：</w:t>
            </w:r>
            <w:r>
              <w:rPr>
                <w:rFonts w:hint="eastAsia" w:ascii="Times New Roman" w:hAnsi="Times New Roman" w:cs="Times New Roman"/>
                <w:color w:val="auto"/>
                <w:szCs w:val="21"/>
                <w:highlight w:val="none"/>
                <w:u w:val="single" w:color="auto"/>
              </w:rPr>
              <w:t>将</w:t>
            </w:r>
            <w:r>
              <w:rPr>
                <w:rFonts w:hint="eastAsia" w:ascii="Times New Roman" w:hAnsi="Times New Roman" w:cs="Times New Roman"/>
                <w:color w:val="auto"/>
                <w:szCs w:val="21"/>
                <w:highlight w:val="none"/>
                <w:u w:val="single" w:color="auto"/>
                <w:lang w:val="en-US" w:eastAsia="zh-CN"/>
              </w:rPr>
              <w:t>15000</w:t>
            </w:r>
            <w:r>
              <w:rPr>
                <w:rFonts w:hint="eastAsia" w:ascii="Times New Roman" w:hAnsi="Times New Roman" w:cs="Times New Roman"/>
                <w:color w:val="auto"/>
                <w:szCs w:val="21"/>
                <w:highlight w:val="none"/>
                <w:u w:val="single" w:color="auto"/>
              </w:rPr>
              <w:t>吨玉米从水分2</w:t>
            </w:r>
            <w:r>
              <w:rPr>
                <w:rFonts w:hint="eastAsia" w:ascii="Times New Roman" w:hAnsi="Times New Roman" w:cs="Times New Roman"/>
                <w:color w:val="auto"/>
                <w:szCs w:val="21"/>
                <w:highlight w:val="none"/>
                <w:u w:val="single" w:color="auto"/>
                <w:lang w:val="en-US" w:eastAsia="zh-CN"/>
              </w:rPr>
              <w:t>9</w:t>
            </w:r>
            <w:r>
              <w:rPr>
                <w:rFonts w:hint="eastAsia" w:ascii="Times New Roman" w:hAnsi="Times New Roman" w:cs="Times New Roman"/>
                <w:color w:val="auto"/>
                <w:szCs w:val="21"/>
                <w:highlight w:val="none"/>
                <w:u w:val="single" w:color="auto"/>
              </w:rPr>
              <w:t>%烘干至14%，需要蒸发</w:t>
            </w:r>
            <w:r>
              <w:rPr>
                <w:rFonts w:hint="eastAsia" w:ascii="Times New Roman" w:hAnsi="Times New Roman" w:cs="Times New Roman"/>
                <w:color w:val="auto"/>
                <w:szCs w:val="21"/>
                <w:highlight w:val="none"/>
                <w:u w:val="single" w:color="auto"/>
                <w:lang w:val="en-US" w:eastAsia="zh-CN"/>
              </w:rPr>
              <w:t>2611.916</w:t>
            </w:r>
            <w:r>
              <w:rPr>
                <w:rFonts w:hint="eastAsia" w:ascii="Times New Roman" w:hAnsi="Times New Roman" w:cs="Times New Roman"/>
                <w:color w:val="auto"/>
                <w:szCs w:val="21"/>
                <w:highlight w:val="none"/>
                <w:u w:val="single" w:color="auto"/>
              </w:rPr>
              <w:t>吨水，</w:t>
            </w:r>
            <w:r>
              <w:rPr>
                <w:rFonts w:hint="eastAsia" w:ascii="Times New Roman" w:hAnsi="Times New Roman" w:cs="Times New Roman"/>
                <w:color w:val="auto"/>
                <w:szCs w:val="21"/>
                <w:highlight w:val="none"/>
                <w:u w:val="single" w:color="auto"/>
                <w:lang w:eastAsia="zh-CN"/>
              </w:rPr>
              <w:t>参考《粮食烘干过程中不同外部条件对烘干能耗的影响》中的数据“每烘干</w:t>
            </w:r>
            <w:r>
              <w:rPr>
                <w:rFonts w:hint="eastAsia" w:ascii="Times New Roman" w:hAnsi="Times New Roman" w:cs="Times New Roman"/>
                <w:color w:val="auto"/>
                <w:szCs w:val="21"/>
                <w:highlight w:val="none"/>
                <w:u w:val="single" w:color="auto"/>
                <w:lang w:val="en-US" w:eastAsia="zh-CN"/>
              </w:rPr>
              <w:t>1</w:t>
            </w:r>
            <w:r>
              <w:rPr>
                <w:rFonts w:hint="eastAsia" w:ascii="Times New Roman" w:hAnsi="Times New Roman" w:cs="Times New Roman"/>
                <w:color w:val="auto"/>
                <w:szCs w:val="21"/>
                <w:highlight w:val="none"/>
                <w:u w:val="single" w:color="auto"/>
                <w:lang w:eastAsia="zh-CN"/>
              </w:rPr>
              <w:t>kg水能耗取5200kJ/kg”，因此烘干</w:t>
            </w:r>
            <w:r>
              <w:rPr>
                <w:rFonts w:hint="eastAsia" w:ascii="Times New Roman" w:hAnsi="Times New Roman" w:cs="Times New Roman"/>
                <w:color w:val="auto"/>
                <w:szCs w:val="21"/>
                <w:highlight w:val="none"/>
                <w:u w:val="single" w:color="auto"/>
              </w:rPr>
              <w:t>需要的热能约为</w:t>
            </w:r>
            <w:r>
              <w:rPr>
                <w:rFonts w:hint="eastAsia" w:ascii="Times New Roman" w:hAnsi="Times New Roman" w:cs="Times New Roman"/>
                <w:color w:val="auto"/>
                <w:szCs w:val="21"/>
                <w:highlight w:val="none"/>
                <w:u w:val="single" w:color="auto"/>
                <w:lang w:val="en-US" w:eastAsia="zh-CN"/>
              </w:rPr>
              <w:t>13581963.2</w:t>
            </w:r>
            <w:r>
              <w:rPr>
                <w:rFonts w:hint="eastAsia" w:ascii="Times New Roman" w:hAnsi="Times New Roman" w:cs="Times New Roman"/>
                <w:color w:val="auto"/>
                <w:szCs w:val="21"/>
                <w:highlight w:val="none"/>
                <w:u w:val="single" w:color="auto"/>
              </w:rPr>
              <w:t>MJ，热风炉的热效率按照80%计算，则需要消耗</w:t>
            </w:r>
            <w:r>
              <w:rPr>
                <w:rFonts w:hint="eastAsia" w:ascii="Times New Roman" w:hAnsi="Times New Roman" w:cs="Times New Roman"/>
                <w:color w:val="auto"/>
                <w:szCs w:val="21"/>
                <w:highlight w:val="none"/>
                <w:u w:val="single" w:color="auto"/>
                <w:lang w:val="en-US" w:eastAsia="zh-CN"/>
              </w:rPr>
              <w:t>16977454</w:t>
            </w:r>
            <w:r>
              <w:rPr>
                <w:rFonts w:hint="eastAsia" w:ascii="Times New Roman" w:hAnsi="Times New Roman" w:cs="Times New Roman"/>
                <w:color w:val="auto"/>
                <w:szCs w:val="21"/>
                <w:highlight w:val="none"/>
                <w:u w:val="single" w:color="auto"/>
              </w:rPr>
              <w:t>MJ，所以需要消耗燃料</w:t>
            </w:r>
            <w:r>
              <w:rPr>
                <w:rFonts w:hint="eastAsia" w:ascii="Times New Roman" w:hAnsi="Times New Roman" w:cs="Times New Roman"/>
                <w:color w:val="auto"/>
                <w:szCs w:val="21"/>
                <w:highlight w:val="none"/>
                <w:u w:val="single" w:color="auto"/>
                <w:lang w:val="en-US" w:eastAsia="zh-CN"/>
              </w:rPr>
              <w:t>1244.68</w:t>
            </w:r>
            <w:r>
              <w:rPr>
                <w:rFonts w:hint="eastAsia" w:ascii="Times New Roman" w:hAnsi="Times New Roman" w:cs="Times New Roman"/>
                <w:color w:val="auto"/>
                <w:szCs w:val="21"/>
                <w:highlight w:val="none"/>
                <w:u w:val="single" w:color="auto"/>
              </w:rPr>
              <w:t>t</w:t>
            </w:r>
            <w:r>
              <w:rPr>
                <w:rFonts w:hint="eastAsia" w:ascii="Times New Roman" w:hAnsi="Times New Roman" w:cs="Times New Roman"/>
                <w:color w:val="auto"/>
                <w:szCs w:val="21"/>
                <w:highlight w:val="none"/>
                <w:u w:val="single" w:color="auto"/>
                <w:lang w:eastAsia="zh-CN"/>
              </w:rPr>
              <w:t>（该生物质颗粒低位发热值</w:t>
            </w:r>
            <w:r>
              <w:rPr>
                <w:rFonts w:hint="eastAsia" w:ascii="Times New Roman" w:hAnsi="Times New Roman" w:cs="Times New Roman"/>
                <w:color w:val="auto"/>
                <w:szCs w:val="21"/>
                <w:highlight w:val="none"/>
                <w:u w:val="single" w:color="auto"/>
                <w:lang w:val="en-US" w:eastAsia="zh-CN"/>
              </w:rPr>
              <w:t>13.64</w:t>
            </w:r>
            <w:r>
              <w:rPr>
                <w:rFonts w:hint="eastAsia" w:ascii="Times New Roman" w:hAnsi="Times New Roman" w:cs="Times New Roman"/>
                <w:color w:val="auto"/>
                <w:szCs w:val="21"/>
                <w:highlight w:val="none"/>
                <w:u w:val="single" w:color="auto"/>
                <w:lang w:eastAsia="zh-CN"/>
              </w:rPr>
              <w:t>MJ/kg（燃料热值</w:t>
            </w:r>
            <w:r>
              <w:rPr>
                <w:rFonts w:hint="eastAsia" w:ascii="Times New Roman" w:hAnsi="Times New Roman" w:cs="Times New Roman"/>
                <w:color w:val="auto"/>
                <w:szCs w:val="21"/>
                <w:highlight w:val="none"/>
                <w:u w:val="single" w:color="auto"/>
                <w:lang w:val="en-US" w:eastAsia="zh-CN"/>
              </w:rPr>
              <w:t>3258</w:t>
            </w:r>
            <w:r>
              <w:rPr>
                <w:rFonts w:hint="eastAsia" w:ascii="Times New Roman" w:hAnsi="Times New Roman" w:cs="Times New Roman"/>
                <w:color w:val="auto"/>
                <w:szCs w:val="21"/>
                <w:highlight w:val="none"/>
                <w:u w:val="single" w:color="auto"/>
                <w:lang w:eastAsia="zh-CN"/>
              </w:rPr>
              <w:t>kcal/kg）</w:t>
            </w:r>
            <w:r>
              <w:rPr>
                <w:rFonts w:hint="eastAsia" w:ascii="Times New Roman" w:hAnsi="Times New Roman" w:cs="Times New Roman"/>
                <w:color w:val="auto"/>
                <w:szCs w:val="21"/>
                <w:highlight w:val="none"/>
                <w:u w:val="single" w:color="auto"/>
              </w:rPr>
              <w:t>。</w:t>
            </w:r>
          </w:p>
          <w:p w14:paraId="5D7BA645">
            <w:pPr>
              <w:pStyle w:val="48"/>
              <w:widowControl w:val="0"/>
              <w:overflowPunct w:val="0"/>
              <w:spacing w:line="360" w:lineRule="auto"/>
              <w:ind w:firstLine="504"/>
              <w:jc w:val="both"/>
              <w:rPr>
                <w:rFonts w:ascii="Times New Roman" w:hAnsi="Times New Roman" w:cs="Times New Roman"/>
                <w:color w:val="auto"/>
                <w:szCs w:val="21"/>
                <w:highlight w:val="none"/>
                <w:u w:val="none" w:color="auto"/>
              </w:rPr>
            </w:pPr>
            <w:r>
              <w:rPr>
                <w:rFonts w:hint="eastAsia" w:ascii="Times New Roman" w:hAnsi="Times New Roman" w:cs="Times New Roman"/>
                <w:color w:val="auto"/>
                <w:szCs w:val="21"/>
                <w:highlight w:val="none"/>
                <w:u w:val="none" w:color="auto"/>
              </w:rPr>
              <w:t>生物质颗粒成分见下表，生物质颗粒成分分析单见附件</w:t>
            </w:r>
            <w:r>
              <w:rPr>
                <w:rFonts w:hint="eastAsia" w:ascii="Times New Roman" w:hAnsi="Times New Roman" w:cs="Times New Roman"/>
                <w:color w:val="auto"/>
                <w:szCs w:val="21"/>
                <w:highlight w:val="none"/>
                <w:u w:val="none" w:color="auto"/>
                <w:lang w:val="en-US" w:eastAsia="zh-CN"/>
              </w:rPr>
              <w:t>4</w:t>
            </w:r>
            <w:r>
              <w:rPr>
                <w:rFonts w:hint="eastAsia" w:ascii="Times New Roman" w:hAnsi="Times New Roman" w:cs="Times New Roman"/>
                <w:color w:val="auto"/>
                <w:szCs w:val="21"/>
                <w:highlight w:val="none"/>
                <w:u w:val="none" w:color="auto"/>
              </w:rPr>
              <w:t>。</w:t>
            </w:r>
          </w:p>
          <w:p w14:paraId="20D8E910">
            <w:pPr>
              <w:pStyle w:val="48"/>
              <w:widowControl w:val="0"/>
              <w:overflowPunct w:val="0"/>
              <w:spacing w:line="360" w:lineRule="auto"/>
              <w:ind w:firstLine="504"/>
              <w:jc w:val="both"/>
              <w:rPr>
                <w:rFonts w:ascii="Times New Roman" w:hAnsi="Times New Roman" w:cs="Times New Roman"/>
                <w:color w:val="auto"/>
                <w:szCs w:val="21"/>
                <w:highlight w:val="none"/>
                <w:u w:val="none" w:color="auto"/>
              </w:rPr>
            </w:pPr>
            <w:r>
              <w:rPr>
                <w:rFonts w:hint="eastAsia" w:ascii="Times New Roman" w:hAnsi="Times New Roman" w:cs="Times New Roman"/>
                <w:color w:val="auto"/>
                <w:szCs w:val="21"/>
                <w:highlight w:val="none"/>
                <w:u w:val="none" w:color="auto"/>
              </w:rPr>
              <w:t>主要原辅料及能源消耗见下表。</w:t>
            </w:r>
          </w:p>
          <w:p w14:paraId="6F0802C4">
            <w:pPr>
              <w:adjustRightInd w:val="0"/>
              <w:snapToGrid w:val="0"/>
              <w:jc w:val="center"/>
              <w:rPr>
                <w:rFonts w:hint="eastAsia"/>
                <w:b/>
                <w:color w:val="auto"/>
                <w:sz w:val="24"/>
                <w:highlight w:val="none"/>
                <w:u w:val="none" w:color="auto"/>
                <w:lang w:val="en-US" w:eastAsia="zh-CN"/>
              </w:rPr>
            </w:pPr>
            <w:r>
              <w:rPr>
                <w:rFonts w:hint="eastAsia"/>
                <w:b/>
                <w:color w:val="auto"/>
                <w:sz w:val="24"/>
                <w:highlight w:val="none"/>
                <w:u w:val="none" w:color="auto"/>
              </w:rPr>
              <w:t>表</w:t>
            </w:r>
            <w:r>
              <w:rPr>
                <w:rFonts w:hint="eastAsia"/>
                <w:b/>
                <w:color w:val="auto"/>
                <w:sz w:val="24"/>
                <w:highlight w:val="none"/>
                <w:u w:val="none" w:color="auto"/>
                <w:lang w:val="en-US" w:eastAsia="zh-CN"/>
              </w:rPr>
              <w:t>2-</w:t>
            </w:r>
            <w:r>
              <w:rPr>
                <w:rFonts w:hint="eastAsia"/>
                <w:b/>
                <w:color w:val="auto"/>
                <w:sz w:val="24"/>
                <w:highlight w:val="none"/>
                <w:u w:val="none" w:color="auto"/>
              </w:rPr>
              <w:t>5</w:t>
            </w:r>
            <w:r>
              <w:rPr>
                <w:rFonts w:hint="eastAsia"/>
                <w:b/>
                <w:color w:val="auto"/>
                <w:sz w:val="24"/>
                <w:highlight w:val="none"/>
                <w:u w:val="none" w:color="auto"/>
                <w:lang w:val="en-US" w:eastAsia="zh-CN"/>
              </w:rPr>
              <w:t>主要原辅材料及动力消耗一览表</w:t>
            </w:r>
          </w:p>
          <w:tbl>
            <w:tblPr>
              <w:tblStyle w:val="28"/>
              <w:tblW w:w="7638"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05"/>
              <w:gridCol w:w="1321"/>
              <w:gridCol w:w="1111"/>
              <w:gridCol w:w="981"/>
              <w:gridCol w:w="708"/>
              <w:gridCol w:w="1359"/>
              <w:gridCol w:w="1653"/>
            </w:tblGrid>
            <w:tr w14:paraId="470F44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505" w:type="dxa"/>
                  <w:vAlign w:val="center"/>
                </w:tcPr>
                <w:p w14:paraId="6E327259">
                  <w:pPr>
                    <w:tabs>
                      <w:tab w:val="left" w:pos="1420"/>
                      <w:tab w:val="left" w:pos="2840"/>
                      <w:tab w:val="left" w:pos="4260"/>
                      <w:tab w:val="left" w:pos="5680"/>
                      <w:tab w:val="left" w:pos="7101"/>
                      <w:tab w:val="left" w:pos="8522"/>
                    </w:tabs>
                    <w:adjustRightInd w:val="0"/>
                    <w:snapToGrid w:val="0"/>
                    <w:jc w:val="center"/>
                    <w:rPr>
                      <w:color w:val="auto"/>
                      <w:szCs w:val="21"/>
                      <w:highlight w:val="none"/>
                      <w:u w:val="none" w:color="auto"/>
                    </w:rPr>
                  </w:pPr>
                  <w:r>
                    <w:rPr>
                      <w:rFonts w:hint="eastAsia"/>
                      <w:color w:val="auto"/>
                      <w:szCs w:val="21"/>
                      <w:highlight w:val="none"/>
                      <w:u w:val="none" w:color="auto"/>
                    </w:rPr>
                    <w:t>序</w:t>
                  </w:r>
                  <w:r>
                    <w:rPr>
                      <w:color w:val="auto"/>
                      <w:szCs w:val="21"/>
                      <w:highlight w:val="none"/>
                      <w:u w:val="none" w:color="auto"/>
                    </w:rPr>
                    <w:t>号</w:t>
                  </w:r>
                </w:p>
              </w:tc>
              <w:tc>
                <w:tcPr>
                  <w:tcW w:w="1321" w:type="dxa"/>
                  <w:vAlign w:val="center"/>
                </w:tcPr>
                <w:p w14:paraId="79447360">
                  <w:pPr>
                    <w:tabs>
                      <w:tab w:val="left" w:pos="1420"/>
                      <w:tab w:val="left" w:pos="2840"/>
                      <w:tab w:val="left" w:pos="4260"/>
                      <w:tab w:val="left" w:pos="5680"/>
                      <w:tab w:val="left" w:pos="7101"/>
                      <w:tab w:val="left" w:pos="8522"/>
                    </w:tabs>
                    <w:adjustRightInd w:val="0"/>
                    <w:snapToGrid w:val="0"/>
                    <w:jc w:val="center"/>
                    <w:rPr>
                      <w:color w:val="auto"/>
                      <w:szCs w:val="21"/>
                      <w:highlight w:val="none"/>
                      <w:u w:val="none" w:color="auto"/>
                    </w:rPr>
                  </w:pPr>
                  <w:r>
                    <w:rPr>
                      <w:color w:val="auto"/>
                      <w:szCs w:val="21"/>
                      <w:highlight w:val="none"/>
                      <w:u w:val="none" w:color="auto"/>
                    </w:rPr>
                    <w:t>名称</w:t>
                  </w:r>
                </w:p>
              </w:tc>
              <w:tc>
                <w:tcPr>
                  <w:tcW w:w="1111" w:type="dxa"/>
                  <w:vAlign w:val="center"/>
                </w:tcPr>
                <w:p w14:paraId="48DE2C11">
                  <w:pPr>
                    <w:tabs>
                      <w:tab w:val="left" w:pos="1420"/>
                      <w:tab w:val="left" w:pos="2840"/>
                      <w:tab w:val="left" w:pos="4260"/>
                      <w:tab w:val="left" w:pos="5680"/>
                      <w:tab w:val="left" w:pos="7101"/>
                      <w:tab w:val="left" w:pos="8522"/>
                    </w:tabs>
                    <w:adjustRightInd w:val="0"/>
                    <w:snapToGrid w:val="0"/>
                    <w:jc w:val="center"/>
                    <w:rPr>
                      <w:color w:val="auto"/>
                      <w:szCs w:val="21"/>
                      <w:highlight w:val="none"/>
                      <w:u w:val="none" w:color="auto"/>
                    </w:rPr>
                  </w:pPr>
                  <w:r>
                    <w:rPr>
                      <w:color w:val="auto"/>
                      <w:szCs w:val="21"/>
                      <w:highlight w:val="none"/>
                      <w:u w:val="none" w:color="auto"/>
                    </w:rPr>
                    <w:t>年用量</w:t>
                  </w:r>
                </w:p>
              </w:tc>
              <w:tc>
                <w:tcPr>
                  <w:tcW w:w="981" w:type="dxa"/>
                  <w:vAlign w:val="center"/>
                </w:tcPr>
                <w:p w14:paraId="3DDEE7CD">
                  <w:pPr>
                    <w:tabs>
                      <w:tab w:val="left" w:pos="1420"/>
                      <w:tab w:val="left" w:pos="2840"/>
                      <w:tab w:val="left" w:pos="4260"/>
                      <w:tab w:val="left" w:pos="5680"/>
                      <w:tab w:val="left" w:pos="7101"/>
                      <w:tab w:val="left" w:pos="8522"/>
                    </w:tabs>
                    <w:adjustRightInd w:val="0"/>
                    <w:snapToGrid w:val="0"/>
                    <w:jc w:val="center"/>
                    <w:rPr>
                      <w:color w:val="auto"/>
                      <w:szCs w:val="21"/>
                      <w:highlight w:val="none"/>
                      <w:u w:val="none" w:color="auto"/>
                    </w:rPr>
                  </w:pPr>
                  <w:r>
                    <w:rPr>
                      <w:rFonts w:hint="eastAsia"/>
                      <w:color w:val="auto"/>
                      <w:szCs w:val="21"/>
                      <w:highlight w:val="none"/>
                      <w:u w:val="none" w:color="auto"/>
                    </w:rPr>
                    <w:t>包装方式</w:t>
                  </w:r>
                </w:p>
              </w:tc>
              <w:tc>
                <w:tcPr>
                  <w:tcW w:w="708" w:type="dxa"/>
                  <w:vAlign w:val="center"/>
                </w:tcPr>
                <w:p w14:paraId="1630F122">
                  <w:pPr>
                    <w:tabs>
                      <w:tab w:val="left" w:pos="1420"/>
                      <w:tab w:val="left" w:pos="2840"/>
                      <w:tab w:val="left" w:pos="4260"/>
                      <w:tab w:val="left" w:pos="5680"/>
                      <w:tab w:val="left" w:pos="7101"/>
                      <w:tab w:val="left" w:pos="8522"/>
                    </w:tabs>
                    <w:adjustRightInd w:val="0"/>
                    <w:snapToGrid w:val="0"/>
                    <w:jc w:val="center"/>
                    <w:rPr>
                      <w:color w:val="auto"/>
                      <w:szCs w:val="21"/>
                      <w:highlight w:val="none"/>
                      <w:u w:val="none" w:color="auto"/>
                    </w:rPr>
                  </w:pPr>
                  <w:r>
                    <w:rPr>
                      <w:rFonts w:hint="eastAsia"/>
                      <w:color w:val="auto"/>
                      <w:szCs w:val="21"/>
                      <w:highlight w:val="none"/>
                      <w:u w:val="none" w:color="auto"/>
                    </w:rPr>
                    <w:t>运输</w:t>
                  </w:r>
                </w:p>
              </w:tc>
              <w:tc>
                <w:tcPr>
                  <w:tcW w:w="1359" w:type="dxa"/>
                  <w:tcBorders>
                    <w:right w:val="single" w:color="auto" w:sz="4" w:space="0"/>
                  </w:tcBorders>
                  <w:vAlign w:val="center"/>
                </w:tcPr>
                <w:p w14:paraId="6B308BFB">
                  <w:pPr>
                    <w:tabs>
                      <w:tab w:val="left" w:pos="1420"/>
                      <w:tab w:val="left" w:pos="2840"/>
                      <w:tab w:val="left" w:pos="4260"/>
                      <w:tab w:val="left" w:pos="5680"/>
                      <w:tab w:val="left" w:pos="7101"/>
                      <w:tab w:val="left" w:pos="8522"/>
                    </w:tabs>
                    <w:adjustRightInd w:val="0"/>
                    <w:snapToGrid w:val="0"/>
                    <w:jc w:val="center"/>
                    <w:rPr>
                      <w:color w:val="auto"/>
                      <w:szCs w:val="21"/>
                      <w:highlight w:val="none"/>
                      <w:u w:val="none" w:color="auto"/>
                    </w:rPr>
                  </w:pPr>
                  <w:r>
                    <w:rPr>
                      <w:rFonts w:hint="eastAsia"/>
                      <w:color w:val="auto"/>
                      <w:szCs w:val="21"/>
                      <w:highlight w:val="none"/>
                      <w:u w:val="none" w:color="auto"/>
                    </w:rPr>
                    <w:t>来源</w:t>
                  </w:r>
                </w:p>
              </w:tc>
              <w:tc>
                <w:tcPr>
                  <w:tcW w:w="1653" w:type="dxa"/>
                  <w:tcBorders>
                    <w:left w:val="single" w:color="auto" w:sz="4" w:space="0"/>
                  </w:tcBorders>
                  <w:vAlign w:val="center"/>
                </w:tcPr>
                <w:p w14:paraId="4FF2EDC7">
                  <w:pPr>
                    <w:tabs>
                      <w:tab w:val="left" w:pos="1420"/>
                      <w:tab w:val="left" w:pos="2840"/>
                      <w:tab w:val="left" w:pos="4260"/>
                      <w:tab w:val="left" w:pos="5680"/>
                      <w:tab w:val="left" w:pos="7101"/>
                      <w:tab w:val="left" w:pos="8522"/>
                    </w:tabs>
                    <w:adjustRightInd w:val="0"/>
                    <w:snapToGrid w:val="0"/>
                    <w:jc w:val="center"/>
                    <w:rPr>
                      <w:color w:val="auto"/>
                      <w:szCs w:val="21"/>
                      <w:highlight w:val="none"/>
                      <w:u w:val="none" w:color="auto"/>
                    </w:rPr>
                  </w:pPr>
                  <w:r>
                    <w:rPr>
                      <w:rFonts w:hint="eastAsia"/>
                      <w:color w:val="auto"/>
                      <w:szCs w:val="21"/>
                      <w:highlight w:val="none"/>
                      <w:u w:val="none" w:color="auto"/>
                    </w:rPr>
                    <w:t>备注</w:t>
                  </w:r>
                </w:p>
              </w:tc>
            </w:tr>
            <w:tr w14:paraId="5A951B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7638" w:type="dxa"/>
                  <w:gridSpan w:val="7"/>
                  <w:vAlign w:val="center"/>
                </w:tcPr>
                <w:p w14:paraId="1B8FD307">
                  <w:pPr>
                    <w:tabs>
                      <w:tab w:val="left" w:pos="1420"/>
                      <w:tab w:val="left" w:pos="2840"/>
                      <w:tab w:val="left" w:pos="4260"/>
                      <w:tab w:val="left" w:pos="5680"/>
                      <w:tab w:val="left" w:pos="7101"/>
                      <w:tab w:val="left" w:pos="8522"/>
                    </w:tabs>
                    <w:adjustRightInd w:val="0"/>
                    <w:snapToGrid w:val="0"/>
                    <w:jc w:val="center"/>
                    <w:rPr>
                      <w:color w:val="auto"/>
                      <w:szCs w:val="21"/>
                      <w:highlight w:val="none"/>
                      <w:u w:val="none" w:color="auto"/>
                    </w:rPr>
                  </w:pPr>
                  <w:r>
                    <w:rPr>
                      <w:rFonts w:hint="eastAsia"/>
                      <w:color w:val="auto"/>
                      <w:szCs w:val="21"/>
                      <w:highlight w:val="none"/>
                      <w:u w:val="none" w:color="auto"/>
                    </w:rPr>
                    <w:t>原辅材料</w:t>
                  </w:r>
                </w:p>
              </w:tc>
            </w:tr>
            <w:tr w14:paraId="65BFB6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505" w:type="dxa"/>
                  <w:vAlign w:val="center"/>
                </w:tcPr>
                <w:p w14:paraId="595D6DA7">
                  <w:pPr>
                    <w:adjustRightInd w:val="0"/>
                    <w:snapToGrid w:val="0"/>
                    <w:jc w:val="center"/>
                    <w:rPr>
                      <w:color w:val="auto"/>
                      <w:szCs w:val="21"/>
                      <w:highlight w:val="none"/>
                      <w:u w:val="none" w:color="auto"/>
                    </w:rPr>
                  </w:pPr>
                  <w:r>
                    <w:rPr>
                      <w:color w:val="auto"/>
                      <w:szCs w:val="21"/>
                      <w:highlight w:val="none"/>
                      <w:u w:val="none" w:color="auto"/>
                    </w:rPr>
                    <w:t>1</w:t>
                  </w:r>
                </w:p>
              </w:tc>
              <w:tc>
                <w:tcPr>
                  <w:tcW w:w="1321" w:type="dxa"/>
                  <w:vAlign w:val="center"/>
                </w:tcPr>
                <w:p w14:paraId="43D81F02">
                  <w:pPr>
                    <w:adjustRightInd w:val="0"/>
                    <w:snapToGrid w:val="0"/>
                    <w:jc w:val="center"/>
                    <w:rPr>
                      <w:color w:val="auto"/>
                      <w:szCs w:val="21"/>
                      <w:highlight w:val="none"/>
                      <w:u w:val="none" w:color="auto"/>
                    </w:rPr>
                  </w:pPr>
                  <w:r>
                    <w:rPr>
                      <w:rFonts w:hint="eastAsia"/>
                      <w:color w:val="auto"/>
                      <w:szCs w:val="21"/>
                      <w:highlight w:val="none"/>
                      <w:u w:val="none" w:color="auto"/>
                    </w:rPr>
                    <w:t>湿玉米</w:t>
                  </w:r>
                </w:p>
              </w:tc>
              <w:tc>
                <w:tcPr>
                  <w:tcW w:w="1111" w:type="dxa"/>
                  <w:vAlign w:val="center"/>
                </w:tcPr>
                <w:p w14:paraId="27EDABA1">
                  <w:pPr>
                    <w:snapToGrid w:val="0"/>
                    <w:jc w:val="center"/>
                    <w:textAlignment w:val="baseline"/>
                    <w:rPr>
                      <w:color w:val="auto"/>
                      <w:szCs w:val="21"/>
                      <w:highlight w:val="none"/>
                      <w:u w:val="none" w:color="auto"/>
                    </w:rPr>
                  </w:pPr>
                  <w:r>
                    <w:rPr>
                      <w:rFonts w:hint="eastAsia"/>
                      <w:color w:val="auto"/>
                      <w:szCs w:val="21"/>
                      <w:highlight w:val="none"/>
                      <w:u w:val="none" w:color="auto"/>
                      <w:lang w:val="en-US" w:eastAsia="zh-CN"/>
                    </w:rPr>
                    <w:t>15000</w:t>
                  </w:r>
                  <w:r>
                    <w:rPr>
                      <w:rFonts w:hint="eastAsia"/>
                      <w:color w:val="auto"/>
                      <w:szCs w:val="21"/>
                      <w:highlight w:val="none"/>
                      <w:u w:val="none" w:color="auto"/>
                    </w:rPr>
                    <w:t>t/a</w:t>
                  </w:r>
                </w:p>
              </w:tc>
              <w:tc>
                <w:tcPr>
                  <w:tcW w:w="981" w:type="dxa"/>
                  <w:vAlign w:val="center"/>
                </w:tcPr>
                <w:p w14:paraId="2A75715E">
                  <w:pPr>
                    <w:adjustRightInd w:val="0"/>
                    <w:snapToGrid w:val="0"/>
                    <w:jc w:val="center"/>
                    <w:rPr>
                      <w:color w:val="auto"/>
                      <w:szCs w:val="21"/>
                      <w:highlight w:val="none"/>
                      <w:u w:val="none" w:color="auto"/>
                    </w:rPr>
                  </w:pPr>
                  <w:r>
                    <w:rPr>
                      <w:rFonts w:hint="eastAsia"/>
                      <w:color w:val="auto"/>
                      <w:szCs w:val="21"/>
                      <w:highlight w:val="none"/>
                      <w:u w:val="none" w:color="auto"/>
                    </w:rPr>
                    <w:t>散装</w:t>
                  </w:r>
                </w:p>
              </w:tc>
              <w:tc>
                <w:tcPr>
                  <w:tcW w:w="708" w:type="dxa"/>
                  <w:vAlign w:val="center"/>
                </w:tcPr>
                <w:p w14:paraId="5565F07F">
                  <w:pPr>
                    <w:adjustRightInd w:val="0"/>
                    <w:snapToGrid w:val="0"/>
                    <w:jc w:val="center"/>
                    <w:rPr>
                      <w:color w:val="auto"/>
                      <w:szCs w:val="21"/>
                      <w:highlight w:val="none"/>
                      <w:u w:val="none" w:color="auto"/>
                    </w:rPr>
                  </w:pPr>
                  <w:r>
                    <w:rPr>
                      <w:rFonts w:hint="eastAsia"/>
                      <w:color w:val="auto"/>
                      <w:szCs w:val="21"/>
                      <w:highlight w:val="none"/>
                      <w:u w:val="none" w:color="auto"/>
                    </w:rPr>
                    <w:t>汽运</w:t>
                  </w:r>
                </w:p>
              </w:tc>
              <w:tc>
                <w:tcPr>
                  <w:tcW w:w="1359" w:type="dxa"/>
                  <w:tcBorders>
                    <w:right w:val="single" w:color="auto" w:sz="4" w:space="0"/>
                  </w:tcBorders>
                  <w:vAlign w:val="center"/>
                </w:tcPr>
                <w:p w14:paraId="113CB705">
                  <w:pPr>
                    <w:adjustRightInd w:val="0"/>
                    <w:snapToGrid w:val="0"/>
                    <w:jc w:val="center"/>
                    <w:rPr>
                      <w:color w:val="auto"/>
                      <w:szCs w:val="21"/>
                      <w:highlight w:val="none"/>
                      <w:u w:val="none" w:color="auto"/>
                    </w:rPr>
                  </w:pPr>
                  <w:r>
                    <w:rPr>
                      <w:rFonts w:hint="eastAsia"/>
                      <w:color w:val="auto"/>
                      <w:szCs w:val="21"/>
                      <w:highlight w:val="none"/>
                      <w:u w:val="none" w:color="auto"/>
                    </w:rPr>
                    <w:t>当地采购</w:t>
                  </w:r>
                </w:p>
              </w:tc>
              <w:tc>
                <w:tcPr>
                  <w:tcW w:w="1653" w:type="dxa"/>
                  <w:tcBorders>
                    <w:left w:val="single" w:color="auto" w:sz="4" w:space="0"/>
                  </w:tcBorders>
                  <w:vAlign w:val="center"/>
                </w:tcPr>
                <w:p w14:paraId="7051CD86">
                  <w:pPr>
                    <w:adjustRightInd w:val="0"/>
                    <w:snapToGrid w:val="0"/>
                    <w:jc w:val="center"/>
                    <w:rPr>
                      <w:rFonts w:hint="eastAsia" w:ascii="Times New Roman" w:hAnsi="Times New Roman" w:eastAsia="宋体" w:cs="Times New Roman"/>
                      <w:color w:val="auto"/>
                      <w:szCs w:val="21"/>
                      <w:highlight w:val="none"/>
                      <w:u w:val="none" w:color="auto"/>
                    </w:rPr>
                  </w:pPr>
                  <w:r>
                    <w:rPr>
                      <w:rFonts w:hint="eastAsia" w:ascii="Times New Roman" w:hAnsi="Times New Roman" w:eastAsia="宋体" w:cs="Times New Roman"/>
                      <w:color w:val="auto"/>
                      <w:szCs w:val="21"/>
                      <w:highlight w:val="none"/>
                      <w:u w:val="none" w:color="auto"/>
                    </w:rPr>
                    <w:t>含水率</w:t>
                  </w:r>
                  <w:r>
                    <w:rPr>
                      <w:rFonts w:hint="eastAsia" w:ascii="Times New Roman" w:hAnsi="Times New Roman" w:eastAsia="宋体" w:cs="Times New Roman"/>
                      <w:color w:val="auto"/>
                      <w:szCs w:val="21"/>
                      <w:highlight w:val="none"/>
                      <w:u w:val="none" w:color="auto"/>
                      <w:lang w:val="en-US" w:eastAsia="zh-CN"/>
                    </w:rPr>
                    <w:t>29</w:t>
                  </w:r>
                  <w:r>
                    <w:rPr>
                      <w:rFonts w:hint="eastAsia" w:ascii="Times New Roman" w:hAnsi="Times New Roman" w:eastAsia="宋体" w:cs="Times New Roman"/>
                      <w:color w:val="auto"/>
                      <w:szCs w:val="21"/>
                      <w:highlight w:val="none"/>
                      <w:u w:val="none" w:color="auto"/>
                    </w:rPr>
                    <w:t>%</w:t>
                  </w:r>
                </w:p>
              </w:tc>
            </w:tr>
            <w:tr w14:paraId="2595C5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7638" w:type="dxa"/>
                  <w:gridSpan w:val="7"/>
                  <w:vAlign w:val="center"/>
                </w:tcPr>
                <w:p w14:paraId="3B1D8BB3">
                  <w:pPr>
                    <w:adjustRightInd w:val="0"/>
                    <w:snapToGrid w:val="0"/>
                    <w:jc w:val="center"/>
                    <w:rPr>
                      <w:color w:val="auto"/>
                      <w:highlight w:val="none"/>
                      <w:u w:val="none" w:color="auto"/>
                    </w:rPr>
                  </w:pPr>
                  <w:r>
                    <w:rPr>
                      <w:rFonts w:hint="eastAsia"/>
                      <w:color w:val="auto"/>
                      <w:highlight w:val="none"/>
                      <w:u w:val="none" w:color="auto"/>
                    </w:rPr>
                    <w:t>燃料消耗</w:t>
                  </w:r>
                </w:p>
              </w:tc>
            </w:tr>
            <w:tr w14:paraId="3C53CA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505" w:type="dxa"/>
                  <w:vAlign w:val="center"/>
                </w:tcPr>
                <w:p w14:paraId="48AFA8FD">
                  <w:pPr>
                    <w:adjustRightInd w:val="0"/>
                    <w:snapToGrid w:val="0"/>
                    <w:jc w:val="center"/>
                    <w:rPr>
                      <w:color w:val="auto"/>
                      <w:szCs w:val="21"/>
                      <w:highlight w:val="none"/>
                      <w:u w:val="none" w:color="auto"/>
                    </w:rPr>
                  </w:pPr>
                  <w:r>
                    <w:rPr>
                      <w:rFonts w:hint="eastAsia"/>
                      <w:color w:val="auto"/>
                      <w:szCs w:val="21"/>
                      <w:highlight w:val="none"/>
                      <w:u w:val="none" w:color="auto"/>
                    </w:rPr>
                    <w:t>2</w:t>
                  </w:r>
                </w:p>
              </w:tc>
              <w:tc>
                <w:tcPr>
                  <w:tcW w:w="1321" w:type="dxa"/>
                  <w:vAlign w:val="center"/>
                </w:tcPr>
                <w:p w14:paraId="442F08AA">
                  <w:pPr>
                    <w:adjustRightInd w:val="0"/>
                    <w:snapToGrid w:val="0"/>
                    <w:jc w:val="center"/>
                    <w:rPr>
                      <w:color w:val="auto"/>
                      <w:szCs w:val="21"/>
                      <w:highlight w:val="none"/>
                      <w:u w:val="single" w:color="auto"/>
                    </w:rPr>
                  </w:pPr>
                  <w:r>
                    <w:rPr>
                      <w:rFonts w:hint="eastAsia"/>
                      <w:color w:val="auto"/>
                      <w:szCs w:val="21"/>
                      <w:highlight w:val="none"/>
                      <w:u w:val="single" w:color="auto"/>
                    </w:rPr>
                    <w:t>生物质颗粒</w:t>
                  </w:r>
                </w:p>
              </w:tc>
              <w:tc>
                <w:tcPr>
                  <w:tcW w:w="1111" w:type="dxa"/>
                  <w:vAlign w:val="center"/>
                </w:tcPr>
                <w:p w14:paraId="1A96040D">
                  <w:pPr>
                    <w:snapToGrid w:val="0"/>
                    <w:jc w:val="center"/>
                    <w:textAlignment w:val="baseline"/>
                    <w:rPr>
                      <w:color w:val="auto"/>
                      <w:szCs w:val="21"/>
                      <w:highlight w:val="none"/>
                      <w:u w:val="single" w:color="auto"/>
                    </w:rPr>
                  </w:pPr>
                  <w:r>
                    <w:rPr>
                      <w:rFonts w:hint="eastAsia"/>
                      <w:color w:val="auto"/>
                      <w:szCs w:val="21"/>
                      <w:highlight w:val="none"/>
                      <w:u w:val="single" w:color="auto"/>
                      <w:lang w:val="en-US" w:eastAsia="zh-CN"/>
                    </w:rPr>
                    <w:t>1244.68</w:t>
                  </w:r>
                  <w:r>
                    <w:rPr>
                      <w:rFonts w:hint="eastAsia"/>
                      <w:color w:val="auto"/>
                      <w:szCs w:val="21"/>
                      <w:highlight w:val="none"/>
                      <w:u w:val="single" w:color="auto"/>
                    </w:rPr>
                    <w:t>t/a</w:t>
                  </w:r>
                </w:p>
              </w:tc>
              <w:tc>
                <w:tcPr>
                  <w:tcW w:w="981" w:type="dxa"/>
                  <w:vAlign w:val="center"/>
                </w:tcPr>
                <w:p w14:paraId="53D38221">
                  <w:pPr>
                    <w:adjustRightInd w:val="0"/>
                    <w:snapToGrid w:val="0"/>
                    <w:jc w:val="center"/>
                    <w:rPr>
                      <w:color w:val="auto"/>
                      <w:szCs w:val="21"/>
                      <w:highlight w:val="none"/>
                      <w:u w:val="single" w:color="auto"/>
                    </w:rPr>
                  </w:pPr>
                  <w:r>
                    <w:rPr>
                      <w:rFonts w:hint="eastAsia"/>
                      <w:color w:val="auto"/>
                      <w:szCs w:val="21"/>
                      <w:highlight w:val="none"/>
                      <w:u w:val="single" w:color="auto"/>
                    </w:rPr>
                    <w:t>袋装</w:t>
                  </w:r>
                </w:p>
              </w:tc>
              <w:tc>
                <w:tcPr>
                  <w:tcW w:w="708" w:type="dxa"/>
                  <w:vAlign w:val="center"/>
                </w:tcPr>
                <w:p w14:paraId="4DED2FBB">
                  <w:pPr>
                    <w:adjustRightInd w:val="0"/>
                    <w:snapToGrid w:val="0"/>
                    <w:jc w:val="center"/>
                    <w:rPr>
                      <w:color w:val="auto"/>
                      <w:szCs w:val="21"/>
                      <w:highlight w:val="none"/>
                      <w:u w:val="single" w:color="auto"/>
                    </w:rPr>
                  </w:pPr>
                  <w:r>
                    <w:rPr>
                      <w:rFonts w:hint="eastAsia"/>
                      <w:color w:val="auto"/>
                      <w:szCs w:val="21"/>
                      <w:highlight w:val="none"/>
                      <w:u w:val="single" w:color="auto"/>
                    </w:rPr>
                    <w:t>汽运</w:t>
                  </w:r>
                </w:p>
              </w:tc>
              <w:tc>
                <w:tcPr>
                  <w:tcW w:w="1359" w:type="dxa"/>
                  <w:tcBorders>
                    <w:right w:val="single" w:color="auto" w:sz="4" w:space="0"/>
                  </w:tcBorders>
                  <w:vAlign w:val="center"/>
                </w:tcPr>
                <w:p w14:paraId="330673F7">
                  <w:pPr>
                    <w:adjustRightInd w:val="0"/>
                    <w:snapToGrid w:val="0"/>
                    <w:jc w:val="center"/>
                    <w:rPr>
                      <w:color w:val="auto"/>
                      <w:szCs w:val="21"/>
                      <w:highlight w:val="none"/>
                      <w:u w:val="single" w:color="auto"/>
                    </w:rPr>
                  </w:pPr>
                  <w:r>
                    <w:rPr>
                      <w:rFonts w:hint="eastAsia"/>
                      <w:color w:val="auto"/>
                      <w:szCs w:val="21"/>
                      <w:highlight w:val="none"/>
                      <w:u w:val="single" w:color="auto"/>
                    </w:rPr>
                    <w:t>外购</w:t>
                  </w:r>
                </w:p>
              </w:tc>
              <w:tc>
                <w:tcPr>
                  <w:tcW w:w="1653" w:type="dxa"/>
                  <w:tcBorders>
                    <w:left w:val="single" w:color="auto" w:sz="4" w:space="0"/>
                  </w:tcBorders>
                  <w:vAlign w:val="center"/>
                </w:tcPr>
                <w:p w14:paraId="2D16167F">
                  <w:pPr>
                    <w:adjustRightInd w:val="0"/>
                    <w:snapToGrid w:val="0"/>
                    <w:jc w:val="center"/>
                    <w:rPr>
                      <w:rFonts w:hint="default" w:eastAsia="宋体"/>
                      <w:color w:val="auto"/>
                      <w:highlight w:val="none"/>
                      <w:u w:val="single" w:color="auto"/>
                      <w:lang w:val="en-US" w:eastAsia="zh-CN"/>
                    </w:rPr>
                  </w:pPr>
                  <w:r>
                    <w:rPr>
                      <w:rFonts w:hint="eastAsia"/>
                      <w:color w:val="auto"/>
                      <w:highlight w:val="none"/>
                      <w:u w:val="single" w:color="auto"/>
                      <w:lang w:val="en-US" w:eastAsia="zh-CN"/>
                    </w:rPr>
                    <w:t>25kg/袋</w:t>
                  </w:r>
                </w:p>
              </w:tc>
            </w:tr>
            <w:tr w14:paraId="4FA6B0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7638" w:type="dxa"/>
                  <w:gridSpan w:val="7"/>
                  <w:vAlign w:val="center"/>
                </w:tcPr>
                <w:p w14:paraId="1045B5AC">
                  <w:pPr>
                    <w:adjustRightInd w:val="0"/>
                    <w:snapToGrid w:val="0"/>
                    <w:jc w:val="center"/>
                    <w:rPr>
                      <w:color w:val="auto"/>
                      <w:highlight w:val="none"/>
                      <w:u w:val="none" w:color="auto"/>
                    </w:rPr>
                  </w:pPr>
                  <w:r>
                    <w:rPr>
                      <w:rFonts w:hint="eastAsia"/>
                      <w:color w:val="auto"/>
                      <w:highlight w:val="none"/>
                      <w:u w:val="none" w:color="auto"/>
                    </w:rPr>
                    <w:t>能源消耗</w:t>
                  </w:r>
                </w:p>
              </w:tc>
            </w:tr>
            <w:tr w14:paraId="2455FD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505" w:type="dxa"/>
                  <w:vAlign w:val="center"/>
                </w:tcPr>
                <w:p w14:paraId="37EB5991">
                  <w:pPr>
                    <w:adjustRightInd w:val="0"/>
                    <w:snapToGrid w:val="0"/>
                    <w:jc w:val="center"/>
                    <w:rPr>
                      <w:color w:val="auto"/>
                      <w:szCs w:val="21"/>
                      <w:highlight w:val="none"/>
                      <w:u w:val="none" w:color="auto"/>
                    </w:rPr>
                  </w:pPr>
                  <w:r>
                    <w:rPr>
                      <w:rFonts w:hint="eastAsia"/>
                      <w:color w:val="auto"/>
                      <w:szCs w:val="21"/>
                      <w:highlight w:val="none"/>
                      <w:u w:val="none" w:color="auto"/>
                    </w:rPr>
                    <w:t>3</w:t>
                  </w:r>
                </w:p>
              </w:tc>
              <w:tc>
                <w:tcPr>
                  <w:tcW w:w="1321" w:type="dxa"/>
                  <w:vAlign w:val="center"/>
                </w:tcPr>
                <w:p w14:paraId="7B3D5702">
                  <w:pPr>
                    <w:adjustRightInd w:val="0"/>
                    <w:snapToGrid w:val="0"/>
                    <w:jc w:val="center"/>
                    <w:rPr>
                      <w:color w:val="auto"/>
                      <w:szCs w:val="21"/>
                      <w:highlight w:val="none"/>
                      <w:u w:val="single" w:color="auto"/>
                    </w:rPr>
                  </w:pPr>
                  <w:r>
                    <w:rPr>
                      <w:rFonts w:hint="eastAsia"/>
                      <w:color w:val="auto"/>
                      <w:szCs w:val="21"/>
                      <w:highlight w:val="none"/>
                      <w:u w:val="single" w:color="auto"/>
                    </w:rPr>
                    <w:t>水</w:t>
                  </w:r>
                </w:p>
              </w:tc>
              <w:tc>
                <w:tcPr>
                  <w:tcW w:w="1111" w:type="dxa"/>
                  <w:vAlign w:val="center"/>
                </w:tcPr>
                <w:p w14:paraId="74C61CFF">
                  <w:pPr>
                    <w:adjustRightInd w:val="0"/>
                    <w:snapToGrid w:val="0"/>
                    <w:jc w:val="center"/>
                    <w:rPr>
                      <w:color w:val="auto"/>
                      <w:szCs w:val="21"/>
                      <w:highlight w:val="none"/>
                      <w:u w:val="single" w:color="auto"/>
                    </w:rPr>
                  </w:pPr>
                  <w:r>
                    <w:rPr>
                      <w:rFonts w:hint="eastAsia"/>
                      <w:color w:val="auto"/>
                      <w:szCs w:val="21"/>
                      <w:highlight w:val="none"/>
                      <w:u w:val="single" w:color="auto"/>
                      <w:lang w:val="en-US" w:eastAsia="zh-CN"/>
                    </w:rPr>
                    <w:t>134.68</w:t>
                  </w:r>
                  <w:r>
                    <w:rPr>
                      <w:rFonts w:hint="eastAsia"/>
                      <w:color w:val="auto"/>
                      <w:szCs w:val="21"/>
                      <w:highlight w:val="none"/>
                      <w:u w:val="single" w:color="auto"/>
                    </w:rPr>
                    <w:t>t/a</w:t>
                  </w:r>
                </w:p>
              </w:tc>
              <w:tc>
                <w:tcPr>
                  <w:tcW w:w="981" w:type="dxa"/>
                  <w:vAlign w:val="center"/>
                </w:tcPr>
                <w:p w14:paraId="7CA5E55B">
                  <w:pPr>
                    <w:adjustRightInd w:val="0"/>
                    <w:snapToGrid w:val="0"/>
                    <w:jc w:val="center"/>
                    <w:rPr>
                      <w:color w:val="auto"/>
                      <w:highlight w:val="none"/>
                      <w:u w:val="single" w:color="auto"/>
                    </w:rPr>
                  </w:pPr>
                  <w:r>
                    <w:rPr>
                      <w:rFonts w:hint="eastAsia"/>
                      <w:color w:val="auto"/>
                      <w:szCs w:val="21"/>
                      <w:highlight w:val="none"/>
                      <w:u w:val="single" w:color="auto"/>
                    </w:rPr>
                    <w:t>—</w:t>
                  </w:r>
                </w:p>
              </w:tc>
              <w:tc>
                <w:tcPr>
                  <w:tcW w:w="708" w:type="dxa"/>
                  <w:vAlign w:val="center"/>
                </w:tcPr>
                <w:p w14:paraId="728E8C1D">
                  <w:pPr>
                    <w:adjustRightInd w:val="0"/>
                    <w:snapToGrid w:val="0"/>
                    <w:jc w:val="center"/>
                    <w:rPr>
                      <w:color w:val="auto"/>
                      <w:highlight w:val="none"/>
                      <w:u w:val="single" w:color="auto"/>
                    </w:rPr>
                  </w:pPr>
                  <w:r>
                    <w:rPr>
                      <w:rFonts w:hint="eastAsia"/>
                      <w:color w:val="auto"/>
                      <w:szCs w:val="21"/>
                      <w:highlight w:val="none"/>
                      <w:u w:val="single" w:color="auto"/>
                    </w:rPr>
                    <w:t>—</w:t>
                  </w:r>
                </w:p>
              </w:tc>
              <w:tc>
                <w:tcPr>
                  <w:tcW w:w="1359" w:type="dxa"/>
                  <w:tcBorders>
                    <w:right w:val="single" w:color="auto" w:sz="4" w:space="0"/>
                  </w:tcBorders>
                  <w:vAlign w:val="center"/>
                </w:tcPr>
                <w:p w14:paraId="6D060BD5">
                  <w:pPr>
                    <w:adjustRightInd w:val="0"/>
                    <w:snapToGrid w:val="0"/>
                    <w:jc w:val="center"/>
                    <w:rPr>
                      <w:rFonts w:hint="eastAsia" w:eastAsia="宋体"/>
                      <w:color w:val="auto"/>
                      <w:highlight w:val="none"/>
                      <w:u w:val="single" w:color="auto"/>
                      <w:lang w:eastAsia="zh-CN"/>
                    </w:rPr>
                  </w:pPr>
                  <w:r>
                    <w:rPr>
                      <w:rFonts w:hint="eastAsia"/>
                      <w:color w:val="auto"/>
                      <w:highlight w:val="none"/>
                      <w:u w:val="single" w:color="auto"/>
                      <w:lang w:eastAsia="zh-CN"/>
                    </w:rPr>
                    <w:t>双河镇自来水站</w:t>
                  </w:r>
                </w:p>
              </w:tc>
              <w:tc>
                <w:tcPr>
                  <w:tcW w:w="1653" w:type="dxa"/>
                  <w:tcBorders>
                    <w:left w:val="single" w:color="auto" w:sz="4" w:space="0"/>
                  </w:tcBorders>
                  <w:vAlign w:val="center"/>
                </w:tcPr>
                <w:p w14:paraId="20FB6871">
                  <w:pPr>
                    <w:adjustRightInd w:val="0"/>
                    <w:snapToGrid w:val="0"/>
                    <w:jc w:val="center"/>
                    <w:rPr>
                      <w:color w:val="auto"/>
                      <w:highlight w:val="none"/>
                      <w:u w:val="none" w:color="auto"/>
                    </w:rPr>
                  </w:pPr>
                </w:p>
              </w:tc>
            </w:tr>
            <w:tr w14:paraId="102CEA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505" w:type="dxa"/>
                  <w:vAlign w:val="center"/>
                </w:tcPr>
                <w:p w14:paraId="22D35B11">
                  <w:pPr>
                    <w:adjustRightInd w:val="0"/>
                    <w:snapToGrid w:val="0"/>
                    <w:jc w:val="center"/>
                    <w:rPr>
                      <w:color w:val="auto"/>
                      <w:szCs w:val="21"/>
                      <w:highlight w:val="none"/>
                      <w:u w:val="none" w:color="auto"/>
                    </w:rPr>
                  </w:pPr>
                  <w:r>
                    <w:rPr>
                      <w:rFonts w:hint="eastAsia"/>
                      <w:color w:val="auto"/>
                      <w:szCs w:val="21"/>
                      <w:highlight w:val="none"/>
                      <w:u w:val="none" w:color="auto"/>
                    </w:rPr>
                    <w:t>4</w:t>
                  </w:r>
                </w:p>
              </w:tc>
              <w:tc>
                <w:tcPr>
                  <w:tcW w:w="1321" w:type="dxa"/>
                  <w:vAlign w:val="center"/>
                </w:tcPr>
                <w:p w14:paraId="0D3DE9FC">
                  <w:pPr>
                    <w:adjustRightInd w:val="0"/>
                    <w:snapToGrid w:val="0"/>
                    <w:jc w:val="center"/>
                    <w:rPr>
                      <w:color w:val="auto"/>
                      <w:szCs w:val="21"/>
                      <w:highlight w:val="none"/>
                      <w:u w:val="none" w:color="auto"/>
                    </w:rPr>
                  </w:pPr>
                  <w:r>
                    <w:rPr>
                      <w:rFonts w:hint="eastAsia"/>
                      <w:color w:val="auto"/>
                      <w:szCs w:val="21"/>
                      <w:highlight w:val="none"/>
                      <w:u w:val="none" w:color="auto"/>
                    </w:rPr>
                    <w:t>电</w:t>
                  </w:r>
                </w:p>
              </w:tc>
              <w:tc>
                <w:tcPr>
                  <w:tcW w:w="1111" w:type="dxa"/>
                  <w:vAlign w:val="center"/>
                </w:tcPr>
                <w:p w14:paraId="309A72FF">
                  <w:pPr>
                    <w:adjustRightInd w:val="0"/>
                    <w:snapToGrid w:val="0"/>
                    <w:jc w:val="center"/>
                    <w:rPr>
                      <w:color w:val="auto"/>
                      <w:szCs w:val="21"/>
                      <w:highlight w:val="none"/>
                      <w:u w:val="none" w:color="auto"/>
                    </w:rPr>
                  </w:pPr>
                  <w:r>
                    <w:rPr>
                      <w:rFonts w:hint="eastAsia"/>
                      <w:color w:val="auto"/>
                      <w:szCs w:val="21"/>
                      <w:highlight w:val="none"/>
                      <w:u w:val="none" w:color="auto"/>
                      <w:lang w:val="en-US" w:eastAsia="zh-CN"/>
                    </w:rPr>
                    <w:t>15</w:t>
                  </w:r>
                  <w:r>
                    <w:rPr>
                      <w:rFonts w:hint="eastAsia"/>
                      <w:color w:val="auto"/>
                      <w:szCs w:val="21"/>
                      <w:highlight w:val="none"/>
                      <w:u w:val="none" w:color="auto"/>
                    </w:rPr>
                    <w:t>万kW·h</w:t>
                  </w:r>
                </w:p>
              </w:tc>
              <w:tc>
                <w:tcPr>
                  <w:tcW w:w="981" w:type="dxa"/>
                  <w:vAlign w:val="center"/>
                </w:tcPr>
                <w:p w14:paraId="62A0D257">
                  <w:pPr>
                    <w:adjustRightInd w:val="0"/>
                    <w:snapToGrid w:val="0"/>
                    <w:jc w:val="center"/>
                    <w:rPr>
                      <w:color w:val="auto"/>
                      <w:highlight w:val="none"/>
                      <w:u w:val="none" w:color="auto"/>
                    </w:rPr>
                  </w:pPr>
                  <w:r>
                    <w:rPr>
                      <w:rFonts w:hint="eastAsia"/>
                      <w:color w:val="auto"/>
                      <w:szCs w:val="21"/>
                      <w:highlight w:val="none"/>
                      <w:u w:val="none" w:color="auto"/>
                    </w:rPr>
                    <w:t>—</w:t>
                  </w:r>
                </w:p>
              </w:tc>
              <w:tc>
                <w:tcPr>
                  <w:tcW w:w="708" w:type="dxa"/>
                  <w:vAlign w:val="center"/>
                </w:tcPr>
                <w:p w14:paraId="21FCC545">
                  <w:pPr>
                    <w:adjustRightInd w:val="0"/>
                    <w:snapToGrid w:val="0"/>
                    <w:jc w:val="center"/>
                    <w:rPr>
                      <w:color w:val="auto"/>
                      <w:highlight w:val="none"/>
                      <w:u w:val="none" w:color="auto"/>
                    </w:rPr>
                  </w:pPr>
                  <w:r>
                    <w:rPr>
                      <w:rFonts w:hint="eastAsia"/>
                      <w:color w:val="auto"/>
                      <w:szCs w:val="21"/>
                      <w:highlight w:val="none"/>
                      <w:u w:val="none" w:color="auto"/>
                    </w:rPr>
                    <w:t>—</w:t>
                  </w:r>
                </w:p>
              </w:tc>
              <w:tc>
                <w:tcPr>
                  <w:tcW w:w="1359" w:type="dxa"/>
                  <w:tcBorders>
                    <w:right w:val="single" w:color="auto" w:sz="4" w:space="0"/>
                  </w:tcBorders>
                  <w:vAlign w:val="center"/>
                </w:tcPr>
                <w:p w14:paraId="474D3FCA">
                  <w:pPr>
                    <w:adjustRightInd w:val="0"/>
                    <w:snapToGrid w:val="0"/>
                    <w:jc w:val="center"/>
                    <w:rPr>
                      <w:color w:val="auto"/>
                      <w:highlight w:val="none"/>
                      <w:u w:val="none" w:color="auto"/>
                    </w:rPr>
                  </w:pPr>
                  <w:r>
                    <w:rPr>
                      <w:rFonts w:hint="eastAsia"/>
                      <w:color w:val="auto"/>
                      <w:highlight w:val="none"/>
                      <w:u w:val="none" w:color="auto"/>
                      <w:lang w:eastAsia="zh-CN"/>
                    </w:rPr>
                    <w:t>供电电网</w:t>
                  </w:r>
                </w:p>
              </w:tc>
              <w:tc>
                <w:tcPr>
                  <w:tcW w:w="1653" w:type="dxa"/>
                  <w:tcBorders>
                    <w:left w:val="single" w:color="auto" w:sz="4" w:space="0"/>
                  </w:tcBorders>
                  <w:vAlign w:val="center"/>
                </w:tcPr>
                <w:p w14:paraId="1A0C2098">
                  <w:pPr>
                    <w:adjustRightInd w:val="0"/>
                    <w:snapToGrid w:val="0"/>
                    <w:jc w:val="center"/>
                    <w:rPr>
                      <w:color w:val="auto"/>
                      <w:highlight w:val="none"/>
                      <w:u w:val="none" w:color="auto"/>
                    </w:rPr>
                  </w:pPr>
                </w:p>
              </w:tc>
            </w:tr>
          </w:tbl>
          <w:p w14:paraId="2D087EF2">
            <w:pPr>
              <w:adjustRightInd w:val="0"/>
              <w:snapToGrid w:val="0"/>
              <w:jc w:val="center"/>
              <w:rPr>
                <w:rFonts w:hint="eastAsia"/>
                <w:b/>
                <w:color w:val="auto"/>
                <w:sz w:val="24"/>
                <w:highlight w:val="none"/>
                <w:u w:val="none" w:color="auto"/>
                <w:lang w:val="en-US" w:eastAsia="zh-CN"/>
              </w:rPr>
            </w:pPr>
          </w:p>
          <w:p w14:paraId="1C3C3AC6">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rPr>
                <w:rFonts w:hint="default" w:ascii="Times New Roman" w:hAnsi="Times New Roman" w:eastAsia="宋体" w:cs="Times New Roman"/>
                <w:b/>
                <w:bCs/>
                <w:color w:val="auto"/>
                <w:spacing w:val="0"/>
                <w:kern w:val="21"/>
                <w:sz w:val="24"/>
                <w:szCs w:val="24"/>
                <w:highlight w:val="none"/>
                <w:u w:val="single" w:color="auto"/>
                <w:lang w:val="en-US" w:eastAsia="zh-CN"/>
              </w:rPr>
            </w:pPr>
            <w:r>
              <w:rPr>
                <w:rFonts w:hint="default" w:ascii="Times New Roman" w:hAnsi="Times New Roman" w:eastAsia="宋体" w:cs="Times New Roman"/>
                <w:b/>
                <w:bCs/>
                <w:color w:val="auto"/>
                <w:spacing w:val="0"/>
                <w:kern w:val="21"/>
                <w:sz w:val="24"/>
                <w:szCs w:val="24"/>
                <w:highlight w:val="none"/>
                <w:u w:val="single" w:color="auto"/>
                <w:lang w:val="en-US" w:eastAsia="zh-CN"/>
              </w:rPr>
              <w:t>表2-</w:t>
            </w:r>
            <w:r>
              <w:rPr>
                <w:rFonts w:hint="eastAsia" w:cs="Times New Roman"/>
                <w:b/>
                <w:bCs/>
                <w:color w:val="auto"/>
                <w:spacing w:val="0"/>
                <w:kern w:val="21"/>
                <w:sz w:val="24"/>
                <w:szCs w:val="24"/>
                <w:highlight w:val="none"/>
                <w:u w:val="single" w:color="auto"/>
                <w:lang w:val="en-US" w:eastAsia="zh-CN"/>
              </w:rPr>
              <w:t>6</w:t>
            </w:r>
            <w:r>
              <w:rPr>
                <w:rFonts w:hint="default" w:ascii="Times New Roman" w:hAnsi="Times New Roman" w:eastAsia="宋体" w:cs="Times New Roman"/>
                <w:b/>
                <w:bCs/>
                <w:color w:val="auto"/>
                <w:spacing w:val="0"/>
                <w:kern w:val="21"/>
                <w:sz w:val="24"/>
                <w:szCs w:val="24"/>
                <w:highlight w:val="none"/>
                <w:u w:val="single" w:color="auto"/>
                <w:lang w:val="en-US" w:eastAsia="zh-CN"/>
              </w:rPr>
              <w:t>生物质颗粒燃料检测结果一览表</w:t>
            </w:r>
          </w:p>
          <w:tbl>
            <w:tblPr>
              <w:tblStyle w:val="28"/>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8"/>
              <w:gridCol w:w="3069"/>
              <w:gridCol w:w="1308"/>
              <w:gridCol w:w="2347"/>
            </w:tblGrid>
            <w:tr w14:paraId="438752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noWrap w:val="0"/>
                  <w:vAlign w:val="center"/>
                </w:tcPr>
                <w:p w14:paraId="0E88ACF7">
                  <w:pPr>
                    <w:snapToGrid w:val="0"/>
                    <w:jc w:val="center"/>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default" w:ascii="Times New Roman" w:hAnsi="Times New Roman" w:eastAsia="宋体" w:cs="Times New Roman"/>
                      <w:b w:val="0"/>
                      <w:bCs w:val="0"/>
                      <w:color w:val="auto"/>
                      <w:kern w:val="2"/>
                      <w:sz w:val="21"/>
                      <w:szCs w:val="21"/>
                      <w:highlight w:val="none"/>
                      <w:u w:val="single" w:color="auto"/>
                      <w:lang w:val="en-US" w:eastAsia="zh-CN" w:bidi="ar-SA"/>
                    </w:rPr>
                    <w:t>样品</w:t>
                  </w:r>
                </w:p>
              </w:tc>
              <w:tc>
                <w:tcPr>
                  <w:tcW w:w="4359" w:type="pct"/>
                  <w:gridSpan w:val="3"/>
                  <w:noWrap w:val="0"/>
                  <w:vAlign w:val="center"/>
                </w:tcPr>
                <w:p w14:paraId="0A3E8F87">
                  <w:pPr>
                    <w:snapToGrid w:val="0"/>
                    <w:jc w:val="center"/>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default" w:ascii="Times New Roman" w:hAnsi="Times New Roman" w:eastAsia="宋体" w:cs="Times New Roman"/>
                      <w:b w:val="0"/>
                      <w:bCs w:val="0"/>
                      <w:color w:val="auto"/>
                      <w:kern w:val="2"/>
                      <w:sz w:val="21"/>
                      <w:szCs w:val="21"/>
                      <w:highlight w:val="none"/>
                      <w:u w:val="single" w:color="auto"/>
                      <w:lang w:val="en-US" w:eastAsia="zh-CN" w:bidi="ar-SA"/>
                    </w:rPr>
                    <w:t>检测结果</w:t>
                  </w:r>
                </w:p>
              </w:tc>
            </w:tr>
            <w:tr w14:paraId="688BC1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restart"/>
                  <w:noWrap w:val="0"/>
                  <w:vAlign w:val="center"/>
                </w:tcPr>
                <w:p w14:paraId="77D275DA">
                  <w:pPr>
                    <w:jc w:val="center"/>
                    <w:rPr>
                      <w:rFonts w:hint="default" w:ascii="Times New Roman" w:hAnsi="Times New Roman" w:eastAsia="宋体" w:cs="Times New Roman"/>
                      <w:b w:val="0"/>
                      <w:bCs w:val="0"/>
                      <w:color w:val="auto"/>
                      <w:sz w:val="21"/>
                      <w:szCs w:val="21"/>
                      <w:highlight w:val="none"/>
                      <w:u w:val="single" w:color="auto"/>
                      <w:lang w:val="en-US" w:eastAsia="zh-CN"/>
                    </w:rPr>
                  </w:pPr>
                  <w:r>
                    <w:rPr>
                      <w:rFonts w:hint="default" w:ascii="Times New Roman" w:hAnsi="Times New Roman" w:eastAsia="宋体" w:cs="Times New Roman"/>
                      <w:b w:val="0"/>
                      <w:bCs w:val="0"/>
                      <w:color w:val="auto"/>
                      <w:kern w:val="2"/>
                      <w:sz w:val="21"/>
                      <w:szCs w:val="21"/>
                      <w:highlight w:val="none"/>
                      <w:u w:val="single" w:color="auto"/>
                      <w:lang w:val="en-US" w:eastAsia="zh-CN" w:bidi="ar-SA"/>
                    </w:rPr>
                    <w:t>生物质颗粒</w:t>
                  </w:r>
                </w:p>
              </w:tc>
              <w:tc>
                <w:tcPr>
                  <w:tcW w:w="3069" w:type="dxa"/>
                  <w:noWrap w:val="0"/>
                  <w:vAlign w:val="top"/>
                </w:tcPr>
                <w:p w14:paraId="24B45C98">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6"/>
                      <w:sz w:val="21"/>
                      <w:szCs w:val="21"/>
                      <w:u w:val="single" w:color="auto"/>
                    </w:rPr>
                    <w:t>全水分（</w:t>
                  </w:r>
                  <w:r>
                    <w:rPr>
                      <w:rFonts w:ascii="Times New Roman" w:hAnsi="Times New Roman" w:eastAsia="Times New Roman" w:cs="Times New Roman"/>
                      <w:color w:val="auto"/>
                      <w:spacing w:val="6"/>
                      <w:sz w:val="21"/>
                      <w:szCs w:val="21"/>
                      <w:u w:val="single" w:color="auto"/>
                    </w:rPr>
                    <w:t>%</w:t>
                  </w:r>
                  <w:r>
                    <w:rPr>
                      <w:rFonts w:ascii="宋体" w:hAnsi="宋体" w:eastAsia="宋体" w:cs="宋体"/>
                      <w:color w:val="auto"/>
                      <w:spacing w:val="6"/>
                      <w:sz w:val="21"/>
                      <w:szCs w:val="21"/>
                      <w:u w:val="single" w:color="auto"/>
                    </w:rPr>
                    <w:t>）</w:t>
                  </w:r>
                </w:p>
              </w:tc>
              <w:tc>
                <w:tcPr>
                  <w:tcW w:w="1308" w:type="dxa"/>
                  <w:noWrap w:val="0"/>
                  <w:vAlign w:val="top"/>
                </w:tcPr>
                <w:p w14:paraId="48ADD3B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pacing w:val="3"/>
                      <w:sz w:val="21"/>
                      <w:szCs w:val="21"/>
                      <w:u w:val="single" w:color="auto"/>
                    </w:rPr>
                    <w:t>Mt</w:t>
                  </w:r>
                </w:p>
              </w:tc>
              <w:tc>
                <w:tcPr>
                  <w:tcW w:w="2347" w:type="dxa"/>
                  <w:noWrap w:val="0"/>
                  <w:vAlign w:val="top"/>
                </w:tcPr>
                <w:p w14:paraId="0CD3E13E">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pacing w:val="-1"/>
                      <w:sz w:val="21"/>
                      <w:szCs w:val="21"/>
                      <w:u w:val="single" w:color="auto"/>
                      <w:lang w:val="en-US" w:eastAsia="zh-CN"/>
                    </w:rPr>
                    <w:t>6.57</w:t>
                  </w:r>
                </w:p>
              </w:tc>
            </w:tr>
            <w:tr w14:paraId="5C81F0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continue"/>
                  <w:noWrap w:val="0"/>
                  <w:vAlign w:val="center"/>
                </w:tcPr>
                <w:p w14:paraId="126F4199">
                  <w:pPr>
                    <w:jc w:val="center"/>
                    <w:rPr>
                      <w:rFonts w:hint="default" w:ascii="Times New Roman" w:hAnsi="Times New Roman" w:eastAsia="宋体" w:cs="Times New Roman"/>
                      <w:b w:val="0"/>
                      <w:bCs w:val="0"/>
                      <w:color w:val="auto"/>
                      <w:kern w:val="2"/>
                      <w:sz w:val="21"/>
                      <w:szCs w:val="21"/>
                      <w:highlight w:val="none"/>
                      <w:u w:val="single" w:color="auto"/>
                      <w:lang w:val="en-US" w:eastAsia="zh-CN" w:bidi="ar-SA"/>
                    </w:rPr>
                  </w:pPr>
                </w:p>
              </w:tc>
              <w:tc>
                <w:tcPr>
                  <w:tcW w:w="3069" w:type="dxa"/>
                  <w:noWrap w:val="0"/>
                  <w:vAlign w:val="top"/>
                </w:tcPr>
                <w:p w14:paraId="43996F8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7"/>
                      <w:sz w:val="21"/>
                      <w:szCs w:val="21"/>
                      <w:u w:val="single" w:color="auto"/>
                    </w:rPr>
                    <w:t>空气干燥基水分（</w:t>
                  </w:r>
                  <w:r>
                    <w:rPr>
                      <w:rFonts w:ascii="Times New Roman" w:hAnsi="Times New Roman" w:eastAsia="Times New Roman" w:cs="Times New Roman"/>
                      <w:color w:val="auto"/>
                      <w:spacing w:val="7"/>
                      <w:sz w:val="21"/>
                      <w:szCs w:val="21"/>
                      <w:u w:val="single" w:color="auto"/>
                    </w:rPr>
                    <w:t>%</w:t>
                  </w:r>
                  <w:r>
                    <w:rPr>
                      <w:rFonts w:ascii="宋体" w:hAnsi="宋体" w:eastAsia="宋体" w:cs="宋体"/>
                      <w:color w:val="auto"/>
                      <w:spacing w:val="7"/>
                      <w:sz w:val="21"/>
                      <w:szCs w:val="21"/>
                      <w:u w:val="single" w:color="auto"/>
                    </w:rPr>
                    <w:t>）</w:t>
                  </w:r>
                </w:p>
              </w:tc>
              <w:tc>
                <w:tcPr>
                  <w:tcW w:w="1308" w:type="dxa"/>
                  <w:noWrap w:val="0"/>
                  <w:vAlign w:val="top"/>
                </w:tcPr>
                <w:p w14:paraId="4B69CBD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pacing w:val="4"/>
                      <w:sz w:val="21"/>
                      <w:szCs w:val="21"/>
                      <w:u w:val="single" w:color="auto"/>
                    </w:rPr>
                    <w:t>Mad</w:t>
                  </w:r>
                </w:p>
              </w:tc>
              <w:tc>
                <w:tcPr>
                  <w:tcW w:w="2347" w:type="dxa"/>
                  <w:noWrap w:val="0"/>
                  <w:vAlign w:val="top"/>
                </w:tcPr>
                <w:p w14:paraId="09D641B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pacing w:val="1"/>
                      <w:position w:val="-2"/>
                      <w:sz w:val="21"/>
                      <w:szCs w:val="21"/>
                      <w:u w:val="single" w:color="auto"/>
                    </w:rPr>
                    <w:t>--</w:t>
                  </w:r>
                </w:p>
              </w:tc>
            </w:tr>
            <w:tr w14:paraId="485C0A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continue"/>
                  <w:noWrap w:val="0"/>
                  <w:vAlign w:val="center"/>
                </w:tcPr>
                <w:p w14:paraId="45699A7E">
                  <w:pPr>
                    <w:jc w:val="center"/>
                    <w:rPr>
                      <w:rFonts w:hint="default" w:ascii="Times New Roman" w:hAnsi="Times New Roman" w:eastAsia="宋体" w:cs="Times New Roman"/>
                      <w:b w:val="0"/>
                      <w:bCs w:val="0"/>
                      <w:color w:val="auto"/>
                      <w:sz w:val="21"/>
                      <w:szCs w:val="21"/>
                      <w:highlight w:val="none"/>
                      <w:u w:val="single" w:color="auto"/>
                      <w:lang w:val="en-US" w:eastAsia="zh-CN"/>
                    </w:rPr>
                  </w:pPr>
                </w:p>
              </w:tc>
              <w:tc>
                <w:tcPr>
                  <w:tcW w:w="3069" w:type="dxa"/>
                  <w:noWrap w:val="0"/>
                  <w:vAlign w:val="top"/>
                </w:tcPr>
                <w:p w14:paraId="2C21BB9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7"/>
                      <w:sz w:val="21"/>
                      <w:szCs w:val="21"/>
                      <w:u w:val="single" w:color="auto"/>
                    </w:rPr>
                    <w:t>干燥基灰分（</w:t>
                  </w:r>
                  <w:r>
                    <w:rPr>
                      <w:rFonts w:ascii="Times New Roman" w:hAnsi="Times New Roman" w:eastAsia="Times New Roman" w:cs="Times New Roman"/>
                      <w:color w:val="auto"/>
                      <w:spacing w:val="7"/>
                      <w:sz w:val="21"/>
                      <w:szCs w:val="21"/>
                      <w:u w:val="single" w:color="auto"/>
                    </w:rPr>
                    <w:t>%</w:t>
                  </w:r>
                  <w:r>
                    <w:rPr>
                      <w:rFonts w:ascii="宋体" w:hAnsi="宋体" w:eastAsia="宋体" w:cs="宋体"/>
                      <w:color w:val="auto"/>
                      <w:spacing w:val="7"/>
                      <w:sz w:val="21"/>
                      <w:szCs w:val="21"/>
                      <w:u w:val="single" w:color="auto"/>
                    </w:rPr>
                    <w:t>）</w:t>
                  </w:r>
                </w:p>
              </w:tc>
              <w:tc>
                <w:tcPr>
                  <w:tcW w:w="1308" w:type="dxa"/>
                  <w:noWrap w:val="0"/>
                  <w:vAlign w:val="top"/>
                </w:tcPr>
                <w:p w14:paraId="1CCD65A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pacing w:val="4"/>
                      <w:sz w:val="21"/>
                      <w:szCs w:val="21"/>
                      <w:u w:val="single" w:color="auto"/>
                    </w:rPr>
                    <w:t>Aad</w:t>
                  </w:r>
                </w:p>
              </w:tc>
              <w:tc>
                <w:tcPr>
                  <w:tcW w:w="2347" w:type="dxa"/>
                  <w:noWrap w:val="0"/>
                  <w:vAlign w:val="top"/>
                </w:tcPr>
                <w:p w14:paraId="49C5012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pacing w:val="-1"/>
                      <w:sz w:val="21"/>
                      <w:szCs w:val="21"/>
                      <w:u w:val="single" w:color="auto"/>
                      <w:lang w:val="en-US" w:eastAsia="zh-CN"/>
                    </w:rPr>
                    <w:t>16.73</w:t>
                  </w:r>
                </w:p>
              </w:tc>
            </w:tr>
            <w:tr w14:paraId="5D91A1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continue"/>
                  <w:noWrap w:val="0"/>
                  <w:vAlign w:val="center"/>
                </w:tcPr>
                <w:p w14:paraId="312984AD">
                  <w:pPr>
                    <w:jc w:val="center"/>
                    <w:rPr>
                      <w:rFonts w:hint="default" w:ascii="Times New Roman" w:hAnsi="Times New Roman" w:eastAsia="宋体" w:cs="Times New Roman"/>
                      <w:b w:val="0"/>
                      <w:bCs w:val="0"/>
                      <w:color w:val="auto"/>
                      <w:sz w:val="21"/>
                      <w:szCs w:val="21"/>
                      <w:highlight w:val="none"/>
                      <w:u w:val="single" w:color="auto"/>
                      <w:lang w:val="en-US" w:eastAsia="zh-CN"/>
                    </w:rPr>
                  </w:pPr>
                </w:p>
              </w:tc>
              <w:tc>
                <w:tcPr>
                  <w:tcW w:w="3069" w:type="dxa"/>
                  <w:noWrap w:val="0"/>
                  <w:vAlign w:val="top"/>
                </w:tcPr>
                <w:p w14:paraId="0A0476C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7"/>
                      <w:sz w:val="21"/>
                      <w:szCs w:val="21"/>
                      <w:u w:val="single" w:color="auto"/>
                    </w:rPr>
                    <w:t>空气干燥基挥发分（</w:t>
                  </w:r>
                  <w:r>
                    <w:rPr>
                      <w:rFonts w:ascii="Times New Roman" w:hAnsi="Times New Roman" w:eastAsia="Times New Roman" w:cs="Times New Roman"/>
                      <w:color w:val="auto"/>
                      <w:spacing w:val="7"/>
                      <w:sz w:val="21"/>
                      <w:szCs w:val="21"/>
                      <w:u w:val="single" w:color="auto"/>
                    </w:rPr>
                    <w:t>%</w:t>
                  </w:r>
                  <w:r>
                    <w:rPr>
                      <w:rFonts w:ascii="宋体" w:hAnsi="宋体" w:eastAsia="宋体" w:cs="宋体"/>
                      <w:color w:val="auto"/>
                      <w:spacing w:val="7"/>
                      <w:sz w:val="21"/>
                      <w:szCs w:val="21"/>
                      <w:u w:val="single" w:color="auto"/>
                    </w:rPr>
                    <w:t>）</w:t>
                  </w:r>
                </w:p>
              </w:tc>
              <w:tc>
                <w:tcPr>
                  <w:tcW w:w="1308" w:type="dxa"/>
                  <w:noWrap w:val="0"/>
                  <w:vAlign w:val="top"/>
                </w:tcPr>
                <w:p w14:paraId="63DFDBE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pacing w:val="4"/>
                      <w:sz w:val="21"/>
                      <w:szCs w:val="21"/>
                      <w:u w:val="single" w:color="auto"/>
                      <w:lang w:val="en-US" w:eastAsia="zh-CN"/>
                    </w:rPr>
                    <w:t>V</w:t>
                  </w:r>
                  <w:r>
                    <w:rPr>
                      <w:rFonts w:ascii="Times New Roman" w:hAnsi="Times New Roman" w:eastAsia="Times New Roman" w:cs="Times New Roman"/>
                      <w:color w:val="auto"/>
                      <w:spacing w:val="4"/>
                      <w:sz w:val="21"/>
                      <w:szCs w:val="21"/>
                      <w:u w:val="single" w:color="auto"/>
                    </w:rPr>
                    <w:t>ad</w:t>
                  </w:r>
                </w:p>
              </w:tc>
              <w:tc>
                <w:tcPr>
                  <w:tcW w:w="2347" w:type="dxa"/>
                  <w:noWrap w:val="0"/>
                  <w:vAlign w:val="top"/>
                </w:tcPr>
                <w:p w14:paraId="76119CE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eastAsia" w:eastAsia="宋体" w:cs="Times New Roman"/>
                      <w:color w:val="auto"/>
                      <w:spacing w:val="-2"/>
                      <w:sz w:val="21"/>
                      <w:szCs w:val="21"/>
                      <w:u w:val="single" w:color="auto"/>
                      <w:lang w:val="en-US" w:eastAsia="zh-CN"/>
                    </w:rPr>
                    <w:t>68.16</w:t>
                  </w:r>
                </w:p>
              </w:tc>
            </w:tr>
            <w:tr w14:paraId="595353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continue"/>
                  <w:noWrap w:val="0"/>
                  <w:vAlign w:val="center"/>
                </w:tcPr>
                <w:p w14:paraId="2CA1FC7C">
                  <w:pPr>
                    <w:jc w:val="center"/>
                    <w:rPr>
                      <w:rFonts w:hint="default" w:ascii="Times New Roman" w:hAnsi="Times New Roman" w:eastAsia="宋体" w:cs="Times New Roman"/>
                      <w:b w:val="0"/>
                      <w:bCs w:val="0"/>
                      <w:color w:val="auto"/>
                      <w:sz w:val="21"/>
                      <w:szCs w:val="21"/>
                      <w:highlight w:val="none"/>
                      <w:u w:val="single" w:color="auto"/>
                      <w:lang w:val="en-US" w:eastAsia="zh-CN"/>
                    </w:rPr>
                  </w:pPr>
                </w:p>
              </w:tc>
              <w:tc>
                <w:tcPr>
                  <w:tcW w:w="3069" w:type="dxa"/>
                  <w:noWrap w:val="0"/>
                  <w:vAlign w:val="top"/>
                </w:tcPr>
                <w:p w14:paraId="4F50B10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8"/>
                      <w:sz w:val="21"/>
                      <w:szCs w:val="21"/>
                      <w:u w:val="single" w:color="auto"/>
                    </w:rPr>
                    <w:t>干燥无灰基挥发分（</w:t>
                  </w:r>
                  <w:r>
                    <w:rPr>
                      <w:rFonts w:ascii="Times New Roman" w:hAnsi="Times New Roman" w:eastAsia="Times New Roman" w:cs="Times New Roman"/>
                      <w:color w:val="auto"/>
                      <w:spacing w:val="8"/>
                      <w:sz w:val="21"/>
                      <w:szCs w:val="21"/>
                      <w:u w:val="single" w:color="auto"/>
                    </w:rPr>
                    <w:t>%</w:t>
                  </w:r>
                  <w:r>
                    <w:rPr>
                      <w:rFonts w:ascii="宋体" w:hAnsi="宋体" w:eastAsia="宋体" w:cs="宋体"/>
                      <w:color w:val="auto"/>
                      <w:spacing w:val="8"/>
                      <w:sz w:val="21"/>
                      <w:szCs w:val="21"/>
                      <w:u w:val="single" w:color="auto"/>
                    </w:rPr>
                    <w:t>）</w:t>
                  </w:r>
                </w:p>
              </w:tc>
              <w:tc>
                <w:tcPr>
                  <w:tcW w:w="1308" w:type="dxa"/>
                  <w:noWrap w:val="0"/>
                  <w:vAlign w:val="top"/>
                </w:tcPr>
                <w:p w14:paraId="5ECFB29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pacing w:val="9"/>
                      <w:sz w:val="21"/>
                      <w:szCs w:val="21"/>
                      <w:u w:val="single" w:color="auto"/>
                    </w:rPr>
                    <w:t>Vdaf</w:t>
                  </w:r>
                </w:p>
              </w:tc>
              <w:tc>
                <w:tcPr>
                  <w:tcW w:w="2347" w:type="dxa"/>
                  <w:noWrap w:val="0"/>
                  <w:vAlign w:val="top"/>
                </w:tcPr>
                <w:p w14:paraId="34A325D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z w:val="21"/>
                      <w:szCs w:val="21"/>
                      <w:highlight w:val="none"/>
                      <w:u w:val="single" w:color="auto"/>
                      <w:lang w:val="en-US" w:eastAsia="zh-CN"/>
                    </w:rPr>
                  </w:pPr>
                  <w:r>
                    <w:rPr>
                      <w:rFonts w:hint="eastAsia" w:eastAsia="宋体" w:cs="Times New Roman"/>
                      <w:color w:val="auto"/>
                      <w:spacing w:val="3"/>
                      <w:sz w:val="21"/>
                      <w:szCs w:val="21"/>
                      <w:u w:val="single" w:color="auto"/>
                      <w:lang w:val="en-US" w:eastAsia="zh-CN"/>
                    </w:rPr>
                    <w:t>82.34</w:t>
                  </w:r>
                </w:p>
              </w:tc>
            </w:tr>
            <w:tr w14:paraId="79672D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continue"/>
                  <w:noWrap w:val="0"/>
                  <w:vAlign w:val="center"/>
                </w:tcPr>
                <w:p w14:paraId="485BB325">
                  <w:pPr>
                    <w:jc w:val="center"/>
                    <w:rPr>
                      <w:rFonts w:hint="default" w:ascii="Times New Roman" w:hAnsi="Times New Roman" w:eastAsia="宋体" w:cs="Times New Roman"/>
                      <w:b w:val="0"/>
                      <w:bCs w:val="0"/>
                      <w:color w:val="auto"/>
                      <w:sz w:val="21"/>
                      <w:szCs w:val="21"/>
                      <w:highlight w:val="none"/>
                      <w:u w:val="single" w:color="auto"/>
                      <w:lang w:val="en-US" w:eastAsia="zh-CN"/>
                    </w:rPr>
                  </w:pPr>
                </w:p>
              </w:tc>
              <w:tc>
                <w:tcPr>
                  <w:tcW w:w="3069" w:type="dxa"/>
                  <w:noWrap w:val="0"/>
                  <w:vAlign w:val="top"/>
                </w:tcPr>
                <w:p w14:paraId="5CF5AF6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7"/>
                      <w:sz w:val="21"/>
                      <w:szCs w:val="21"/>
                      <w:u w:val="single" w:color="auto"/>
                    </w:rPr>
                    <w:t>焦渣特性（型）</w:t>
                  </w:r>
                </w:p>
              </w:tc>
              <w:tc>
                <w:tcPr>
                  <w:tcW w:w="1308" w:type="dxa"/>
                  <w:noWrap w:val="0"/>
                  <w:vAlign w:val="top"/>
                </w:tcPr>
                <w:p w14:paraId="0D7E3CD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pacing w:val="2"/>
                      <w:sz w:val="21"/>
                      <w:szCs w:val="21"/>
                      <w:u w:val="single" w:color="auto"/>
                    </w:rPr>
                    <w:t>C</w:t>
                  </w:r>
                  <w:r>
                    <w:rPr>
                      <w:rFonts w:hint="eastAsia" w:eastAsia="宋体" w:cs="Times New Roman"/>
                      <w:color w:val="auto"/>
                      <w:spacing w:val="2"/>
                      <w:sz w:val="21"/>
                      <w:szCs w:val="21"/>
                      <w:u w:val="single" w:color="auto"/>
                      <w:lang w:val="en-US" w:eastAsia="zh-CN"/>
                    </w:rPr>
                    <w:t>RC</w:t>
                  </w:r>
                </w:p>
              </w:tc>
              <w:tc>
                <w:tcPr>
                  <w:tcW w:w="2347" w:type="dxa"/>
                  <w:noWrap w:val="0"/>
                  <w:vAlign w:val="top"/>
                </w:tcPr>
                <w:p w14:paraId="6FF3661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z w:val="21"/>
                      <w:szCs w:val="21"/>
                      <w:u w:val="single" w:color="auto"/>
                      <w:lang w:val="en-US" w:eastAsia="zh-CN"/>
                    </w:rPr>
                    <w:t>1</w:t>
                  </w:r>
                </w:p>
              </w:tc>
            </w:tr>
            <w:tr w14:paraId="25F805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640" w:type="pct"/>
                  <w:vMerge w:val="continue"/>
                  <w:noWrap w:val="0"/>
                  <w:vAlign w:val="center"/>
                </w:tcPr>
                <w:p w14:paraId="6D6EC760">
                  <w:pPr>
                    <w:jc w:val="center"/>
                    <w:rPr>
                      <w:rFonts w:hint="default" w:ascii="Times New Roman" w:hAnsi="Times New Roman" w:eastAsia="宋体" w:cs="Times New Roman"/>
                      <w:b w:val="0"/>
                      <w:bCs w:val="0"/>
                      <w:color w:val="auto"/>
                      <w:sz w:val="21"/>
                      <w:szCs w:val="21"/>
                      <w:highlight w:val="none"/>
                      <w:u w:val="single" w:color="auto"/>
                      <w:lang w:val="en-US" w:eastAsia="zh-CN"/>
                    </w:rPr>
                  </w:pPr>
                </w:p>
              </w:tc>
              <w:tc>
                <w:tcPr>
                  <w:tcW w:w="3069" w:type="dxa"/>
                  <w:noWrap w:val="0"/>
                  <w:vAlign w:val="top"/>
                </w:tcPr>
                <w:p w14:paraId="79555A9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10"/>
                      <w:sz w:val="21"/>
                      <w:szCs w:val="21"/>
                      <w:u w:val="single" w:color="auto"/>
                    </w:rPr>
                    <w:t>干基高位发热量（</w:t>
                  </w:r>
                  <w:r>
                    <w:rPr>
                      <w:rFonts w:ascii="Times New Roman" w:hAnsi="Times New Roman" w:eastAsia="Times New Roman" w:cs="Times New Roman"/>
                      <w:color w:val="auto"/>
                      <w:sz w:val="21"/>
                      <w:szCs w:val="21"/>
                      <w:u w:val="single" w:color="auto"/>
                    </w:rPr>
                    <w:t>Kcal</w:t>
                  </w:r>
                  <w:r>
                    <w:rPr>
                      <w:rFonts w:ascii="宋体" w:hAnsi="宋体" w:eastAsia="宋体" w:cs="宋体"/>
                      <w:color w:val="auto"/>
                      <w:spacing w:val="10"/>
                      <w:sz w:val="21"/>
                      <w:szCs w:val="21"/>
                      <w:u w:val="single" w:color="auto"/>
                    </w:rPr>
                    <w:t>）</w:t>
                  </w:r>
                </w:p>
              </w:tc>
              <w:tc>
                <w:tcPr>
                  <w:tcW w:w="1308" w:type="dxa"/>
                  <w:noWrap w:val="0"/>
                  <w:vAlign w:val="top"/>
                </w:tcPr>
                <w:p w14:paraId="63E2C82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pacing w:val="3"/>
                      <w:sz w:val="21"/>
                      <w:szCs w:val="21"/>
                      <w:u w:val="single" w:color="auto"/>
                    </w:rPr>
                    <w:t>Qgr,</w:t>
                  </w:r>
                  <w:r>
                    <w:rPr>
                      <w:rFonts w:hint="eastAsia" w:eastAsia="宋体" w:cs="Times New Roman"/>
                      <w:color w:val="auto"/>
                      <w:spacing w:val="3"/>
                      <w:sz w:val="21"/>
                      <w:szCs w:val="21"/>
                      <w:u w:val="single" w:color="auto"/>
                      <w:lang w:val="en-US" w:eastAsia="zh-CN"/>
                    </w:rPr>
                    <w:t>d</w:t>
                  </w:r>
                </w:p>
              </w:tc>
              <w:tc>
                <w:tcPr>
                  <w:tcW w:w="2347" w:type="dxa"/>
                  <w:noWrap w:val="0"/>
                  <w:vAlign w:val="top"/>
                </w:tcPr>
                <w:p w14:paraId="54F98C1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pacing w:val="3"/>
                      <w:sz w:val="21"/>
                      <w:szCs w:val="21"/>
                      <w:u w:val="single" w:color="auto"/>
                      <w:lang w:val="en-US" w:eastAsia="zh-CN"/>
                    </w:rPr>
                    <w:t>3629</w:t>
                  </w:r>
                </w:p>
              </w:tc>
            </w:tr>
            <w:tr w14:paraId="3FA398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continue"/>
                  <w:noWrap w:val="0"/>
                  <w:vAlign w:val="center"/>
                </w:tcPr>
                <w:p w14:paraId="49219568">
                  <w:pPr>
                    <w:jc w:val="center"/>
                    <w:rPr>
                      <w:rFonts w:hint="default" w:ascii="Times New Roman" w:hAnsi="Times New Roman" w:eastAsia="宋体" w:cs="Times New Roman"/>
                      <w:b w:val="0"/>
                      <w:bCs w:val="0"/>
                      <w:color w:val="auto"/>
                      <w:sz w:val="21"/>
                      <w:szCs w:val="21"/>
                      <w:highlight w:val="none"/>
                      <w:u w:val="single" w:color="auto"/>
                      <w:lang w:val="en-US" w:eastAsia="zh-CN"/>
                    </w:rPr>
                  </w:pPr>
                </w:p>
              </w:tc>
              <w:tc>
                <w:tcPr>
                  <w:tcW w:w="3069" w:type="dxa"/>
                  <w:noWrap w:val="0"/>
                  <w:vAlign w:val="top"/>
                </w:tcPr>
                <w:p w14:paraId="173EA7F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9"/>
                      <w:sz w:val="21"/>
                      <w:szCs w:val="21"/>
                      <w:u w:val="single" w:color="auto"/>
                    </w:rPr>
                    <w:t>收到基低位发热量（</w:t>
                  </w:r>
                  <w:r>
                    <w:rPr>
                      <w:rFonts w:ascii="Times New Roman" w:hAnsi="Times New Roman" w:eastAsia="Times New Roman" w:cs="Times New Roman"/>
                      <w:color w:val="auto"/>
                      <w:sz w:val="21"/>
                      <w:szCs w:val="21"/>
                      <w:u w:val="single" w:color="auto"/>
                    </w:rPr>
                    <w:t>Kcal</w:t>
                  </w:r>
                  <w:r>
                    <w:rPr>
                      <w:rFonts w:ascii="宋体" w:hAnsi="宋体" w:eastAsia="宋体" w:cs="宋体"/>
                      <w:color w:val="auto"/>
                      <w:spacing w:val="9"/>
                      <w:sz w:val="21"/>
                      <w:szCs w:val="21"/>
                      <w:u w:val="single" w:color="auto"/>
                    </w:rPr>
                    <w:t>）</w:t>
                  </w:r>
                </w:p>
              </w:tc>
              <w:tc>
                <w:tcPr>
                  <w:tcW w:w="1308" w:type="dxa"/>
                  <w:noWrap w:val="0"/>
                  <w:vAlign w:val="top"/>
                </w:tcPr>
                <w:p w14:paraId="37C10FD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pacing w:val="3"/>
                      <w:sz w:val="21"/>
                      <w:szCs w:val="21"/>
                      <w:u w:val="single" w:color="auto"/>
                    </w:rPr>
                    <w:t>Qnet,ar</w:t>
                  </w:r>
                </w:p>
              </w:tc>
              <w:tc>
                <w:tcPr>
                  <w:tcW w:w="2347" w:type="dxa"/>
                  <w:noWrap w:val="0"/>
                  <w:vAlign w:val="top"/>
                </w:tcPr>
                <w:p w14:paraId="1B234B6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pacing w:val="2"/>
                      <w:sz w:val="21"/>
                      <w:szCs w:val="21"/>
                      <w:u w:val="single" w:color="auto"/>
                      <w:lang w:val="en-US" w:eastAsia="zh-CN"/>
                    </w:rPr>
                    <w:t>3258</w:t>
                  </w:r>
                </w:p>
              </w:tc>
            </w:tr>
            <w:tr w14:paraId="0E950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continue"/>
                  <w:noWrap w:val="0"/>
                  <w:vAlign w:val="center"/>
                </w:tcPr>
                <w:p w14:paraId="42289867">
                  <w:pPr>
                    <w:jc w:val="center"/>
                    <w:rPr>
                      <w:rFonts w:hint="default" w:ascii="Times New Roman" w:hAnsi="Times New Roman" w:eastAsia="宋体" w:cs="Times New Roman"/>
                      <w:b w:val="0"/>
                      <w:bCs w:val="0"/>
                      <w:color w:val="auto"/>
                      <w:sz w:val="21"/>
                      <w:szCs w:val="21"/>
                      <w:highlight w:val="none"/>
                      <w:u w:val="single" w:color="auto"/>
                      <w:lang w:val="en-US" w:eastAsia="zh-CN"/>
                    </w:rPr>
                  </w:pPr>
                </w:p>
              </w:tc>
              <w:tc>
                <w:tcPr>
                  <w:tcW w:w="3069" w:type="dxa"/>
                  <w:noWrap w:val="0"/>
                  <w:vAlign w:val="top"/>
                </w:tcPr>
                <w:p w14:paraId="6F4B017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7"/>
                      <w:sz w:val="21"/>
                      <w:szCs w:val="21"/>
                      <w:u w:val="single" w:color="auto"/>
                    </w:rPr>
                    <w:t>干基全硫量（</w:t>
                  </w:r>
                  <w:r>
                    <w:rPr>
                      <w:rFonts w:ascii="Times New Roman" w:hAnsi="Times New Roman" w:eastAsia="Times New Roman" w:cs="Times New Roman"/>
                      <w:color w:val="auto"/>
                      <w:spacing w:val="7"/>
                      <w:sz w:val="21"/>
                      <w:szCs w:val="21"/>
                      <w:u w:val="single" w:color="auto"/>
                    </w:rPr>
                    <w:t>%</w:t>
                  </w:r>
                  <w:r>
                    <w:rPr>
                      <w:rFonts w:ascii="宋体" w:hAnsi="宋体" w:eastAsia="宋体" w:cs="宋体"/>
                      <w:color w:val="auto"/>
                      <w:spacing w:val="7"/>
                      <w:sz w:val="21"/>
                      <w:szCs w:val="21"/>
                      <w:u w:val="single" w:color="auto"/>
                    </w:rPr>
                    <w:t>）</w:t>
                  </w:r>
                </w:p>
              </w:tc>
              <w:tc>
                <w:tcPr>
                  <w:tcW w:w="1308" w:type="dxa"/>
                  <w:noWrap w:val="0"/>
                  <w:vAlign w:val="top"/>
                </w:tcPr>
                <w:p w14:paraId="1441D41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Times New Roman" w:hAnsi="Times New Roman" w:eastAsia="Times New Roman" w:cs="Times New Roman"/>
                      <w:color w:val="auto"/>
                      <w:sz w:val="21"/>
                      <w:szCs w:val="21"/>
                      <w:u w:val="single" w:color="auto"/>
                    </w:rPr>
                    <w:t>St,</w:t>
                  </w:r>
                  <w:r>
                    <w:rPr>
                      <w:rFonts w:hint="eastAsia" w:eastAsia="宋体" w:cs="Times New Roman"/>
                      <w:color w:val="auto"/>
                      <w:sz w:val="21"/>
                      <w:szCs w:val="21"/>
                      <w:u w:val="single" w:color="auto"/>
                      <w:lang w:val="en-US" w:eastAsia="zh-CN"/>
                    </w:rPr>
                    <w:t>a</w:t>
                  </w:r>
                  <w:r>
                    <w:rPr>
                      <w:rFonts w:ascii="Times New Roman" w:hAnsi="Times New Roman" w:eastAsia="Times New Roman" w:cs="Times New Roman"/>
                      <w:color w:val="auto"/>
                      <w:sz w:val="21"/>
                      <w:szCs w:val="21"/>
                      <w:u w:val="single" w:color="auto"/>
                    </w:rPr>
                    <w:t>d</w:t>
                  </w:r>
                </w:p>
              </w:tc>
              <w:tc>
                <w:tcPr>
                  <w:tcW w:w="2347" w:type="dxa"/>
                  <w:noWrap w:val="0"/>
                  <w:vAlign w:val="top"/>
                </w:tcPr>
                <w:p w14:paraId="78D1A6B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pacing w:val="2"/>
                      <w:sz w:val="21"/>
                      <w:szCs w:val="21"/>
                      <w:u w:val="single" w:color="auto"/>
                      <w:lang w:val="en-US" w:eastAsia="zh-CN"/>
                    </w:rPr>
                    <w:t>0.02</w:t>
                  </w:r>
                </w:p>
              </w:tc>
            </w:tr>
            <w:tr w14:paraId="256A70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40" w:type="pct"/>
                  <w:vMerge w:val="continue"/>
                  <w:noWrap w:val="0"/>
                  <w:vAlign w:val="center"/>
                </w:tcPr>
                <w:p w14:paraId="3B5E0F27">
                  <w:pPr>
                    <w:jc w:val="center"/>
                    <w:rPr>
                      <w:rFonts w:hint="default" w:ascii="Times New Roman" w:hAnsi="Times New Roman" w:eastAsia="宋体" w:cs="Times New Roman"/>
                      <w:b w:val="0"/>
                      <w:bCs w:val="0"/>
                      <w:color w:val="auto"/>
                      <w:sz w:val="21"/>
                      <w:szCs w:val="21"/>
                      <w:highlight w:val="none"/>
                      <w:u w:val="single" w:color="auto"/>
                      <w:lang w:val="en-US" w:eastAsia="zh-CN"/>
                    </w:rPr>
                  </w:pPr>
                </w:p>
              </w:tc>
              <w:tc>
                <w:tcPr>
                  <w:tcW w:w="3069" w:type="dxa"/>
                  <w:noWrap w:val="0"/>
                  <w:vAlign w:val="top"/>
                </w:tcPr>
                <w:p w14:paraId="0694180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ascii="宋体" w:hAnsi="宋体" w:eastAsia="宋体" w:cs="宋体"/>
                      <w:color w:val="auto"/>
                      <w:spacing w:val="8"/>
                      <w:sz w:val="21"/>
                      <w:szCs w:val="21"/>
                      <w:u w:val="single" w:color="auto"/>
                    </w:rPr>
                    <w:t>干基固定碳含量（</w:t>
                  </w:r>
                  <w:r>
                    <w:rPr>
                      <w:rFonts w:ascii="Times New Roman" w:hAnsi="Times New Roman" w:eastAsia="Times New Roman" w:cs="Times New Roman"/>
                      <w:color w:val="auto"/>
                      <w:spacing w:val="8"/>
                      <w:sz w:val="21"/>
                      <w:szCs w:val="21"/>
                      <w:u w:val="single" w:color="auto"/>
                    </w:rPr>
                    <w:t>%</w:t>
                  </w:r>
                  <w:r>
                    <w:rPr>
                      <w:rFonts w:ascii="宋体" w:hAnsi="宋体" w:eastAsia="宋体" w:cs="宋体"/>
                      <w:color w:val="auto"/>
                      <w:spacing w:val="8"/>
                      <w:sz w:val="21"/>
                      <w:szCs w:val="21"/>
                      <w:u w:val="single" w:color="auto"/>
                    </w:rPr>
                    <w:t>）</w:t>
                  </w:r>
                </w:p>
              </w:tc>
              <w:tc>
                <w:tcPr>
                  <w:tcW w:w="1308" w:type="dxa"/>
                  <w:noWrap w:val="0"/>
                  <w:vAlign w:val="top"/>
                </w:tcPr>
                <w:p w14:paraId="066261F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z w:val="21"/>
                      <w:szCs w:val="21"/>
                      <w:u w:val="single" w:color="auto"/>
                      <w:lang w:val="en-US" w:eastAsia="zh-CN"/>
                    </w:rPr>
                    <w:t>D</w:t>
                  </w:r>
                </w:p>
              </w:tc>
              <w:tc>
                <w:tcPr>
                  <w:tcW w:w="2347" w:type="dxa"/>
                  <w:noWrap w:val="0"/>
                  <w:vAlign w:val="top"/>
                </w:tcPr>
                <w:p w14:paraId="6EDA923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eastAsia" w:eastAsia="宋体" w:cs="Times New Roman"/>
                      <w:color w:val="auto"/>
                      <w:spacing w:val="-1"/>
                      <w:sz w:val="21"/>
                      <w:szCs w:val="21"/>
                      <w:u w:val="single" w:color="auto"/>
                      <w:lang w:val="en-US" w:eastAsia="zh-CN"/>
                    </w:rPr>
                    <w:t>14.61</w:t>
                  </w:r>
                </w:p>
              </w:tc>
            </w:tr>
            <w:tr w14:paraId="1603F6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noWrap w:val="0"/>
                  <w:vAlign w:val="center"/>
                </w:tcPr>
                <w:p w14:paraId="0CD6EC65">
                  <w:pPr>
                    <w:snapToGrid w:val="0"/>
                    <w:jc w:val="left"/>
                    <w:rPr>
                      <w:rFonts w:hint="default" w:ascii="Times New Roman" w:hAnsi="Times New Roman" w:eastAsia="宋体" w:cs="Times New Roman"/>
                      <w:b w:val="0"/>
                      <w:bCs w:val="0"/>
                      <w:color w:val="auto"/>
                      <w:kern w:val="2"/>
                      <w:sz w:val="21"/>
                      <w:szCs w:val="21"/>
                      <w:highlight w:val="none"/>
                      <w:u w:val="single" w:color="auto"/>
                      <w:lang w:val="en-US" w:eastAsia="zh-CN" w:bidi="ar-SA"/>
                    </w:rPr>
                  </w:pPr>
                  <w:r>
                    <w:rPr>
                      <w:rFonts w:hint="default" w:ascii="Times New Roman" w:hAnsi="Times New Roman" w:eastAsia="宋体" w:cs="Times New Roman"/>
                      <w:color w:val="auto"/>
                      <w:kern w:val="0"/>
                      <w:sz w:val="21"/>
                      <w:szCs w:val="21"/>
                      <w:highlight w:val="none"/>
                      <w:u w:val="single" w:color="auto"/>
                      <w:lang w:val="en-US" w:eastAsia="zh-CN"/>
                    </w:rPr>
                    <w:t>注：企业拟使用生物质颗粒厂家提供分析报告见附件</w:t>
                  </w:r>
                  <w:r>
                    <w:rPr>
                      <w:rFonts w:hint="default" w:ascii="Times New Roman" w:hAnsi="Times New Roman" w:eastAsia="宋体" w:cs="Times New Roman"/>
                      <w:strike w:val="0"/>
                      <w:color w:val="auto"/>
                      <w:sz w:val="21"/>
                      <w:szCs w:val="21"/>
                      <w:highlight w:val="none"/>
                      <w:u w:val="single" w:color="auto"/>
                      <w:lang w:val="en-US" w:eastAsia="zh-CN"/>
                    </w:rPr>
                    <w:t>。收到基低位发热量Qnet,ar=</w:t>
                  </w:r>
                  <w:r>
                    <w:rPr>
                      <w:rFonts w:hint="eastAsia" w:cs="Times New Roman"/>
                      <w:strike w:val="0"/>
                      <w:color w:val="auto"/>
                      <w:sz w:val="21"/>
                      <w:szCs w:val="21"/>
                      <w:highlight w:val="none"/>
                      <w:u w:val="single" w:color="auto"/>
                      <w:lang w:val="en-US" w:eastAsia="zh-CN"/>
                    </w:rPr>
                    <w:t>13.64</w:t>
                  </w:r>
                  <w:r>
                    <w:rPr>
                      <w:rFonts w:hint="default" w:ascii="Times New Roman" w:hAnsi="Times New Roman" w:eastAsia="宋体" w:cs="Times New Roman"/>
                      <w:strike w:val="0"/>
                      <w:color w:val="auto"/>
                      <w:sz w:val="21"/>
                      <w:szCs w:val="21"/>
                      <w:highlight w:val="none"/>
                      <w:u w:val="single" w:color="auto"/>
                      <w:lang w:val="en-US" w:eastAsia="zh-CN"/>
                    </w:rPr>
                    <w:t>MJ/kg</w:t>
                  </w:r>
                </w:p>
              </w:tc>
            </w:tr>
          </w:tbl>
          <w:p w14:paraId="20DBC015">
            <w:pPr>
              <w:spacing w:line="360" w:lineRule="auto"/>
              <w:rPr>
                <w:rFonts w:hint="eastAsia"/>
                <w:b/>
                <w:color w:val="auto"/>
                <w:sz w:val="24"/>
                <w:highlight w:val="none"/>
                <w:u w:val="none" w:color="auto"/>
              </w:rPr>
            </w:pPr>
          </w:p>
          <w:p w14:paraId="3F7B58A8">
            <w:pPr>
              <w:spacing w:line="360" w:lineRule="auto"/>
              <w:rPr>
                <w:b/>
                <w:color w:val="auto"/>
                <w:sz w:val="24"/>
                <w:highlight w:val="none"/>
                <w:u w:val="none" w:color="auto"/>
              </w:rPr>
            </w:pPr>
            <w:r>
              <w:rPr>
                <w:rFonts w:hint="eastAsia"/>
                <w:b/>
                <w:color w:val="auto"/>
                <w:sz w:val="24"/>
                <w:highlight w:val="none"/>
                <w:u w:val="none" w:color="auto"/>
                <w:lang w:val="en-US" w:eastAsia="zh-CN"/>
              </w:rPr>
              <w:t>2.5</w:t>
            </w:r>
            <w:r>
              <w:rPr>
                <w:b/>
                <w:color w:val="auto"/>
                <w:sz w:val="24"/>
                <w:highlight w:val="none"/>
                <w:u w:val="none" w:color="auto"/>
              </w:rPr>
              <w:t>主要生产设施</w:t>
            </w:r>
          </w:p>
          <w:p w14:paraId="37467378">
            <w:pPr>
              <w:pStyle w:val="48"/>
              <w:widowControl w:val="0"/>
              <w:overflowPunct w:val="0"/>
              <w:ind w:firstLine="504"/>
              <w:jc w:val="both"/>
              <w:rPr>
                <w:rFonts w:ascii="Times New Roman" w:hAnsi="Times New Roman" w:cs="Times New Roman"/>
                <w:color w:val="auto"/>
                <w:szCs w:val="22"/>
                <w:highlight w:val="none"/>
                <w:u w:val="none" w:color="auto"/>
              </w:rPr>
            </w:pPr>
            <w:r>
              <w:rPr>
                <w:rFonts w:hint="eastAsia" w:ascii="Times New Roman" w:hAnsi="Times New Roman" w:cs="Times New Roman"/>
                <w:color w:val="auto"/>
                <w:szCs w:val="22"/>
                <w:highlight w:val="none"/>
                <w:u w:val="none" w:color="auto"/>
              </w:rPr>
              <w:t>本项目主要生产单元及各单元主要生产设施详见下表。</w:t>
            </w:r>
          </w:p>
          <w:p w14:paraId="1A29B874">
            <w:pPr>
              <w:adjustRightInd w:val="0"/>
              <w:snapToGrid w:val="0"/>
              <w:jc w:val="center"/>
              <w:rPr>
                <w:b/>
                <w:color w:val="auto"/>
                <w:sz w:val="24"/>
                <w:highlight w:val="none"/>
                <w:u w:val="none" w:color="auto"/>
              </w:rPr>
            </w:pPr>
            <w:r>
              <w:rPr>
                <w:rFonts w:hint="eastAsia"/>
                <w:b/>
                <w:color w:val="auto"/>
                <w:sz w:val="24"/>
                <w:highlight w:val="none"/>
                <w:u w:val="none" w:color="auto"/>
              </w:rPr>
              <w:t>表</w:t>
            </w:r>
            <w:r>
              <w:rPr>
                <w:rFonts w:hint="eastAsia"/>
                <w:b/>
                <w:color w:val="auto"/>
                <w:sz w:val="24"/>
                <w:highlight w:val="none"/>
                <w:u w:val="none" w:color="auto"/>
                <w:lang w:val="en-US" w:eastAsia="zh-CN"/>
              </w:rPr>
              <w:t>2-7</w:t>
            </w:r>
            <w:r>
              <w:rPr>
                <w:b/>
                <w:color w:val="auto"/>
                <w:sz w:val="24"/>
                <w:highlight w:val="none"/>
                <w:u w:val="none" w:color="auto"/>
              </w:rPr>
              <w:t>项目主要生产设备一览表</w:t>
            </w:r>
          </w:p>
          <w:tbl>
            <w:tblPr>
              <w:tblStyle w:val="44"/>
              <w:tblW w:w="7828"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828"/>
              <w:gridCol w:w="1602"/>
              <w:gridCol w:w="2480"/>
              <w:gridCol w:w="663"/>
              <w:gridCol w:w="662"/>
              <w:gridCol w:w="1593"/>
            </w:tblGrid>
            <w:tr w14:paraId="498E22F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08" w:hRule="atLeast"/>
                <w:jc w:val="center"/>
              </w:trPr>
              <w:tc>
                <w:tcPr>
                  <w:tcW w:w="828" w:type="dxa"/>
                  <w:tcBorders>
                    <w:tl2br w:val="nil"/>
                    <w:tr2bl w:val="nil"/>
                  </w:tcBorders>
                  <w:vAlign w:val="center"/>
                </w:tcPr>
                <w:p w14:paraId="027B811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b/>
                      <w:bCs/>
                      <w:color w:val="auto"/>
                      <w:spacing w:val="4"/>
                      <w:sz w:val="21"/>
                      <w:szCs w:val="21"/>
                      <w:u w:val="none" w:color="auto"/>
                    </w:rPr>
                    <w:t>序号</w:t>
                  </w:r>
                </w:p>
              </w:tc>
              <w:tc>
                <w:tcPr>
                  <w:tcW w:w="1602" w:type="dxa"/>
                  <w:tcBorders>
                    <w:tl2br w:val="nil"/>
                    <w:tr2bl w:val="nil"/>
                  </w:tcBorders>
                  <w:vAlign w:val="center"/>
                </w:tcPr>
                <w:p w14:paraId="4032EB6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b/>
                      <w:bCs/>
                      <w:color w:val="auto"/>
                      <w:spacing w:val="5"/>
                      <w:sz w:val="21"/>
                      <w:szCs w:val="21"/>
                      <w:u w:val="none" w:color="auto"/>
                    </w:rPr>
                    <w:t>设备名称</w:t>
                  </w:r>
                </w:p>
              </w:tc>
              <w:tc>
                <w:tcPr>
                  <w:tcW w:w="2480" w:type="dxa"/>
                  <w:tcBorders>
                    <w:tl2br w:val="nil"/>
                    <w:tr2bl w:val="nil"/>
                  </w:tcBorders>
                  <w:vAlign w:val="center"/>
                </w:tcPr>
                <w:p w14:paraId="05FFC6B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b/>
                      <w:bCs/>
                      <w:color w:val="auto"/>
                      <w:sz w:val="21"/>
                      <w:szCs w:val="21"/>
                      <w:u w:val="none" w:color="auto"/>
                    </w:rPr>
                    <w:t>型号</w:t>
                  </w:r>
                </w:p>
              </w:tc>
              <w:tc>
                <w:tcPr>
                  <w:tcW w:w="663" w:type="dxa"/>
                  <w:tcBorders>
                    <w:tl2br w:val="nil"/>
                    <w:tr2bl w:val="nil"/>
                  </w:tcBorders>
                  <w:vAlign w:val="center"/>
                </w:tcPr>
                <w:p w14:paraId="167ED55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b/>
                      <w:bCs/>
                      <w:color w:val="auto"/>
                      <w:spacing w:val="3"/>
                      <w:sz w:val="21"/>
                      <w:szCs w:val="21"/>
                      <w:u w:val="none" w:color="auto"/>
                    </w:rPr>
                    <w:t>单位</w:t>
                  </w:r>
                </w:p>
              </w:tc>
              <w:tc>
                <w:tcPr>
                  <w:tcW w:w="662" w:type="dxa"/>
                  <w:tcBorders>
                    <w:tl2br w:val="nil"/>
                    <w:tr2bl w:val="nil"/>
                  </w:tcBorders>
                  <w:vAlign w:val="center"/>
                </w:tcPr>
                <w:p w14:paraId="7210EAE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b/>
                      <w:bCs/>
                      <w:color w:val="auto"/>
                      <w:spacing w:val="3"/>
                      <w:sz w:val="21"/>
                      <w:szCs w:val="21"/>
                      <w:u w:val="none" w:color="auto"/>
                    </w:rPr>
                    <w:t>数量</w:t>
                  </w:r>
                </w:p>
              </w:tc>
              <w:tc>
                <w:tcPr>
                  <w:tcW w:w="1593" w:type="dxa"/>
                  <w:tcBorders>
                    <w:tl2br w:val="nil"/>
                    <w:tr2bl w:val="nil"/>
                  </w:tcBorders>
                  <w:vAlign w:val="center"/>
                </w:tcPr>
                <w:p w14:paraId="42A7086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z w:val="21"/>
                      <w:szCs w:val="21"/>
                      <w:u w:val="none" w:color="auto"/>
                    </w:rPr>
                  </w:pPr>
                  <w:r>
                    <w:rPr>
                      <w:rFonts w:hint="default" w:ascii="Times New Roman" w:hAnsi="Times New Roman" w:eastAsia="宋体" w:cs="Times New Roman"/>
                      <w:b/>
                      <w:bCs/>
                      <w:color w:val="auto"/>
                      <w:spacing w:val="2"/>
                      <w:sz w:val="21"/>
                      <w:szCs w:val="21"/>
                      <w:u w:val="none" w:color="auto"/>
                    </w:rPr>
                    <w:t>备注</w:t>
                  </w:r>
                </w:p>
              </w:tc>
            </w:tr>
            <w:tr w14:paraId="687DA6D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vAlign w:val="center"/>
                </w:tcPr>
                <w:p w14:paraId="40E7AE4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Times New Roman" w:cs="Times New Roman"/>
                      <w:color w:val="auto"/>
                      <w:sz w:val="21"/>
                      <w:szCs w:val="21"/>
                      <w:u w:val="none" w:color="auto"/>
                    </w:rPr>
                  </w:pPr>
                  <w:r>
                    <w:rPr>
                      <w:rFonts w:hint="default" w:ascii="Times New Roman" w:hAnsi="Times New Roman" w:eastAsia="Times New Roman" w:cs="Times New Roman"/>
                      <w:color w:val="auto"/>
                      <w:sz w:val="21"/>
                      <w:szCs w:val="21"/>
                      <w:u w:val="none" w:color="auto"/>
                    </w:rPr>
                    <w:t>1</w:t>
                  </w:r>
                </w:p>
              </w:tc>
              <w:tc>
                <w:tcPr>
                  <w:tcW w:w="1602" w:type="dxa"/>
                  <w:tcBorders>
                    <w:tl2br w:val="nil"/>
                    <w:tr2bl w:val="nil"/>
                  </w:tcBorders>
                  <w:vAlign w:val="center"/>
                </w:tcPr>
                <w:p w14:paraId="663650F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生物质热风炉</w:t>
                  </w:r>
                </w:p>
              </w:tc>
              <w:tc>
                <w:tcPr>
                  <w:tcW w:w="2480" w:type="dxa"/>
                  <w:tcBorders>
                    <w:tl2br w:val="nil"/>
                    <w:tr2bl w:val="nil"/>
                  </w:tcBorders>
                  <w:vAlign w:val="center"/>
                </w:tcPr>
                <w:p w14:paraId="064DE8E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eastAsia="zh-CN"/>
                    </w:rPr>
                  </w:pPr>
                  <w:r>
                    <w:rPr>
                      <w:rFonts w:hint="default" w:ascii="Times New Roman" w:hAnsi="Times New Roman" w:eastAsia="宋体" w:cs="Times New Roman"/>
                      <w:color w:val="auto"/>
                      <w:spacing w:val="7"/>
                      <w:sz w:val="21"/>
                      <w:szCs w:val="21"/>
                      <w:highlight w:val="none"/>
                      <w:u w:val="none" w:color="auto"/>
                    </w:rPr>
                    <w:t>JLR-6</w:t>
                  </w:r>
                  <w:r>
                    <w:rPr>
                      <w:rFonts w:hint="default" w:ascii="Times New Roman" w:hAnsi="Times New Roman" w:eastAsia="宋体" w:cs="Times New Roman"/>
                      <w:color w:val="auto"/>
                      <w:spacing w:val="7"/>
                      <w:sz w:val="21"/>
                      <w:szCs w:val="21"/>
                      <w:highlight w:val="none"/>
                      <w:u w:val="none" w:color="auto"/>
                      <w:lang w:eastAsia="zh-CN"/>
                    </w:rPr>
                    <w:t>，</w:t>
                  </w:r>
                  <w:r>
                    <w:rPr>
                      <w:rFonts w:hint="default" w:ascii="Times New Roman" w:hAnsi="Times New Roman" w:eastAsia="宋体" w:cs="Times New Roman"/>
                      <w:color w:val="auto"/>
                      <w:spacing w:val="7"/>
                      <w:sz w:val="21"/>
                      <w:szCs w:val="21"/>
                      <w:highlight w:val="none"/>
                      <w:u w:val="none" w:color="auto"/>
                    </w:rPr>
                    <w:t>额定6t/h</w:t>
                  </w:r>
                  <w:r>
                    <w:rPr>
                      <w:rFonts w:hint="default" w:ascii="Times New Roman" w:hAnsi="Times New Roman" w:eastAsia="宋体" w:cs="Times New Roman"/>
                      <w:color w:val="auto"/>
                      <w:spacing w:val="7"/>
                      <w:sz w:val="21"/>
                      <w:szCs w:val="21"/>
                      <w:highlight w:val="none"/>
                      <w:u w:val="none" w:color="auto"/>
                      <w:lang w:eastAsia="zh-CN"/>
                    </w:rPr>
                    <w:t>，Q=3000000kcal/h</w:t>
                  </w:r>
                </w:p>
              </w:tc>
              <w:tc>
                <w:tcPr>
                  <w:tcW w:w="663" w:type="dxa"/>
                  <w:tcBorders>
                    <w:tl2br w:val="nil"/>
                    <w:tr2bl w:val="nil"/>
                  </w:tcBorders>
                  <w:vAlign w:val="center"/>
                </w:tcPr>
                <w:p w14:paraId="766725C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eastAsia="zh-CN"/>
                    </w:rPr>
                  </w:pPr>
                  <w:r>
                    <w:rPr>
                      <w:rFonts w:hint="default" w:ascii="Times New Roman" w:hAnsi="Times New Roman" w:eastAsia="宋体" w:cs="Times New Roman"/>
                      <w:color w:val="auto"/>
                      <w:spacing w:val="7"/>
                      <w:sz w:val="21"/>
                      <w:szCs w:val="21"/>
                      <w:highlight w:val="none"/>
                      <w:u w:val="none" w:color="auto"/>
                      <w:lang w:val="en-US" w:eastAsia="zh-CN"/>
                    </w:rPr>
                    <w:t>套</w:t>
                  </w:r>
                </w:p>
              </w:tc>
              <w:tc>
                <w:tcPr>
                  <w:tcW w:w="662" w:type="dxa"/>
                  <w:tcBorders>
                    <w:tl2br w:val="nil"/>
                    <w:tr2bl w:val="nil"/>
                  </w:tcBorders>
                  <w:vAlign w:val="center"/>
                </w:tcPr>
                <w:p w14:paraId="3621BFA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61D40E5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color w:val="auto"/>
                      <w:spacing w:val="7"/>
                      <w:sz w:val="21"/>
                      <w:szCs w:val="21"/>
                      <w:highlight w:val="none"/>
                      <w:u w:val="none" w:color="auto"/>
                      <w:lang w:eastAsia="zh-CN"/>
                    </w:rPr>
                  </w:pPr>
                  <w:r>
                    <w:rPr>
                      <w:rFonts w:hint="eastAsia" w:cs="Times New Roman"/>
                      <w:color w:val="auto"/>
                      <w:spacing w:val="7"/>
                      <w:sz w:val="21"/>
                      <w:szCs w:val="21"/>
                      <w:highlight w:val="none"/>
                      <w:u w:val="none" w:color="auto"/>
                      <w:lang w:eastAsia="zh-CN"/>
                    </w:rPr>
                    <w:t>热风炉房（室内）</w:t>
                  </w:r>
                </w:p>
              </w:tc>
            </w:tr>
            <w:tr w14:paraId="31C9C9E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828" w:type="dxa"/>
                  <w:tcBorders>
                    <w:tl2br w:val="nil"/>
                    <w:tr2bl w:val="nil"/>
                  </w:tcBorders>
                  <w:vAlign w:val="center"/>
                </w:tcPr>
                <w:p w14:paraId="13CC4C8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Times New Roman" w:cs="Times New Roman"/>
                      <w:color w:val="auto"/>
                      <w:sz w:val="21"/>
                      <w:szCs w:val="21"/>
                      <w:u w:val="none" w:color="auto"/>
                    </w:rPr>
                  </w:pPr>
                  <w:r>
                    <w:rPr>
                      <w:rFonts w:hint="default" w:ascii="Times New Roman" w:hAnsi="Times New Roman" w:eastAsia="Times New Roman" w:cs="Times New Roman"/>
                      <w:color w:val="auto"/>
                      <w:sz w:val="21"/>
                      <w:szCs w:val="21"/>
                      <w:u w:val="none" w:color="auto"/>
                    </w:rPr>
                    <w:t>2</w:t>
                  </w:r>
                </w:p>
              </w:tc>
              <w:tc>
                <w:tcPr>
                  <w:tcW w:w="1602" w:type="dxa"/>
                  <w:tcBorders>
                    <w:tl2br w:val="nil"/>
                    <w:tr2bl w:val="nil"/>
                  </w:tcBorders>
                  <w:vAlign w:val="center"/>
                </w:tcPr>
                <w:p w14:paraId="381A662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烘干塔</w:t>
                  </w:r>
                </w:p>
              </w:tc>
              <w:tc>
                <w:tcPr>
                  <w:tcW w:w="2480" w:type="dxa"/>
                  <w:tcBorders>
                    <w:tl2br w:val="nil"/>
                    <w:tr2bl w:val="nil"/>
                  </w:tcBorders>
                  <w:vAlign w:val="center"/>
                </w:tcPr>
                <w:p w14:paraId="11FAC8B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eastAsia" w:cs="Times New Roman"/>
                      <w:color w:val="auto"/>
                      <w:spacing w:val="7"/>
                      <w:sz w:val="21"/>
                      <w:szCs w:val="21"/>
                      <w:highlight w:val="none"/>
                      <w:u w:val="none" w:color="auto"/>
                      <w:lang w:val="en-US" w:eastAsia="zh-CN"/>
                    </w:rPr>
                    <w:t>3000×3500双塔</w:t>
                  </w:r>
                  <w:r>
                    <w:rPr>
                      <w:rFonts w:hint="default" w:ascii="Times New Roman" w:hAnsi="Times New Roman" w:eastAsia="宋体" w:cs="Times New Roman"/>
                      <w:color w:val="auto"/>
                      <w:spacing w:val="7"/>
                      <w:sz w:val="21"/>
                      <w:szCs w:val="21"/>
                      <w:highlight w:val="none"/>
                      <w:u w:val="none" w:color="auto"/>
                      <w:lang w:eastAsia="zh-CN"/>
                    </w:rPr>
                    <w:t>，</w:t>
                  </w:r>
                  <w:r>
                    <w:rPr>
                      <w:rFonts w:hint="eastAsia" w:cs="Times New Roman"/>
                      <w:color w:val="auto"/>
                      <w:spacing w:val="7"/>
                      <w:sz w:val="21"/>
                      <w:szCs w:val="21"/>
                      <w:highlight w:val="none"/>
                      <w:u w:val="none" w:color="auto"/>
                      <w:lang w:val="en-US" w:eastAsia="zh-CN"/>
                    </w:rPr>
                    <w:t>3</w:t>
                  </w:r>
                  <w:r>
                    <w:rPr>
                      <w:rFonts w:hint="default" w:ascii="Times New Roman" w:hAnsi="Times New Roman" w:eastAsia="宋体" w:cs="Times New Roman"/>
                      <w:color w:val="auto"/>
                      <w:spacing w:val="7"/>
                      <w:sz w:val="21"/>
                      <w:szCs w:val="21"/>
                      <w:highlight w:val="none"/>
                      <w:u w:val="none" w:color="auto"/>
                      <w:lang w:val="en-US" w:eastAsia="zh-CN"/>
                    </w:rPr>
                    <w:t>00</w:t>
                  </w:r>
                  <w:r>
                    <w:rPr>
                      <w:rFonts w:hint="default" w:ascii="Times New Roman" w:hAnsi="Times New Roman" w:eastAsia="宋体" w:cs="Times New Roman"/>
                      <w:color w:val="auto"/>
                      <w:spacing w:val="7"/>
                      <w:sz w:val="21"/>
                      <w:szCs w:val="21"/>
                      <w:highlight w:val="none"/>
                      <w:u w:val="none" w:color="auto"/>
                    </w:rPr>
                    <w:t>t/d</w:t>
                  </w:r>
                </w:p>
              </w:tc>
              <w:tc>
                <w:tcPr>
                  <w:tcW w:w="663" w:type="dxa"/>
                  <w:tcBorders>
                    <w:tl2br w:val="nil"/>
                    <w:tr2bl w:val="nil"/>
                  </w:tcBorders>
                  <w:vAlign w:val="center"/>
                </w:tcPr>
                <w:p w14:paraId="6C0E78B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套</w:t>
                  </w:r>
                </w:p>
              </w:tc>
              <w:tc>
                <w:tcPr>
                  <w:tcW w:w="662" w:type="dxa"/>
                  <w:tcBorders>
                    <w:tl2br w:val="nil"/>
                    <w:tr2bl w:val="nil"/>
                  </w:tcBorders>
                  <w:vAlign w:val="center"/>
                </w:tcPr>
                <w:p w14:paraId="77AB7E8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4606955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7E75437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vAlign w:val="center"/>
                </w:tcPr>
                <w:p w14:paraId="0AC70BF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Times New Roman" w:cs="Times New Roman"/>
                      <w:color w:val="auto"/>
                      <w:sz w:val="21"/>
                      <w:szCs w:val="21"/>
                      <w:u w:val="none" w:color="auto"/>
                    </w:rPr>
                  </w:pPr>
                  <w:r>
                    <w:rPr>
                      <w:rFonts w:hint="default" w:ascii="Times New Roman" w:hAnsi="Times New Roman" w:eastAsia="Times New Roman" w:cs="Times New Roman"/>
                      <w:color w:val="auto"/>
                      <w:sz w:val="21"/>
                      <w:szCs w:val="21"/>
                      <w:u w:val="none" w:color="auto"/>
                    </w:rPr>
                    <w:t>3</w:t>
                  </w:r>
                </w:p>
              </w:tc>
              <w:tc>
                <w:tcPr>
                  <w:tcW w:w="1602" w:type="dxa"/>
                  <w:tcBorders>
                    <w:tl2br w:val="nil"/>
                    <w:tr2bl w:val="nil"/>
                  </w:tcBorders>
                  <w:vAlign w:val="center"/>
                </w:tcPr>
                <w:p w14:paraId="5B960E6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color w:val="auto"/>
                      <w:spacing w:val="7"/>
                      <w:sz w:val="21"/>
                      <w:szCs w:val="21"/>
                      <w:highlight w:val="none"/>
                      <w:u w:val="none" w:color="auto"/>
                      <w:lang w:eastAsia="zh-CN"/>
                    </w:rPr>
                  </w:pPr>
                  <w:r>
                    <w:rPr>
                      <w:rFonts w:hint="default" w:ascii="Times New Roman" w:hAnsi="Times New Roman" w:eastAsia="宋体" w:cs="Times New Roman"/>
                      <w:color w:val="auto"/>
                      <w:spacing w:val="7"/>
                      <w:sz w:val="21"/>
                      <w:szCs w:val="21"/>
                      <w:highlight w:val="none"/>
                      <w:u w:val="none" w:color="auto"/>
                    </w:rPr>
                    <w:t>引风机</w:t>
                  </w:r>
                </w:p>
              </w:tc>
              <w:tc>
                <w:tcPr>
                  <w:tcW w:w="2480" w:type="dxa"/>
                  <w:tcBorders>
                    <w:tl2br w:val="nil"/>
                    <w:tr2bl w:val="nil"/>
                  </w:tcBorders>
                  <w:vAlign w:val="center"/>
                </w:tcPr>
                <w:p w14:paraId="18A1451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Y5-4</w:t>
                  </w:r>
                  <w:r>
                    <w:rPr>
                      <w:rFonts w:hint="eastAsia" w:cs="Times New Roman"/>
                      <w:color w:val="auto"/>
                      <w:spacing w:val="7"/>
                      <w:sz w:val="21"/>
                      <w:szCs w:val="21"/>
                      <w:highlight w:val="none"/>
                      <w:u w:val="none" w:color="auto"/>
                      <w:lang w:val="en-US" w:eastAsia="zh-CN"/>
                    </w:rPr>
                    <w:t>7</w:t>
                  </w:r>
                  <w:r>
                    <w:rPr>
                      <w:rFonts w:hint="default" w:ascii="Times New Roman" w:hAnsi="Times New Roman" w:eastAsia="宋体" w:cs="Times New Roman"/>
                      <w:color w:val="auto"/>
                      <w:spacing w:val="7"/>
                      <w:sz w:val="21"/>
                      <w:szCs w:val="21"/>
                      <w:highlight w:val="none"/>
                      <w:u w:val="none" w:color="auto"/>
                      <w:lang w:val="en-US" w:eastAsia="zh-CN"/>
                    </w:rPr>
                    <w:t>N</w:t>
                  </w:r>
                  <w:r>
                    <w:rPr>
                      <w:rFonts w:hint="default" w:ascii="Times New Roman" w:hAnsi="Times New Roman" w:eastAsia="宋体" w:cs="Times New Roman"/>
                      <w:color w:val="auto"/>
                      <w:spacing w:val="7"/>
                      <w:sz w:val="21"/>
                      <w:szCs w:val="21"/>
                      <w:highlight w:val="none"/>
                      <w:u w:val="none" w:color="auto"/>
                    </w:rPr>
                    <w:t>-</w:t>
                  </w:r>
                  <w:r>
                    <w:rPr>
                      <w:rFonts w:hint="eastAsia" w:cs="Times New Roman"/>
                      <w:color w:val="auto"/>
                      <w:spacing w:val="7"/>
                      <w:sz w:val="21"/>
                      <w:szCs w:val="21"/>
                      <w:highlight w:val="none"/>
                      <w:u w:val="none" w:color="auto"/>
                      <w:lang w:val="en-US" w:eastAsia="zh-CN"/>
                    </w:rPr>
                    <w:t>8</w:t>
                  </w:r>
                  <w:r>
                    <w:rPr>
                      <w:rFonts w:hint="default" w:ascii="Times New Roman" w:hAnsi="Times New Roman" w:eastAsia="宋体" w:cs="Times New Roman"/>
                      <w:color w:val="auto"/>
                      <w:spacing w:val="7"/>
                      <w:sz w:val="21"/>
                      <w:szCs w:val="21"/>
                      <w:highlight w:val="none"/>
                      <w:u w:val="none" w:color="auto"/>
                    </w:rPr>
                    <w:t>C</w:t>
                  </w:r>
                  <w:r>
                    <w:rPr>
                      <w:rFonts w:hint="default" w:ascii="Times New Roman" w:hAnsi="Times New Roman" w:eastAsia="宋体" w:cs="Times New Roman"/>
                      <w:color w:val="auto"/>
                      <w:spacing w:val="7"/>
                      <w:sz w:val="21"/>
                      <w:szCs w:val="21"/>
                      <w:highlight w:val="none"/>
                      <w:u w:val="none" w:color="auto"/>
                      <w:lang w:eastAsia="zh-CN"/>
                    </w:rPr>
                    <w:t>，</w:t>
                  </w:r>
                  <w:r>
                    <w:rPr>
                      <w:rFonts w:hint="eastAsia" w:cs="Times New Roman"/>
                      <w:color w:val="auto"/>
                      <w:spacing w:val="7"/>
                      <w:sz w:val="21"/>
                      <w:szCs w:val="21"/>
                      <w:highlight w:val="none"/>
                      <w:u w:val="none" w:color="auto"/>
                      <w:lang w:val="en-US" w:eastAsia="zh-CN"/>
                    </w:rPr>
                    <w:t>P=</w:t>
                  </w:r>
                  <w:r>
                    <w:rPr>
                      <w:rFonts w:hint="default" w:ascii="Times New Roman" w:hAnsi="Times New Roman" w:eastAsia="宋体" w:cs="Times New Roman"/>
                      <w:color w:val="auto"/>
                      <w:spacing w:val="7"/>
                      <w:sz w:val="21"/>
                      <w:szCs w:val="21"/>
                      <w:highlight w:val="none"/>
                      <w:u w:val="none" w:color="auto"/>
                      <w:lang w:val="en-US" w:eastAsia="zh-CN"/>
                    </w:rPr>
                    <w:t>3</w:t>
                  </w:r>
                  <w:r>
                    <w:rPr>
                      <w:rFonts w:hint="default" w:ascii="Times New Roman" w:hAnsi="Times New Roman" w:eastAsia="宋体" w:cs="Times New Roman"/>
                      <w:color w:val="auto"/>
                      <w:spacing w:val="7"/>
                      <w:sz w:val="21"/>
                      <w:szCs w:val="21"/>
                      <w:highlight w:val="none"/>
                      <w:u w:val="none" w:color="auto"/>
                    </w:rPr>
                    <w:t>7kw</w:t>
                  </w:r>
                </w:p>
              </w:tc>
              <w:tc>
                <w:tcPr>
                  <w:tcW w:w="663" w:type="dxa"/>
                  <w:tcBorders>
                    <w:tl2br w:val="nil"/>
                    <w:tr2bl w:val="nil"/>
                  </w:tcBorders>
                  <w:vAlign w:val="center"/>
                </w:tcPr>
                <w:p w14:paraId="2A4ED945">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vAlign w:val="center"/>
                </w:tcPr>
                <w:p w14:paraId="3177825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1B2AE01C">
                  <w:pPr>
                    <w:keepNext w:val="0"/>
                    <w:keepLines w:val="0"/>
                    <w:pageBreakBefore w:val="0"/>
                    <w:widowControl w:val="0"/>
                    <w:kinsoku/>
                    <w:wordWrap/>
                    <w:overflowPunct/>
                    <w:topLinePunct w:val="0"/>
                    <w:autoSpaceDE/>
                    <w:autoSpaceDN/>
                    <w:bidi w:val="0"/>
                    <w:adjustRightInd/>
                    <w:snapToGrid/>
                    <w:spacing w:line="212" w:lineRule="auto"/>
                    <w:ind w:left="0" w:leftChars="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2E46731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vAlign w:val="center"/>
                </w:tcPr>
                <w:p w14:paraId="126209F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Times New Roman" w:cs="Times New Roman"/>
                      <w:color w:val="auto"/>
                      <w:sz w:val="21"/>
                      <w:szCs w:val="21"/>
                      <w:u w:val="none" w:color="auto"/>
                    </w:rPr>
                  </w:pPr>
                  <w:r>
                    <w:rPr>
                      <w:rFonts w:hint="default" w:ascii="Times New Roman" w:hAnsi="Times New Roman" w:eastAsia="Times New Roman" w:cs="Times New Roman"/>
                      <w:color w:val="auto"/>
                      <w:spacing w:val="1"/>
                      <w:sz w:val="21"/>
                      <w:szCs w:val="21"/>
                      <w:u w:val="none" w:color="auto"/>
                    </w:rPr>
                    <w:t>4</w:t>
                  </w:r>
                </w:p>
              </w:tc>
              <w:tc>
                <w:tcPr>
                  <w:tcW w:w="1602" w:type="dxa"/>
                  <w:tcBorders>
                    <w:tl2br w:val="nil"/>
                    <w:tr2bl w:val="nil"/>
                  </w:tcBorders>
                  <w:shd w:val="clear" w:color="auto" w:fill="auto"/>
                  <w:vAlign w:val="center"/>
                </w:tcPr>
                <w:p w14:paraId="7ABFCCA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鼓</w:t>
                  </w:r>
                  <w:r>
                    <w:rPr>
                      <w:rFonts w:hint="default" w:ascii="Times New Roman" w:hAnsi="Times New Roman" w:eastAsia="宋体" w:cs="Times New Roman"/>
                      <w:color w:val="auto"/>
                      <w:spacing w:val="7"/>
                      <w:sz w:val="21"/>
                      <w:szCs w:val="21"/>
                      <w:highlight w:val="none"/>
                      <w:u w:val="none" w:color="auto"/>
                    </w:rPr>
                    <w:t>风机</w:t>
                  </w:r>
                </w:p>
              </w:tc>
              <w:tc>
                <w:tcPr>
                  <w:tcW w:w="2480" w:type="dxa"/>
                  <w:tcBorders>
                    <w:tl2br w:val="nil"/>
                    <w:tr2bl w:val="nil"/>
                  </w:tcBorders>
                  <w:shd w:val="clear" w:color="auto" w:fill="auto"/>
                  <w:vAlign w:val="center"/>
                </w:tcPr>
                <w:p w14:paraId="4B1DAD8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rPr>
                    <w:t>4-72</w:t>
                  </w:r>
                  <w:r>
                    <w:rPr>
                      <w:rFonts w:hint="default" w:ascii="Times New Roman" w:hAnsi="Times New Roman" w:eastAsia="宋体" w:cs="Times New Roman"/>
                      <w:color w:val="auto"/>
                      <w:spacing w:val="7"/>
                      <w:sz w:val="21"/>
                      <w:szCs w:val="21"/>
                      <w:highlight w:val="none"/>
                      <w:u w:val="none" w:color="auto"/>
                      <w:lang w:val="en-US" w:eastAsia="zh-CN"/>
                    </w:rPr>
                    <w:t>N</w:t>
                  </w:r>
                  <w:r>
                    <w:rPr>
                      <w:rFonts w:hint="default" w:ascii="Times New Roman" w:hAnsi="Times New Roman" w:eastAsia="宋体" w:cs="Times New Roman"/>
                      <w:color w:val="auto"/>
                      <w:spacing w:val="7"/>
                      <w:sz w:val="21"/>
                      <w:szCs w:val="21"/>
                      <w:highlight w:val="none"/>
                      <w:u w:val="none" w:color="auto"/>
                    </w:rPr>
                    <w:t>-4.5A,</w:t>
                  </w:r>
                  <w:r>
                    <w:rPr>
                      <w:rFonts w:hint="eastAsia" w:cs="Times New Roman"/>
                      <w:color w:val="auto"/>
                      <w:spacing w:val="7"/>
                      <w:sz w:val="21"/>
                      <w:szCs w:val="21"/>
                      <w:highlight w:val="none"/>
                      <w:u w:val="none" w:color="auto"/>
                      <w:lang w:val="en-US" w:eastAsia="zh-CN"/>
                    </w:rPr>
                    <w:t>P=5</w:t>
                  </w:r>
                  <w:r>
                    <w:rPr>
                      <w:rFonts w:hint="default" w:ascii="Times New Roman" w:hAnsi="Times New Roman" w:eastAsia="宋体" w:cs="Times New Roman"/>
                      <w:color w:val="auto"/>
                      <w:spacing w:val="7"/>
                      <w:sz w:val="21"/>
                      <w:szCs w:val="21"/>
                      <w:highlight w:val="none"/>
                      <w:u w:val="none" w:color="auto"/>
                      <w:lang w:val="en-US" w:eastAsia="zh-CN"/>
                    </w:rPr>
                    <w:t>.5</w:t>
                  </w:r>
                  <w:r>
                    <w:rPr>
                      <w:rFonts w:hint="default" w:ascii="Times New Roman" w:hAnsi="Times New Roman" w:eastAsia="宋体" w:cs="Times New Roman"/>
                      <w:color w:val="auto"/>
                      <w:spacing w:val="7"/>
                      <w:sz w:val="21"/>
                      <w:szCs w:val="21"/>
                      <w:highlight w:val="none"/>
                      <w:u w:val="none" w:color="auto"/>
                    </w:rPr>
                    <w:t>kw</w:t>
                  </w:r>
                </w:p>
              </w:tc>
              <w:tc>
                <w:tcPr>
                  <w:tcW w:w="663" w:type="dxa"/>
                  <w:tcBorders>
                    <w:tl2br w:val="nil"/>
                    <w:tr2bl w:val="nil"/>
                  </w:tcBorders>
                  <w:vAlign w:val="center"/>
                </w:tcPr>
                <w:p w14:paraId="0A17D02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vAlign w:val="center"/>
                </w:tcPr>
                <w:p w14:paraId="73488FF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eastAsia="zh-CN"/>
                    </w:rPr>
                  </w:pPr>
                  <w:r>
                    <w:rPr>
                      <w:rFonts w:hint="default" w:ascii="Times New Roman" w:hAnsi="Times New Roman" w:eastAsia="宋体" w:cs="Times New Roman"/>
                      <w:color w:val="auto"/>
                      <w:spacing w:val="7"/>
                      <w:sz w:val="21"/>
                      <w:szCs w:val="21"/>
                      <w:highlight w:val="none"/>
                      <w:u w:val="none" w:color="auto"/>
                      <w:lang w:val="en-US" w:eastAsia="zh-CN"/>
                    </w:rPr>
                    <w:t>1</w:t>
                  </w:r>
                </w:p>
              </w:tc>
              <w:tc>
                <w:tcPr>
                  <w:tcW w:w="1593" w:type="dxa"/>
                  <w:tcBorders>
                    <w:tl2br w:val="nil"/>
                    <w:tr2bl w:val="nil"/>
                  </w:tcBorders>
                  <w:vAlign w:val="center"/>
                </w:tcPr>
                <w:p w14:paraId="1A5B1A42">
                  <w:pPr>
                    <w:keepNext w:val="0"/>
                    <w:keepLines w:val="0"/>
                    <w:pageBreakBefore w:val="0"/>
                    <w:widowControl w:val="0"/>
                    <w:kinsoku/>
                    <w:wordWrap/>
                    <w:overflowPunct/>
                    <w:topLinePunct w:val="0"/>
                    <w:autoSpaceDE/>
                    <w:autoSpaceDN/>
                    <w:bidi w:val="0"/>
                    <w:adjustRightInd/>
                    <w:snapToGrid/>
                    <w:spacing w:line="212" w:lineRule="auto"/>
                    <w:ind w:left="0" w:leftChars="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rPr>
                    <w:t>烘干场地</w:t>
                  </w:r>
                </w:p>
              </w:tc>
            </w:tr>
            <w:tr w14:paraId="6A94052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vAlign w:val="center"/>
                </w:tcPr>
                <w:p w14:paraId="05F4FF5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Times New Roman" w:cs="Times New Roman"/>
                      <w:color w:val="auto"/>
                      <w:sz w:val="21"/>
                      <w:szCs w:val="21"/>
                      <w:u w:val="none" w:color="auto"/>
                    </w:rPr>
                  </w:pPr>
                  <w:r>
                    <w:rPr>
                      <w:rFonts w:hint="default" w:ascii="Times New Roman" w:hAnsi="Times New Roman" w:eastAsia="Times New Roman" w:cs="Times New Roman"/>
                      <w:color w:val="auto"/>
                      <w:sz w:val="21"/>
                      <w:szCs w:val="21"/>
                      <w:u w:val="none" w:color="auto"/>
                    </w:rPr>
                    <w:t>5</w:t>
                  </w:r>
                </w:p>
              </w:tc>
              <w:tc>
                <w:tcPr>
                  <w:tcW w:w="1602" w:type="dxa"/>
                  <w:tcBorders>
                    <w:tl2br w:val="nil"/>
                    <w:tr2bl w:val="nil"/>
                  </w:tcBorders>
                  <w:vAlign w:val="center"/>
                </w:tcPr>
                <w:p w14:paraId="3E36B90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冷却风机</w:t>
                  </w:r>
                </w:p>
              </w:tc>
              <w:tc>
                <w:tcPr>
                  <w:tcW w:w="2480" w:type="dxa"/>
                  <w:tcBorders>
                    <w:tl2br w:val="nil"/>
                    <w:tr2bl w:val="nil"/>
                  </w:tcBorders>
                  <w:vAlign w:val="center"/>
                </w:tcPr>
                <w:p w14:paraId="0165767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eastAsia="zh-CN"/>
                    </w:rPr>
                  </w:pPr>
                  <w:r>
                    <w:rPr>
                      <w:rFonts w:hint="default" w:ascii="Times New Roman" w:hAnsi="Times New Roman" w:eastAsia="宋体" w:cs="Times New Roman"/>
                      <w:color w:val="auto"/>
                      <w:spacing w:val="7"/>
                      <w:sz w:val="21"/>
                      <w:szCs w:val="21"/>
                      <w:highlight w:val="none"/>
                      <w:u w:val="none" w:color="auto"/>
                    </w:rPr>
                    <w:t>4-7</w:t>
                  </w:r>
                  <w:r>
                    <w:rPr>
                      <w:rFonts w:hint="eastAsia" w:cs="Times New Roman"/>
                      <w:color w:val="auto"/>
                      <w:spacing w:val="7"/>
                      <w:sz w:val="21"/>
                      <w:szCs w:val="21"/>
                      <w:highlight w:val="none"/>
                      <w:u w:val="none" w:color="auto"/>
                      <w:lang w:val="en-US" w:eastAsia="zh-CN"/>
                    </w:rPr>
                    <w:t>2</w:t>
                  </w:r>
                  <w:r>
                    <w:rPr>
                      <w:rFonts w:hint="default" w:ascii="Times New Roman" w:hAnsi="Times New Roman" w:eastAsia="宋体" w:cs="Times New Roman"/>
                      <w:color w:val="auto"/>
                      <w:spacing w:val="7"/>
                      <w:sz w:val="21"/>
                      <w:szCs w:val="21"/>
                      <w:highlight w:val="none"/>
                      <w:u w:val="none" w:color="auto"/>
                    </w:rPr>
                    <w:t>-8</w:t>
                  </w:r>
                  <w:r>
                    <w:rPr>
                      <w:rFonts w:hint="eastAsia" w:cs="Times New Roman"/>
                      <w:color w:val="auto"/>
                      <w:spacing w:val="7"/>
                      <w:sz w:val="21"/>
                      <w:szCs w:val="21"/>
                      <w:highlight w:val="none"/>
                      <w:u w:val="none" w:color="auto"/>
                      <w:lang w:val="en-US" w:eastAsia="zh-CN"/>
                    </w:rPr>
                    <w:t>C</w:t>
                  </w:r>
                  <w:r>
                    <w:rPr>
                      <w:rFonts w:hint="default" w:ascii="Times New Roman" w:hAnsi="Times New Roman" w:eastAsia="宋体" w:cs="Times New Roman"/>
                      <w:color w:val="auto"/>
                      <w:spacing w:val="7"/>
                      <w:sz w:val="21"/>
                      <w:szCs w:val="21"/>
                      <w:highlight w:val="none"/>
                      <w:u w:val="none" w:color="auto"/>
                      <w:lang w:eastAsia="zh-CN"/>
                    </w:rPr>
                    <w:t>，</w:t>
                  </w:r>
                  <w:r>
                    <w:rPr>
                      <w:rFonts w:hint="eastAsia" w:cs="Times New Roman"/>
                      <w:color w:val="auto"/>
                      <w:spacing w:val="7"/>
                      <w:sz w:val="21"/>
                      <w:szCs w:val="21"/>
                      <w:highlight w:val="none"/>
                      <w:u w:val="none" w:color="auto"/>
                      <w:lang w:val="en-US" w:eastAsia="zh-CN"/>
                    </w:rPr>
                    <w:t>P=</w:t>
                  </w:r>
                  <w:r>
                    <w:rPr>
                      <w:rFonts w:hint="default" w:ascii="Times New Roman" w:hAnsi="Times New Roman" w:eastAsia="宋体" w:cs="Times New Roman"/>
                      <w:color w:val="auto"/>
                      <w:spacing w:val="7"/>
                      <w:sz w:val="21"/>
                      <w:szCs w:val="21"/>
                      <w:highlight w:val="none"/>
                      <w:u w:val="none" w:color="auto"/>
                      <w:lang w:eastAsia="zh-CN"/>
                    </w:rPr>
                    <w:t>18.5kW</w:t>
                  </w:r>
                </w:p>
              </w:tc>
              <w:tc>
                <w:tcPr>
                  <w:tcW w:w="663" w:type="dxa"/>
                  <w:tcBorders>
                    <w:tl2br w:val="nil"/>
                    <w:tr2bl w:val="nil"/>
                  </w:tcBorders>
                  <w:vAlign w:val="center"/>
                </w:tcPr>
                <w:p w14:paraId="2E3F633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vAlign w:val="center"/>
                </w:tcPr>
                <w:p w14:paraId="67CFE4B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4280068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5916FCA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shd w:val="clear" w:color="auto" w:fill="auto"/>
                  <w:vAlign w:val="center"/>
                </w:tcPr>
                <w:p w14:paraId="307785C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Times New Roman" w:cs="Times New Roman"/>
                      <w:color w:val="auto"/>
                      <w:kern w:val="2"/>
                      <w:sz w:val="21"/>
                      <w:szCs w:val="21"/>
                      <w:u w:val="none" w:color="auto"/>
                      <w:lang w:val="en-US" w:eastAsia="zh-CN" w:bidi="ar-SA"/>
                    </w:rPr>
                  </w:pPr>
                  <w:r>
                    <w:rPr>
                      <w:rFonts w:hint="default" w:ascii="Times New Roman" w:hAnsi="Times New Roman" w:eastAsia="Times New Roman" w:cs="Times New Roman"/>
                      <w:color w:val="auto"/>
                      <w:sz w:val="21"/>
                      <w:szCs w:val="21"/>
                      <w:u w:val="none" w:color="auto"/>
                    </w:rPr>
                    <w:t>6</w:t>
                  </w:r>
                </w:p>
              </w:tc>
              <w:tc>
                <w:tcPr>
                  <w:tcW w:w="1602" w:type="dxa"/>
                  <w:tcBorders>
                    <w:tl2br w:val="nil"/>
                    <w:tr2bl w:val="nil"/>
                  </w:tcBorders>
                  <w:vAlign w:val="center"/>
                </w:tcPr>
                <w:p w14:paraId="0BA6A79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冷却风机</w:t>
                  </w:r>
                </w:p>
              </w:tc>
              <w:tc>
                <w:tcPr>
                  <w:tcW w:w="2480" w:type="dxa"/>
                  <w:tcBorders>
                    <w:tl2br w:val="nil"/>
                    <w:tr2bl w:val="nil"/>
                  </w:tcBorders>
                  <w:vAlign w:val="center"/>
                </w:tcPr>
                <w:p w14:paraId="0D68597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4-7</w:t>
                  </w:r>
                  <w:r>
                    <w:rPr>
                      <w:rFonts w:hint="eastAsia" w:cs="Times New Roman"/>
                      <w:color w:val="auto"/>
                      <w:spacing w:val="7"/>
                      <w:sz w:val="21"/>
                      <w:szCs w:val="21"/>
                      <w:highlight w:val="none"/>
                      <w:u w:val="none" w:color="auto"/>
                      <w:lang w:val="en-US" w:eastAsia="zh-CN"/>
                    </w:rPr>
                    <w:t>2</w:t>
                  </w:r>
                  <w:r>
                    <w:rPr>
                      <w:rFonts w:hint="default" w:ascii="Times New Roman" w:hAnsi="Times New Roman" w:eastAsia="宋体" w:cs="Times New Roman"/>
                      <w:color w:val="auto"/>
                      <w:spacing w:val="7"/>
                      <w:sz w:val="21"/>
                      <w:szCs w:val="21"/>
                      <w:highlight w:val="none"/>
                      <w:u w:val="none" w:color="auto"/>
                    </w:rPr>
                    <w:t>-</w:t>
                  </w:r>
                  <w:r>
                    <w:rPr>
                      <w:rFonts w:hint="eastAsia" w:ascii="Times New Roman" w:hAnsi="Times New Roman" w:eastAsia="宋体" w:cs="Times New Roman"/>
                      <w:color w:val="auto"/>
                      <w:spacing w:val="7"/>
                      <w:sz w:val="21"/>
                      <w:szCs w:val="21"/>
                      <w:highlight w:val="none"/>
                      <w:u w:val="none" w:color="auto"/>
                      <w:lang w:val="en-US" w:eastAsia="zh-CN"/>
                    </w:rPr>
                    <w:t>4A</w:t>
                  </w:r>
                  <w:r>
                    <w:rPr>
                      <w:rFonts w:hint="default" w:ascii="Times New Roman" w:hAnsi="Times New Roman" w:eastAsia="宋体" w:cs="Times New Roman"/>
                      <w:color w:val="auto"/>
                      <w:spacing w:val="7"/>
                      <w:sz w:val="21"/>
                      <w:szCs w:val="21"/>
                      <w:highlight w:val="none"/>
                      <w:u w:val="none" w:color="auto"/>
                      <w:lang w:eastAsia="zh-CN"/>
                    </w:rPr>
                    <w:t>，</w:t>
                  </w:r>
                  <w:r>
                    <w:rPr>
                      <w:rFonts w:hint="eastAsia" w:cs="Times New Roman"/>
                      <w:color w:val="auto"/>
                      <w:spacing w:val="7"/>
                      <w:sz w:val="21"/>
                      <w:szCs w:val="21"/>
                      <w:highlight w:val="none"/>
                      <w:u w:val="none" w:color="auto"/>
                      <w:lang w:val="en-US" w:eastAsia="zh-CN"/>
                    </w:rPr>
                    <w:t>P=</w:t>
                  </w:r>
                  <w:r>
                    <w:rPr>
                      <w:rFonts w:hint="eastAsia" w:ascii="Times New Roman" w:hAnsi="Times New Roman" w:eastAsia="宋体" w:cs="Times New Roman"/>
                      <w:color w:val="auto"/>
                      <w:spacing w:val="7"/>
                      <w:sz w:val="21"/>
                      <w:szCs w:val="21"/>
                      <w:highlight w:val="none"/>
                      <w:u w:val="none" w:color="auto"/>
                      <w:lang w:val="en-US" w:eastAsia="zh-CN"/>
                    </w:rPr>
                    <w:t>7</w:t>
                  </w:r>
                  <w:r>
                    <w:rPr>
                      <w:rFonts w:hint="default" w:ascii="Times New Roman" w:hAnsi="Times New Roman" w:eastAsia="宋体" w:cs="Times New Roman"/>
                      <w:color w:val="auto"/>
                      <w:spacing w:val="7"/>
                      <w:sz w:val="21"/>
                      <w:szCs w:val="21"/>
                      <w:highlight w:val="none"/>
                      <w:u w:val="none" w:color="auto"/>
                      <w:lang w:eastAsia="zh-CN"/>
                    </w:rPr>
                    <w:t>.5kW</w:t>
                  </w:r>
                </w:p>
              </w:tc>
              <w:tc>
                <w:tcPr>
                  <w:tcW w:w="663" w:type="dxa"/>
                  <w:tcBorders>
                    <w:tl2br w:val="nil"/>
                    <w:tr2bl w:val="nil"/>
                  </w:tcBorders>
                  <w:shd w:val="clear" w:color="auto" w:fill="auto"/>
                  <w:vAlign w:val="center"/>
                </w:tcPr>
                <w:p w14:paraId="0095627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shd w:val="clear" w:color="auto" w:fill="auto"/>
                  <w:vAlign w:val="center"/>
                </w:tcPr>
                <w:p w14:paraId="1A24029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2DBC039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3C5A2E4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shd w:val="clear" w:color="auto" w:fill="auto"/>
                  <w:vAlign w:val="center"/>
                </w:tcPr>
                <w:p w14:paraId="61BCD54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Times New Roman" w:cs="Times New Roman"/>
                      <w:color w:val="auto"/>
                      <w:kern w:val="2"/>
                      <w:sz w:val="21"/>
                      <w:szCs w:val="21"/>
                      <w:u w:val="none" w:color="auto"/>
                      <w:lang w:val="en-US" w:eastAsia="zh-CN" w:bidi="ar-SA"/>
                    </w:rPr>
                  </w:pPr>
                  <w:r>
                    <w:rPr>
                      <w:rFonts w:hint="default" w:ascii="Times New Roman" w:hAnsi="Times New Roman" w:eastAsia="Times New Roman" w:cs="Times New Roman"/>
                      <w:color w:val="auto"/>
                      <w:sz w:val="21"/>
                      <w:szCs w:val="21"/>
                      <w:u w:val="none" w:color="auto"/>
                    </w:rPr>
                    <w:t>7</w:t>
                  </w:r>
                </w:p>
              </w:tc>
              <w:tc>
                <w:tcPr>
                  <w:tcW w:w="1602" w:type="dxa"/>
                  <w:tcBorders>
                    <w:tl2br w:val="nil"/>
                    <w:tr2bl w:val="nil"/>
                  </w:tcBorders>
                  <w:vAlign w:val="center"/>
                </w:tcPr>
                <w:p w14:paraId="5997ACD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热</w:t>
                  </w:r>
                  <w:r>
                    <w:rPr>
                      <w:rFonts w:hint="default" w:ascii="Times New Roman" w:hAnsi="Times New Roman" w:eastAsia="宋体" w:cs="Times New Roman"/>
                      <w:color w:val="auto"/>
                      <w:spacing w:val="7"/>
                      <w:sz w:val="21"/>
                      <w:szCs w:val="21"/>
                      <w:highlight w:val="none"/>
                      <w:u w:val="none" w:color="auto"/>
                    </w:rPr>
                    <w:t>风机</w:t>
                  </w:r>
                </w:p>
              </w:tc>
              <w:tc>
                <w:tcPr>
                  <w:tcW w:w="2480" w:type="dxa"/>
                  <w:tcBorders>
                    <w:tl2br w:val="nil"/>
                    <w:tr2bl w:val="nil"/>
                  </w:tcBorders>
                  <w:vAlign w:val="center"/>
                </w:tcPr>
                <w:p w14:paraId="16BC69C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eastAsia="zh-CN"/>
                    </w:rPr>
                  </w:pPr>
                  <w:r>
                    <w:rPr>
                      <w:rFonts w:hint="default" w:ascii="Times New Roman" w:hAnsi="Times New Roman" w:eastAsia="宋体" w:cs="Times New Roman"/>
                      <w:color w:val="auto"/>
                      <w:spacing w:val="7"/>
                      <w:sz w:val="21"/>
                      <w:szCs w:val="21"/>
                      <w:highlight w:val="none"/>
                      <w:u w:val="none" w:color="auto"/>
                    </w:rPr>
                    <w:t>Y4-</w:t>
                  </w:r>
                  <w:r>
                    <w:rPr>
                      <w:rFonts w:hint="eastAsia" w:cs="Times New Roman"/>
                      <w:color w:val="auto"/>
                      <w:spacing w:val="7"/>
                      <w:sz w:val="21"/>
                      <w:szCs w:val="21"/>
                      <w:highlight w:val="none"/>
                      <w:u w:val="none" w:color="auto"/>
                      <w:lang w:val="en-US" w:eastAsia="zh-CN"/>
                    </w:rPr>
                    <w:t>73</w:t>
                  </w:r>
                  <w:r>
                    <w:rPr>
                      <w:rFonts w:hint="default" w:ascii="Times New Roman" w:hAnsi="Times New Roman" w:eastAsia="宋体" w:cs="Times New Roman"/>
                      <w:color w:val="auto"/>
                      <w:spacing w:val="7"/>
                      <w:sz w:val="21"/>
                      <w:szCs w:val="21"/>
                      <w:highlight w:val="none"/>
                      <w:u w:val="none" w:color="auto"/>
                    </w:rPr>
                    <w:t>10D</w:t>
                  </w:r>
                  <w:r>
                    <w:rPr>
                      <w:rFonts w:hint="default" w:ascii="Times New Roman" w:hAnsi="Times New Roman" w:eastAsia="宋体" w:cs="Times New Roman"/>
                      <w:color w:val="auto"/>
                      <w:spacing w:val="7"/>
                      <w:sz w:val="21"/>
                      <w:szCs w:val="21"/>
                      <w:highlight w:val="none"/>
                      <w:u w:val="none" w:color="auto"/>
                      <w:lang w:eastAsia="zh-CN"/>
                    </w:rPr>
                    <w:t>，</w:t>
                  </w:r>
                  <w:r>
                    <w:rPr>
                      <w:rFonts w:hint="eastAsia" w:cs="Times New Roman"/>
                      <w:color w:val="auto"/>
                      <w:spacing w:val="7"/>
                      <w:sz w:val="21"/>
                      <w:szCs w:val="21"/>
                      <w:highlight w:val="none"/>
                      <w:u w:val="none" w:color="auto"/>
                      <w:lang w:val="en-US" w:eastAsia="zh-CN"/>
                    </w:rPr>
                    <w:t>P=</w:t>
                  </w:r>
                  <w:r>
                    <w:rPr>
                      <w:rFonts w:hint="default" w:ascii="Times New Roman" w:hAnsi="Times New Roman" w:eastAsia="宋体" w:cs="Times New Roman"/>
                      <w:color w:val="auto"/>
                      <w:spacing w:val="7"/>
                      <w:sz w:val="21"/>
                      <w:szCs w:val="21"/>
                      <w:highlight w:val="none"/>
                      <w:u w:val="none" w:color="auto"/>
                    </w:rPr>
                    <w:t>37kW</w:t>
                  </w:r>
                </w:p>
              </w:tc>
              <w:tc>
                <w:tcPr>
                  <w:tcW w:w="663" w:type="dxa"/>
                  <w:tcBorders>
                    <w:tl2br w:val="nil"/>
                    <w:tr2bl w:val="nil"/>
                  </w:tcBorders>
                  <w:vAlign w:val="center"/>
                </w:tcPr>
                <w:p w14:paraId="4D6CC0A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台</w:t>
                  </w:r>
                </w:p>
              </w:tc>
              <w:tc>
                <w:tcPr>
                  <w:tcW w:w="662" w:type="dxa"/>
                  <w:tcBorders>
                    <w:tl2br w:val="nil"/>
                    <w:tr2bl w:val="nil"/>
                  </w:tcBorders>
                  <w:vAlign w:val="center"/>
                </w:tcPr>
                <w:p w14:paraId="2369558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1</w:t>
                  </w:r>
                </w:p>
              </w:tc>
              <w:tc>
                <w:tcPr>
                  <w:tcW w:w="1593" w:type="dxa"/>
                  <w:tcBorders>
                    <w:tl2br w:val="nil"/>
                    <w:tr2bl w:val="nil"/>
                  </w:tcBorders>
                  <w:vAlign w:val="center"/>
                </w:tcPr>
                <w:p w14:paraId="04C89AB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61625C2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28" w:type="dxa"/>
                  <w:tcBorders>
                    <w:tl2br w:val="nil"/>
                    <w:tr2bl w:val="nil"/>
                  </w:tcBorders>
                  <w:shd w:val="clear" w:color="auto" w:fill="auto"/>
                  <w:vAlign w:val="center"/>
                </w:tcPr>
                <w:p w14:paraId="33E4DBE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Times New Roman" w:cs="Times New Roman"/>
                      <w:color w:val="auto"/>
                      <w:kern w:val="2"/>
                      <w:sz w:val="21"/>
                      <w:szCs w:val="21"/>
                      <w:u w:val="none" w:color="auto"/>
                      <w:lang w:val="en-US" w:eastAsia="zh-CN" w:bidi="ar-SA"/>
                    </w:rPr>
                  </w:pPr>
                  <w:r>
                    <w:rPr>
                      <w:rFonts w:hint="eastAsia" w:eastAsia="Times New Roman" w:cs="Times New Roman"/>
                      <w:color w:val="auto"/>
                      <w:kern w:val="2"/>
                      <w:sz w:val="21"/>
                      <w:szCs w:val="21"/>
                      <w:u w:val="none" w:color="auto"/>
                      <w:lang w:val="en-US" w:eastAsia="zh-CN" w:bidi="ar-SA"/>
                    </w:rPr>
                    <w:t>8</w:t>
                  </w:r>
                </w:p>
              </w:tc>
              <w:tc>
                <w:tcPr>
                  <w:tcW w:w="1602" w:type="dxa"/>
                  <w:tcBorders>
                    <w:tl2br w:val="nil"/>
                    <w:tr2bl w:val="nil"/>
                  </w:tcBorders>
                  <w:vAlign w:val="center"/>
                </w:tcPr>
                <w:p w14:paraId="16F33A2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lang w:val="en-US" w:eastAsia="zh-CN"/>
                    </w:rPr>
                    <w:t>热</w:t>
                  </w:r>
                  <w:r>
                    <w:rPr>
                      <w:rFonts w:hint="default" w:ascii="Times New Roman" w:hAnsi="Times New Roman" w:eastAsia="宋体" w:cs="Times New Roman"/>
                      <w:color w:val="auto"/>
                      <w:spacing w:val="7"/>
                      <w:sz w:val="21"/>
                      <w:szCs w:val="21"/>
                      <w:highlight w:val="none"/>
                      <w:u w:val="none" w:color="auto"/>
                    </w:rPr>
                    <w:t>风机</w:t>
                  </w:r>
                </w:p>
              </w:tc>
              <w:tc>
                <w:tcPr>
                  <w:tcW w:w="2480" w:type="dxa"/>
                  <w:tcBorders>
                    <w:tl2br w:val="nil"/>
                    <w:tr2bl w:val="nil"/>
                  </w:tcBorders>
                  <w:vAlign w:val="center"/>
                </w:tcPr>
                <w:p w14:paraId="37828BF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eastAsia" w:cs="Times New Roman"/>
                      <w:color w:val="auto"/>
                      <w:spacing w:val="7"/>
                      <w:sz w:val="21"/>
                      <w:szCs w:val="21"/>
                      <w:highlight w:val="none"/>
                      <w:u w:val="none" w:color="auto"/>
                      <w:lang w:val="en-US" w:eastAsia="zh-CN"/>
                    </w:rPr>
                    <w:t>9.5</w:t>
                  </w:r>
                  <w:r>
                    <w:rPr>
                      <w:rFonts w:hint="default" w:ascii="Times New Roman" w:hAnsi="Times New Roman" w:eastAsia="宋体" w:cs="Times New Roman"/>
                      <w:color w:val="auto"/>
                      <w:spacing w:val="7"/>
                      <w:sz w:val="21"/>
                      <w:szCs w:val="21"/>
                      <w:highlight w:val="none"/>
                      <w:u w:val="none" w:color="auto"/>
                    </w:rPr>
                    <w:t>D</w:t>
                  </w:r>
                  <w:r>
                    <w:rPr>
                      <w:rFonts w:hint="default" w:ascii="Times New Roman" w:hAnsi="Times New Roman" w:eastAsia="宋体" w:cs="Times New Roman"/>
                      <w:color w:val="auto"/>
                      <w:spacing w:val="7"/>
                      <w:sz w:val="21"/>
                      <w:szCs w:val="21"/>
                      <w:highlight w:val="none"/>
                      <w:u w:val="none" w:color="auto"/>
                      <w:lang w:eastAsia="zh-CN"/>
                    </w:rPr>
                    <w:t>，</w:t>
                  </w:r>
                  <w:r>
                    <w:rPr>
                      <w:rFonts w:hint="eastAsia" w:cs="Times New Roman"/>
                      <w:color w:val="auto"/>
                      <w:spacing w:val="7"/>
                      <w:sz w:val="21"/>
                      <w:szCs w:val="21"/>
                      <w:highlight w:val="none"/>
                      <w:u w:val="none" w:color="auto"/>
                      <w:lang w:val="en-US" w:eastAsia="zh-CN"/>
                    </w:rPr>
                    <w:t>P=</w:t>
                  </w:r>
                  <w:r>
                    <w:rPr>
                      <w:rFonts w:hint="default" w:ascii="Times New Roman" w:hAnsi="Times New Roman" w:eastAsia="宋体" w:cs="Times New Roman"/>
                      <w:color w:val="auto"/>
                      <w:spacing w:val="7"/>
                      <w:sz w:val="21"/>
                      <w:szCs w:val="21"/>
                      <w:highlight w:val="none"/>
                      <w:u w:val="none" w:color="auto"/>
                    </w:rPr>
                    <w:t>3</w:t>
                  </w:r>
                  <w:r>
                    <w:rPr>
                      <w:rFonts w:hint="default" w:ascii="Times New Roman" w:hAnsi="Times New Roman" w:eastAsia="宋体" w:cs="Times New Roman"/>
                      <w:color w:val="auto"/>
                      <w:spacing w:val="7"/>
                      <w:sz w:val="21"/>
                      <w:szCs w:val="21"/>
                      <w:highlight w:val="none"/>
                      <w:u w:val="none" w:color="auto"/>
                      <w:lang w:val="en-US" w:eastAsia="zh-CN"/>
                    </w:rPr>
                    <w:t>0</w:t>
                  </w:r>
                  <w:r>
                    <w:rPr>
                      <w:rFonts w:hint="default" w:ascii="Times New Roman" w:hAnsi="Times New Roman" w:eastAsia="宋体" w:cs="Times New Roman"/>
                      <w:color w:val="auto"/>
                      <w:spacing w:val="7"/>
                      <w:sz w:val="21"/>
                      <w:szCs w:val="21"/>
                      <w:highlight w:val="none"/>
                      <w:u w:val="none" w:color="auto"/>
                    </w:rPr>
                    <w:t>kW</w:t>
                  </w:r>
                </w:p>
              </w:tc>
              <w:tc>
                <w:tcPr>
                  <w:tcW w:w="663" w:type="dxa"/>
                  <w:tcBorders>
                    <w:tl2br w:val="nil"/>
                    <w:tr2bl w:val="nil"/>
                  </w:tcBorders>
                  <w:vAlign w:val="center"/>
                </w:tcPr>
                <w:p w14:paraId="4C3B40B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vAlign w:val="center"/>
                </w:tcPr>
                <w:p w14:paraId="71849E7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eastAsia="zh-CN"/>
                    </w:rPr>
                  </w:pPr>
                  <w:r>
                    <w:rPr>
                      <w:rFonts w:hint="eastAsia" w:cs="Times New Roman"/>
                      <w:color w:val="auto"/>
                      <w:spacing w:val="7"/>
                      <w:sz w:val="21"/>
                      <w:szCs w:val="21"/>
                      <w:highlight w:val="none"/>
                      <w:u w:val="none" w:color="auto"/>
                      <w:lang w:val="en-US" w:eastAsia="zh-CN"/>
                    </w:rPr>
                    <w:t>1</w:t>
                  </w:r>
                </w:p>
              </w:tc>
              <w:tc>
                <w:tcPr>
                  <w:tcW w:w="1593" w:type="dxa"/>
                  <w:tcBorders>
                    <w:tl2br w:val="nil"/>
                    <w:tr2bl w:val="nil"/>
                  </w:tcBorders>
                  <w:vAlign w:val="center"/>
                </w:tcPr>
                <w:p w14:paraId="5807AC7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631B847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7" w:hRule="atLeast"/>
                <w:jc w:val="center"/>
              </w:trPr>
              <w:tc>
                <w:tcPr>
                  <w:tcW w:w="828" w:type="dxa"/>
                  <w:tcBorders>
                    <w:tl2br w:val="nil"/>
                    <w:tr2bl w:val="nil"/>
                  </w:tcBorders>
                  <w:shd w:val="clear" w:color="auto" w:fill="auto"/>
                  <w:vAlign w:val="center"/>
                </w:tcPr>
                <w:p w14:paraId="75C313C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z w:val="21"/>
                      <w:szCs w:val="21"/>
                      <w:u w:val="none" w:color="auto"/>
                      <w:lang w:val="en-US" w:eastAsia="zh-CN"/>
                    </w:rPr>
                  </w:pPr>
                  <w:r>
                    <w:rPr>
                      <w:rFonts w:hint="eastAsia" w:eastAsia="宋体" w:cs="Times New Roman"/>
                      <w:color w:val="auto"/>
                      <w:sz w:val="21"/>
                      <w:szCs w:val="21"/>
                      <w:u w:val="none" w:color="auto"/>
                      <w:lang w:val="en-US" w:eastAsia="zh-CN"/>
                    </w:rPr>
                    <w:t>9</w:t>
                  </w:r>
                </w:p>
              </w:tc>
              <w:tc>
                <w:tcPr>
                  <w:tcW w:w="1602" w:type="dxa"/>
                  <w:tcBorders>
                    <w:tl2br w:val="nil"/>
                    <w:tr2bl w:val="nil"/>
                  </w:tcBorders>
                  <w:shd w:val="clear" w:color="auto" w:fill="auto"/>
                  <w:vAlign w:val="center"/>
                </w:tcPr>
                <w:p w14:paraId="45594FA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lang w:val="en-US" w:eastAsia="zh-CN"/>
                    </w:rPr>
                    <w:t>热</w:t>
                  </w:r>
                  <w:r>
                    <w:rPr>
                      <w:rFonts w:hint="default" w:ascii="Times New Roman" w:hAnsi="Times New Roman" w:eastAsia="宋体" w:cs="Times New Roman"/>
                      <w:color w:val="auto"/>
                      <w:spacing w:val="7"/>
                      <w:sz w:val="21"/>
                      <w:szCs w:val="21"/>
                      <w:highlight w:val="none"/>
                      <w:u w:val="none" w:color="auto"/>
                    </w:rPr>
                    <w:t>风机</w:t>
                  </w:r>
                </w:p>
              </w:tc>
              <w:tc>
                <w:tcPr>
                  <w:tcW w:w="2480" w:type="dxa"/>
                  <w:tcBorders>
                    <w:tl2br w:val="nil"/>
                    <w:tr2bl w:val="nil"/>
                  </w:tcBorders>
                  <w:shd w:val="clear" w:color="auto" w:fill="auto"/>
                  <w:vAlign w:val="center"/>
                </w:tcPr>
                <w:p w14:paraId="7F43227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7"/>
                      <w:kern w:val="2"/>
                      <w:sz w:val="21"/>
                      <w:szCs w:val="21"/>
                      <w:highlight w:val="none"/>
                      <w:u w:val="none" w:color="auto"/>
                      <w:lang w:val="en-US" w:eastAsia="zh-CN" w:bidi="ar-SA"/>
                    </w:rPr>
                  </w:pPr>
                  <w:r>
                    <w:rPr>
                      <w:rFonts w:hint="eastAsia" w:cs="Times New Roman"/>
                      <w:color w:val="auto"/>
                      <w:spacing w:val="7"/>
                      <w:sz w:val="21"/>
                      <w:szCs w:val="21"/>
                      <w:highlight w:val="none"/>
                      <w:u w:val="none" w:color="auto"/>
                      <w:lang w:val="en-US" w:eastAsia="zh-CN"/>
                    </w:rPr>
                    <w:t>9.5</w:t>
                  </w:r>
                  <w:r>
                    <w:rPr>
                      <w:rFonts w:hint="default" w:ascii="Times New Roman" w:hAnsi="Times New Roman" w:eastAsia="宋体" w:cs="Times New Roman"/>
                      <w:color w:val="auto"/>
                      <w:spacing w:val="7"/>
                      <w:sz w:val="21"/>
                      <w:szCs w:val="21"/>
                      <w:highlight w:val="none"/>
                      <w:u w:val="none" w:color="auto"/>
                    </w:rPr>
                    <w:t>D</w:t>
                  </w:r>
                  <w:r>
                    <w:rPr>
                      <w:rFonts w:hint="default" w:ascii="Times New Roman" w:hAnsi="Times New Roman" w:eastAsia="宋体" w:cs="Times New Roman"/>
                      <w:color w:val="auto"/>
                      <w:spacing w:val="7"/>
                      <w:sz w:val="21"/>
                      <w:szCs w:val="21"/>
                      <w:highlight w:val="none"/>
                      <w:u w:val="none" w:color="auto"/>
                      <w:lang w:eastAsia="zh-CN"/>
                    </w:rPr>
                    <w:t>，</w:t>
                  </w:r>
                  <w:r>
                    <w:rPr>
                      <w:rFonts w:hint="eastAsia" w:cs="Times New Roman"/>
                      <w:color w:val="auto"/>
                      <w:spacing w:val="7"/>
                      <w:sz w:val="21"/>
                      <w:szCs w:val="21"/>
                      <w:highlight w:val="none"/>
                      <w:u w:val="none" w:color="auto"/>
                      <w:lang w:val="en-US" w:eastAsia="zh-CN"/>
                    </w:rPr>
                    <w:t>P=22</w:t>
                  </w:r>
                  <w:r>
                    <w:rPr>
                      <w:rFonts w:hint="default" w:ascii="Times New Roman" w:hAnsi="Times New Roman" w:eastAsia="宋体" w:cs="Times New Roman"/>
                      <w:color w:val="auto"/>
                      <w:spacing w:val="7"/>
                      <w:sz w:val="21"/>
                      <w:szCs w:val="21"/>
                      <w:highlight w:val="none"/>
                      <w:u w:val="none" w:color="auto"/>
                    </w:rPr>
                    <w:t>kW</w:t>
                  </w:r>
                </w:p>
              </w:tc>
              <w:tc>
                <w:tcPr>
                  <w:tcW w:w="663" w:type="dxa"/>
                  <w:tcBorders>
                    <w:tl2br w:val="nil"/>
                    <w:tr2bl w:val="nil"/>
                  </w:tcBorders>
                  <w:shd w:val="clear" w:color="auto" w:fill="auto"/>
                  <w:vAlign w:val="center"/>
                </w:tcPr>
                <w:p w14:paraId="61364F29">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shd w:val="clear" w:color="auto" w:fill="auto"/>
                  <w:vAlign w:val="center"/>
                </w:tcPr>
                <w:p w14:paraId="43A3196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eastAsia" w:ascii="Times New Roman" w:hAnsi="Times New Roman" w:eastAsia="宋体" w:cs="Times New Roman"/>
                      <w:color w:val="auto"/>
                      <w:spacing w:val="7"/>
                      <w:sz w:val="21"/>
                      <w:szCs w:val="21"/>
                      <w:highlight w:val="none"/>
                      <w:u w:val="none" w:color="auto"/>
                      <w:lang w:val="en-US" w:eastAsia="zh-CN"/>
                    </w:rPr>
                    <w:t>1</w:t>
                  </w:r>
                </w:p>
              </w:tc>
              <w:tc>
                <w:tcPr>
                  <w:tcW w:w="1593" w:type="dxa"/>
                  <w:tcBorders>
                    <w:tl2br w:val="nil"/>
                    <w:tr2bl w:val="nil"/>
                  </w:tcBorders>
                  <w:vAlign w:val="center"/>
                </w:tcPr>
                <w:p w14:paraId="2A6CC37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0D779BA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28" w:type="dxa"/>
                  <w:tcBorders>
                    <w:tl2br w:val="nil"/>
                    <w:tr2bl w:val="nil"/>
                  </w:tcBorders>
                  <w:shd w:val="clear" w:color="auto" w:fill="auto"/>
                  <w:vAlign w:val="center"/>
                </w:tcPr>
                <w:p w14:paraId="0AA52F1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u w:val="none" w:color="auto"/>
                      <w:lang w:val="en-US" w:eastAsia="zh-CN" w:bidi="ar-SA"/>
                    </w:rPr>
                  </w:pPr>
                  <w:r>
                    <w:rPr>
                      <w:rFonts w:hint="eastAsia" w:eastAsia="宋体" w:cs="Times New Roman"/>
                      <w:color w:val="auto"/>
                      <w:sz w:val="21"/>
                      <w:szCs w:val="21"/>
                      <w:u w:val="none" w:color="auto"/>
                      <w:lang w:val="en-US" w:eastAsia="zh-CN"/>
                    </w:rPr>
                    <w:t>10</w:t>
                  </w:r>
                </w:p>
              </w:tc>
              <w:tc>
                <w:tcPr>
                  <w:tcW w:w="1602" w:type="dxa"/>
                  <w:tcBorders>
                    <w:tl2br w:val="nil"/>
                    <w:tr2bl w:val="nil"/>
                  </w:tcBorders>
                  <w:vAlign w:val="center"/>
                </w:tcPr>
                <w:p w14:paraId="7384A40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eastAsia="zh-CN"/>
                    </w:rPr>
                  </w:pPr>
                  <w:r>
                    <w:rPr>
                      <w:rFonts w:hint="default" w:ascii="Times New Roman" w:hAnsi="Times New Roman" w:eastAsia="宋体" w:cs="Times New Roman"/>
                      <w:color w:val="auto"/>
                      <w:spacing w:val="7"/>
                      <w:sz w:val="21"/>
                      <w:szCs w:val="21"/>
                      <w:highlight w:val="none"/>
                      <w:u w:val="none" w:color="auto"/>
                      <w:lang w:val="en-US" w:eastAsia="zh-CN"/>
                    </w:rPr>
                    <w:t>圆筒筛</w:t>
                  </w:r>
                </w:p>
              </w:tc>
              <w:tc>
                <w:tcPr>
                  <w:tcW w:w="2480" w:type="dxa"/>
                  <w:tcBorders>
                    <w:tl2br w:val="nil"/>
                    <w:tr2bl w:val="nil"/>
                  </w:tcBorders>
                  <w:vAlign w:val="center"/>
                </w:tcPr>
                <w:p w14:paraId="38D1980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TCQYH100/320</w:t>
                  </w:r>
                </w:p>
              </w:tc>
              <w:tc>
                <w:tcPr>
                  <w:tcW w:w="663" w:type="dxa"/>
                  <w:tcBorders>
                    <w:tl2br w:val="nil"/>
                    <w:tr2bl w:val="nil"/>
                  </w:tcBorders>
                  <w:vAlign w:val="center"/>
                </w:tcPr>
                <w:p w14:paraId="5D6ED14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vAlign w:val="center"/>
                </w:tcPr>
                <w:p w14:paraId="5259490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22D5FFB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35F71EB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828" w:type="dxa"/>
                  <w:tcBorders>
                    <w:tl2br w:val="nil"/>
                    <w:tr2bl w:val="nil"/>
                  </w:tcBorders>
                  <w:shd w:val="clear" w:color="auto" w:fill="auto"/>
                  <w:vAlign w:val="center"/>
                </w:tcPr>
                <w:p w14:paraId="12AFE1E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Times New Roman" w:cs="Times New Roman"/>
                      <w:color w:val="auto"/>
                      <w:kern w:val="2"/>
                      <w:sz w:val="21"/>
                      <w:szCs w:val="21"/>
                      <w:u w:val="none" w:color="auto"/>
                      <w:lang w:val="en-US" w:eastAsia="zh-CN" w:bidi="ar-SA"/>
                    </w:rPr>
                  </w:pPr>
                  <w:r>
                    <w:rPr>
                      <w:rFonts w:hint="default" w:ascii="Times New Roman" w:hAnsi="Times New Roman" w:eastAsia="Times New Roman" w:cs="Times New Roman"/>
                      <w:color w:val="auto"/>
                      <w:spacing w:val="-8"/>
                      <w:sz w:val="21"/>
                      <w:szCs w:val="21"/>
                      <w:u w:val="none" w:color="auto"/>
                    </w:rPr>
                    <w:t>11</w:t>
                  </w:r>
                </w:p>
              </w:tc>
              <w:tc>
                <w:tcPr>
                  <w:tcW w:w="1602" w:type="dxa"/>
                  <w:tcBorders>
                    <w:tl2br w:val="nil"/>
                    <w:tr2bl w:val="nil"/>
                  </w:tcBorders>
                  <w:vAlign w:val="center"/>
                </w:tcPr>
                <w:p w14:paraId="0424008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潮粮仓</w:t>
                  </w:r>
                </w:p>
              </w:tc>
              <w:tc>
                <w:tcPr>
                  <w:tcW w:w="2480" w:type="dxa"/>
                  <w:tcBorders>
                    <w:tl2br w:val="nil"/>
                    <w:tr2bl w:val="nil"/>
                  </w:tcBorders>
                  <w:vAlign w:val="center"/>
                </w:tcPr>
                <w:p w14:paraId="31A72BD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D=8.8m，H=13.8m</w:t>
                  </w:r>
                </w:p>
              </w:tc>
              <w:tc>
                <w:tcPr>
                  <w:tcW w:w="663" w:type="dxa"/>
                  <w:tcBorders>
                    <w:tl2br w:val="nil"/>
                    <w:tr2bl w:val="nil"/>
                  </w:tcBorders>
                  <w:shd w:val="clear" w:color="auto" w:fill="auto"/>
                  <w:vAlign w:val="center"/>
                </w:tcPr>
                <w:p w14:paraId="57F841F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7"/>
                      <w:kern w:val="2"/>
                      <w:sz w:val="21"/>
                      <w:szCs w:val="21"/>
                      <w:highlight w:val="none"/>
                      <w:u w:val="none" w:color="auto"/>
                      <w:lang w:val="en-US" w:eastAsia="zh-CN" w:bidi="ar-SA"/>
                    </w:rPr>
                  </w:pPr>
                  <w:r>
                    <w:rPr>
                      <w:rFonts w:hint="eastAsia" w:ascii="Times New Roman" w:hAnsi="Times New Roman" w:eastAsia="宋体" w:cs="Times New Roman"/>
                      <w:color w:val="auto"/>
                      <w:spacing w:val="7"/>
                      <w:sz w:val="21"/>
                      <w:szCs w:val="21"/>
                      <w:highlight w:val="none"/>
                      <w:u w:val="none" w:color="auto"/>
                      <w:lang w:eastAsia="zh-CN"/>
                    </w:rPr>
                    <w:t>套</w:t>
                  </w:r>
                </w:p>
              </w:tc>
              <w:tc>
                <w:tcPr>
                  <w:tcW w:w="662" w:type="dxa"/>
                  <w:tcBorders>
                    <w:tl2br w:val="nil"/>
                    <w:tr2bl w:val="nil"/>
                  </w:tcBorders>
                  <w:shd w:val="clear" w:color="auto" w:fill="auto"/>
                  <w:vAlign w:val="center"/>
                </w:tcPr>
                <w:p w14:paraId="479A337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421AB7D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3B8D7D6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jc w:val="center"/>
              </w:trPr>
              <w:tc>
                <w:tcPr>
                  <w:tcW w:w="828" w:type="dxa"/>
                  <w:tcBorders>
                    <w:tl2br w:val="nil"/>
                    <w:tr2bl w:val="nil"/>
                  </w:tcBorders>
                  <w:shd w:val="clear" w:color="auto" w:fill="auto"/>
                  <w:vAlign w:val="center"/>
                </w:tcPr>
                <w:p w14:paraId="1318CEC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Times New Roman" w:cs="Times New Roman"/>
                      <w:color w:val="auto"/>
                      <w:kern w:val="2"/>
                      <w:sz w:val="21"/>
                      <w:szCs w:val="21"/>
                      <w:u w:val="single" w:color="auto"/>
                      <w:lang w:val="en-US" w:eastAsia="zh-CN" w:bidi="ar-SA"/>
                    </w:rPr>
                  </w:pPr>
                  <w:r>
                    <w:rPr>
                      <w:rFonts w:hint="default" w:ascii="Times New Roman" w:hAnsi="Times New Roman" w:eastAsia="Times New Roman" w:cs="Times New Roman"/>
                      <w:color w:val="auto"/>
                      <w:spacing w:val="-8"/>
                      <w:sz w:val="21"/>
                      <w:szCs w:val="21"/>
                      <w:u w:val="single" w:color="auto"/>
                    </w:rPr>
                    <w:t>12</w:t>
                  </w:r>
                </w:p>
              </w:tc>
              <w:tc>
                <w:tcPr>
                  <w:tcW w:w="1602" w:type="dxa"/>
                  <w:tcBorders>
                    <w:tl2br w:val="nil"/>
                    <w:tr2bl w:val="nil"/>
                  </w:tcBorders>
                  <w:vAlign w:val="center"/>
                </w:tcPr>
                <w:p w14:paraId="7D65F2E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cs="Times New Roman"/>
                      <w:color w:val="auto"/>
                      <w:spacing w:val="7"/>
                      <w:sz w:val="21"/>
                      <w:szCs w:val="21"/>
                      <w:highlight w:val="none"/>
                      <w:u w:val="single" w:color="auto"/>
                      <w:lang w:val="en-US" w:eastAsia="zh-CN"/>
                    </w:rPr>
                  </w:pPr>
                  <w:r>
                    <w:rPr>
                      <w:rFonts w:hint="eastAsia" w:cs="Times New Roman"/>
                      <w:color w:val="auto"/>
                      <w:spacing w:val="7"/>
                      <w:sz w:val="21"/>
                      <w:szCs w:val="21"/>
                      <w:highlight w:val="none"/>
                      <w:u w:val="single" w:color="auto"/>
                      <w:lang w:val="en-US" w:eastAsia="zh-CN"/>
                    </w:rPr>
                    <w:t>干粮仓</w:t>
                  </w:r>
                </w:p>
              </w:tc>
              <w:tc>
                <w:tcPr>
                  <w:tcW w:w="2480" w:type="dxa"/>
                  <w:tcBorders>
                    <w:tl2br w:val="nil"/>
                    <w:tr2bl w:val="nil"/>
                  </w:tcBorders>
                  <w:shd w:val="clear" w:color="auto" w:fill="auto"/>
                  <w:vAlign w:val="center"/>
                </w:tcPr>
                <w:p w14:paraId="60615032">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single" w:color="auto"/>
                      <w:lang w:val="en-US" w:eastAsia="zh-CN" w:bidi="ar-SA"/>
                    </w:rPr>
                  </w:pPr>
                  <w:r>
                    <w:rPr>
                      <w:rFonts w:hint="default" w:ascii="Times New Roman" w:hAnsi="Times New Roman" w:eastAsia="宋体" w:cs="Times New Roman"/>
                      <w:color w:val="auto"/>
                      <w:spacing w:val="7"/>
                      <w:sz w:val="21"/>
                      <w:szCs w:val="21"/>
                      <w:highlight w:val="none"/>
                      <w:u w:val="single" w:color="auto"/>
                    </w:rPr>
                    <w:t>D=8.8m，H=13.8m</w:t>
                  </w:r>
                </w:p>
              </w:tc>
              <w:tc>
                <w:tcPr>
                  <w:tcW w:w="663" w:type="dxa"/>
                  <w:tcBorders>
                    <w:tl2br w:val="nil"/>
                    <w:tr2bl w:val="nil"/>
                  </w:tcBorders>
                  <w:shd w:val="clear" w:color="auto" w:fill="auto"/>
                  <w:vAlign w:val="center"/>
                </w:tcPr>
                <w:p w14:paraId="0F6CC881">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7"/>
                      <w:kern w:val="2"/>
                      <w:sz w:val="21"/>
                      <w:szCs w:val="21"/>
                      <w:highlight w:val="none"/>
                      <w:u w:val="single" w:color="auto"/>
                      <w:lang w:val="en-US" w:eastAsia="zh-CN" w:bidi="ar-SA"/>
                    </w:rPr>
                  </w:pPr>
                  <w:r>
                    <w:rPr>
                      <w:rFonts w:hint="eastAsia" w:ascii="Times New Roman" w:hAnsi="Times New Roman" w:eastAsia="宋体" w:cs="Times New Roman"/>
                      <w:color w:val="auto"/>
                      <w:spacing w:val="7"/>
                      <w:sz w:val="21"/>
                      <w:szCs w:val="21"/>
                      <w:highlight w:val="none"/>
                      <w:u w:val="single" w:color="auto"/>
                      <w:lang w:eastAsia="zh-CN"/>
                    </w:rPr>
                    <w:t>套</w:t>
                  </w:r>
                </w:p>
              </w:tc>
              <w:tc>
                <w:tcPr>
                  <w:tcW w:w="662" w:type="dxa"/>
                  <w:tcBorders>
                    <w:tl2br w:val="nil"/>
                    <w:tr2bl w:val="nil"/>
                  </w:tcBorders>
                  <w:shd w:val="clear" w:color="auto" w:fill="auto"/>
                  <w:vAlign w:val="center"/>
                </w:tcPr>
                <w:p w14:paraId="635E9F36">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single" w:color="auto"/>
                      <w:lang w:val="en-US" w:eastAsia="zh-CN" w:bidi="ar-SA"/>
                    </w:rPr>
                  </w:pPr>
                  <w:r>
                    <w:rPr>
                      <w:rFonts w:hint="default" w:ascii="Times New Roman" w:hAnsi="Times New Roman" w:eastAsia="宋体" w:cs="Times New Roman"/>
                      <w:color w:val="auto"/>
                      <w:spacing w:val="7"/>
                      <w:sz w:val="21"/>
                      <w:szCs w:val="21"/>
                      <w:highlight w:val="none"/>
                      <w:u w:val="single" w:color="auto"/>
                    </w:rPr>
                    <w:t>1</w:t>
                  </w:r>
                </w:p>
              </w:tc>
              <w:tc>
                <w:tcPr>
                  <w:tcW w:w="1593" w:type="dxa"/>
                  <w:tcBorders>
                    <w:tl2br w:val="nil"/>
                    <w:tr2bl w:val="nil"/>
                  </w:tcBorders>
                  <w:shd w:val="clear" w:color="auto" w:fill="auto"/>
                  <w:vAlign w:val="center"/>
                </w:tcPr>
                <w:p w14:paraId="036F7F9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single" w:color="auto"/>
                      <w:lang w:val="en-US" w:eastAsia="zh-CN" w:bidi="ar-SA"/>
                    </w:rPr>
                  </w:pPr>
                  <w:r>
                    <w:rPr>
                      <w:rFonts w:hint="default" w:ascii="Times New Roman" w:hAnsi="Times New Roman" w:eastAsia="宋体" w:cs="Times New Roman"/>
                      <w:color w:val="auto"/>
                      <w:spacing w:val="7"/>
                      <w:sz w:val="21"/>
                      <w:szCs w:val="21"/>
                      <w:highlight w:val="none"/>
                      <w:u w:val="single" w:color="auto"/>
                    </w:rPr>
                    <w:t>烘干场地</w:t>
                  </w:r>
                </w:p>
              </w:tc>
            </w:tr>
            <w:tr w14:paraId="4BFF96D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21" w:hRule="atLeast"/>
                <w:jc w:val="center"/>
              </w:trPr>
              <w:tc>
                <w:tcPr>
                  <w:tcW w:w="828" w:type="dxa"/>
                  <w:tcBorders>
                    <w:tl2br w:val="nil"/>
                    <w:tr2bl w:val="nil"/>
                  </w:tcBorders>
                  <w:shd w:val="clear" w:color="auto" w:fill="auto"/>
                  <w:vAlign w:val="center"/>
                </w:tcPr>
                <w:p w14:paraId="1963AAE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Times New Roman" w:cs="Times New Roman"/>
                      <w:color w:val="auto"/>
                      <w:kern w:val="2"/>
                      <w:sz w:val="21"/>
                      <w:szCs w:val="21"/>
                      <w:u w:val="none" w:color="auto"/>
                      <w:lang w:val="en-US" w:eastAsia="zh-CN" w:bidi="ar-SA"/>
                    </w:rPr>
                  </w:pPr>
                  <w:r>
                    <w:rPr>
                      <w:rFonts w:hint="default" w:ascii="Times New Roman" w:hAnsi="Times New Roman" w:eastAsia="Times New Roman" w:cs="Times New Roman"/>
                      <w:color w:val="auto"/>
                      <w:kern w:val="2"/>
                      <w:sz w:val="21"/>
                      <w:szCs w:val="21"/>
                      <w:u w:val="none" w:color="auto"/>
                      <w:lang w:val="en-US" w:eastAsia="zh-CN" w:bidi="ar-SA"/>
                    </w:rPr>
                    <w:t>13</w:t>
                  </w:r>
                </w:p>
              </w:tc>
              <w:tc>
                <w:tcPr>
                  <w:tcW w:w="1602" w:type="dxa"/>
                  <w:tcBorders>
                    <w:tl2br w:val="nil"/>
                    <w:tr2bl w:val="nil"/>
                  </w:tcBorders>
                  <w:shd w:val="clear" w:color="auto" w:fill="auto"/>
                  <w:vAlign w:val="center"/>
                </w:tcPr>
                <w:p w14:paraId="0664F90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上料</w:t>
                  </w:r>
                  <w:r>
                    <w:rPr>
                      <w:rFonts w:hint="default" w:ascii="Times New Roman" w:hAnsi="Times New Roman" w:eastAsia="宋体" w:cs="Times New Roman"/>
                      <w:color w:val="auto"/>
                      <w:spacing w:val="7"/>
                      <w:sz w:val="21"/>
                      <w:szCs w:val="21"/>
                      <w:highlight w:val="none"/>
                      <w:u w:val="none" w:color="auto"/>
                      <w:lang w:val="en-US" w:eastAsia="zh-CN"/>
                    </w:rPr>
                    <w:t>机</w:t>
                  </w:r>
                </w:p>
              </w:tc>
              <w:tc>
                <w:tcPr>
                  <w:tcW w:w="2480" w:type="dxa"/>
                  <w:tcBorders>
                    <w:tl2br w:val="nil"/>
                    <w:tr2bl w:val="nil"/>
                  </w:tcBorders>
                  <w:shd w:val="clear" w:color="auto" w:fill="auto"/>
                  <w:vAlign w:val="center"/>
                </w:tcPr>
                <w:p w14:paraId="6D0D4EF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P</w:t>
                  </w:r>
                  <w:r>
                    <w:rPr>
                      <w:rFonts w:hint="default" w:ascii="Times New Roman" w:hAnsi="Times New Roman" w:eastAsia="宋体" w:cs="Times New Roman"/>
                      <w:color w:val="auto"/>
                      <w:spacing w:val="7"/>
                      <w:sz w:val="21"/>
                      <w:szCs w:val="21"/>
                      <w:highlight w:val="none"/>
                      <w:u w:val="none" w:color="auto"/>
                    </w:rPr>
                    <w:t>=1.5KW</w:t>
                  </w:r>
                </w:p>
              </w:tc>
              <w:tc>
                <w:tcPr>
                  <w:tcW w:w="663" w:type="dxa"/>
                  <w:tcBorders>
                    <w:tl2br w:val="nil"/>
                    <w:tr2bl w:val="nil"/>
                  </w:tcBorders>
                  <w:vAlign w:val="center"/>
                </w:tcPr>
                <w:p w14:paraId="4AA4CC0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vAlign w:val="center"/>
                </w:tcPr>
                <w:p w14:paraId="0D48DD1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392D4999">
                  <w:pPr>
                    <w:keepNext w:val="0"/>
                    <w:keepLines w:val="0"/>
                    <w:pageBreakBefore w:val="0"/>
                    <w:widowControl w:val="0"/>
                    <w:kinsoku/>
                    <w:wordWrap/>
                    <w:overflowPunct/>
                    <w:topLinePunct w:val="0"/>
                    <w:autoSpaceDE/>
                    <w:autoSpaceDN/>
                    <w:bidi w:val="0"/>
                    <w:adjustRightInd/>
                    <w:snapToGrid/>
                    <w:spacing w:line="212" w:lineRule="auto"/>
                    <w:ind w:left="0" w:leftChars="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lang w:val="en-US" w:eastAsia="zh-CN"/>
                    </w:rPr>
                    <w:t>热风炉房</w:t>
                  </w:r>
                  <w:r>
                    <w:rPr>
                      <w:rFonts w:hint="eastAsia" w:ascii="Times New Roman" w:hAnsi="Times New Roman" w:cs="Times New Roman"/>
                      <w:color w:val="auto"/>
                      <w:spacing w:val="7"/>
                      <w:sz w:val="21"/>
                      <w:szCs w:val="21"/>
                      <w:highlight w:val="none"/>
                      <w:u w:val="none" w:color="auto"/>
                      <w:lang w:eastAsia="zh-CN"/>
                    </w:rPr>
                    <w:t>（室内）</w:t>
                  </w:r>
                </w:p>
              </w:tc>
            </w:tr>
            <w:tr w14:paraId="7A50C90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41" w:hRule="atLeast"/>
                <w:jc w:val="center"/>
              </w:trPr>
              <w:tc>
                <w:tcPr>
                  <w:tcW w:w="828" w:type="dxa"/>
                  <w:tcBorders>
                    <w:tl2br w:val="nil"/>
                    <w:tr2bl w:val="nil"/>
                  </w:tcBorders>
                  <w:shd w:val="clear" w:color="auto" w:fill="auto"/>
                  <w:vAlign w:val="center"/>
                </w:tcPr>
                <w:p w14:paraId="580435D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u w:val="none" w:color="auto"/>
                      <w:lang w:val="en-US" w:eastAsia="zh-CN" w:bidi="ar-SA"/>
                    </w:rPr>
                  </w:pPr>
                  <w:r>
                    <w:rPr>
                      <w:rFonts w:hint="default" w:ascii="Times New Roman" w:hAnsi="Times New Roman" w:eastAsia="宋体" w:cs="Times New Roman"/>
                      <w:color w:val="auto"/>
                      <w:sz w:val="21"/>
                      <w:szCs w:val="21"/>
                      <w:u w:val="none" w:color="auto"/>
                      <w:lang w:val="en-US" w:eastAsia="zh-CN"/>
                    </w:rPr>
                    <w:t>14</w:t>
                  </w:r>
                </w:p>
              </w:tc>
              <w:tc>
                <w:tcPr>
                  <w:tcW w:w="1602" w:type="dxa"/>
                  <w:tcBorders>
                    <w:tl2br w:val="nil"/>
                    <w:tr2bl w:val="nil"/>
                  </w:tcBorders>
                  <w:shd w:val="clear" w:color="auto" w:fill="auto"/>
                  <w:vAlign w:val="center"/>
                </w:tcPr>
                <w:p w14:paraId="3C973E1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除渣机</w:t>
                  </w:r>
                </w:p>
              </w:tc>
              <w:tc>
                <w:tcPr>
                  <w:tcW w:w="2480" w:type="dxa"/>
                  <w:tcBorders>
                    <w:tl2br w:val="nil"/>
                    <w:tr2bl w:val="nil"/>
                  </w:tcBorders>
                  <w:shd w:val="clear" w:color="auto" w:fill="auto"/>
                  <w:vAlign w:val="center"/>
                </w:tcPr>
                <w:p w14:paraId="73217EE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接口420X1700 ZQ200</w:t>
                  </w:r>
                </w:p>
                <w:p w14:paraId="3AB0E796">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P</w:t>
                  </w:r>
                  <w:r>
                    <w:rPr>
                      <w:rFonts w:hint="default" w:ascii="Times New Roman" w:hAnsi="Times New Roman" w:eastAsia="宋体" w:cs="Times New Roman"/>
                      <w:color w:val="auto"/>
                      <w:spacing w:val="7"/>
                      <w:sz w:val="21"/>
                      <w:szCs w:val="21"/>
                      <w:highlight w:val="none"/>
                      <w:u w:val="none" w:color="auto"/>
                    </w:rPr>
                    <w:t>=1.5KW</w:t>
                  </w:r>
                </w:p>
              </w:tc>
              <w:tc>
                <w:tcPr>
                  <w:tcW w:w="663" w:type="dxa"/>
                  <w:tcBorders>
                    <w:tl2br w:val="nil"/>
                    <w:tr2bl w:val="nil"/>
                  </w:tcBorders>
                  <w:vAlign w:val="center"/>
                </w:tcPr>
                <w:p w14:paraId="7767AF4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vAlign w:val="center"/>
                </w:tcPr>
                <w:p w14:paraId="629B989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623C107A">
                  <w:pPr>
                    <w:keepNext w:val="0"/>
                    <w:keepLines w:val="0"/>
                    <w:pageBreakBefore w:val="0"/>
                    <w:widowControl w:val="0"/>
                    <w:kinsoku/>
                    <w:wordWrap/>
                    <w:overflowPunct/>
                    <w:topLinePunct w:val="0"/>
                    <w:autoSpaceDE/>
                    <w:autoSpaceDN/>
                    <w:bidi w:val="0"/>
                    <w:adjustRightInd/>
                    <w:snapToGrid/>
                    <w:spacing w:line="212" w:lineRule="auto"/>
                    <w:ind w:left="0" w:leftChars="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lang w:val="en-US" w:eastAsia="zh-CN"/>
                    </w:rPr>
                    <w:t>热风炉房</w:t>
                  </w:r>
                  <w:r>
                    <w:rPr>
                      <w:rFonts w:hint="eastAsia" w:ascii="Times New Roman" w:hAnsi="Times New Roman" w:cs="Times New Roman"/>
                      <w:color w:val="auto"/>
                      <w:spacing w:val="7"/>
                      <w:sz w:val="21"/>
                      <w:szCs w:val="21"/>
                      <w:highlight w:val="none"/>
                      <w:u w:val="none" w:color="auto"/>
                      <w:lang w:eastAsia="zh-CN"/>
                    </w:rPr>
                    <w:t>（室内）</w:t>
                  </w:r>
                </w:p>
              </w:tc>
            </w:tr>
            <w:tr w14:paraId="6849B61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828" w:type="dxa"/>
                  <w:tcBorders>
                    <w:tl2br w:val="nil"/>
                    <w:tr2bl w:val="nil"/>
                  </w:tcBorders>
                  <w:shd w:val="clear" w:color="auto" w:fill="auto"/>
                  <w:vAlign w:val="center"/>
                </w:tcPr>
                <w:p w14:paraId="1ACE463A">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Times New Roman" w:cs="Times New Roman"/>
                      <w:color w:val="auto"/>
                      <w:kern w:val="2"/>
                      <w:sz w:val="21"/>
                      <w:szCs w:val="21"/>
                      <w:u w:val="none" w:color="auto"/>
                      <w:lang w:val="en-US" w:eastAsia="zh-CN" w:bidi="ar-SA"/>
                    </w:rPr>
                  </w:pPr>
                  <w:r>
                    <w:rPr>
                      <w:rFonts w:hint="eastAsia" w:eastAsia="Times New Roman" w:cs="Times New Roman"/>
                      <w:color w:val="auto"/>
                      <w:kern w:val="2"/>
                      <w:sz w:val="21"/>
                      <w:szCs w:val="21"/>
                      <w:u w:val="none" w:color="auto"/>
                      <w:lang w:val="en-US" w:eastAsia="zh-CN" w:bidi="ar-SA"/>
                    </w:rPr>
                    <w:t>15</w:t>
                  </w:r>
                </w:p>
              </w:tc>
              <w:tc>
                <w:tcPr>
                  <w:tcW w:w="1602" w:type="dxa"/>
                  <w:tcBorders>
                    <w:tl2br w:val="nil"/>
                    <w:tr2bl w:val="nil"/>
                  </w:tcBorders>
                  <w:shd w:val="clear" w:color="auto" w:fill="auto"/>
                  <w:vAlign w:val="center"/>
                </w:tcPr>
                <w:p w14:paraId="1BF6CE0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eastAsia="zh-CN"/>
                    </w:rPr>
                    <w:t>主塔</w:t>
                  </w:r>
                  <w:r>
                    <w:rPr>
                      <w:rFonts w:hint="default" w:ascii="Times New Roman" w:hAnsi="Times New Roman" w:eastAsia="宋体" w:cs="Times New Roman"/>
                      <w:color w:val="auto"/>
                      <w:spacing w:val="7"/>
                      <w:sz w:val="21"/>
                      <w:szCs w:val="21"/>
                      <w:highlight w:val="none"/>
                      <w:u w:val="none" w:color="auto"/>
                    </w:rPr>
                    <w:t>提升机</w:t>
                  </w:r>
                </w:p>
              </w:tc>
              <w:tc>
                <w:tcPr>
                  <w:tcW w:w="2480" w:type="dxa"/>
                  <w:tcBorders>
                    <w:tl2br w:val="nil"/>
                    <w:tr2bl w:val="nil"/>
                  </w:tcBorders>
                  <w:shd w:val="clear" w:color="auto" w:fill="auto"/>
                  <w:vAlign w:val="center"/>
                </w:tcPr>
                <w:p w14:paraId="2541F00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6033 K87-17.41，</w:t>
                  </w:r>
                  <w:r>
                    <w:rPr>
                      <w:rFonts w:hint="default" w:ascii="Times New Roman" w:hAnsi="Times New Roman" w:eastAsia="宋体" w:cs="Times New Roman"/>
                      <w:color w:val="auto"/>
                      <w:spacing w:val="7"/>
                      <w:sz w:val="21"/>
                      <w:szCs w:val="21"/>
                      <w:highlight w:val="none"/>
                      <w:u w:val="none" w:color="auto"/>
                    </w:rPr>
                    <w:t>P=11kW</w:t>
                  </w:r>
                </w:p>
              </w:tc>
              <w:tc>
                <w:tcPr>
                  <w:tcW w:w="663" w:type="dxa"/>
                  <w:tcBorders>
                    <w:tl2br w:val="nil"/>
                    <w:tr2bl w:val="nil"/>
                  </w:tcBorders>
                  <w:shd w:val="clear" w:color="auto" w:fill="auto"/>
                  <w:vAlign w:val="center"/>
                </w:tcPr>
                <w:p w14:paraId="48FF3F2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shd w:val="clear" w:color="auto" w:fill="auto"/>
                  <w:vAlign w:val="center"/>
                </w:tcPr>
                <w:p w14:paraId="4D5EC1B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shd w:val="clear" w:color="auto" w:fill="auto"/>
                  <w:vAlign w:val="center"/>
                </w:tcPr>
                <w:p w14:paraId="2C2D402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rPr>
                    <w:t>烘干场地</w:t>
                  </w:r>
                </w:p>
              </w:tc>
            </w:tr>
            <w:tr w14:paraId="13FE69C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shd w:val="clear" w:color="auto" w:fill="auto"/>
                  <w:vAlign w:val="center"/>
                </w:tcPr>
                <w:p w14:paraId="7B40010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Times New Roman" w:cs="Times New Roman"/>
                      <w:color w:val="auto"/>
                      <w:kern w:val="2"/>
                      <w:sz w:val="21"/>
                      <w:szCs w:val="21"/>
                      <w:u w:val="none" w:color="auto"/>
                      <w:lang w:val="en-US" w:eastAsia="zh-CN" w:bidi="ar-SA"/>
                    </w:rPr>
                  </w:pPr>
                  <w:r>
                    <w:rPr>
                      <w:rFonts w:hint="eastAsia" w:eastAsia="Times New Roman" w:cs="Times New Roman"/>
                      <w:color w:val="auto"/>
                      <w:kern w:val="2"/>
                      <w:sz w:val="21"/>
                      <w:szCs w:val="21"/>
                      <w:u w:val="none" w:color="auto"/>
                      <w:lang w:val="en-US" w:eastAsia="zh-CN" w:bidi="ar-SA"/>
                    </w:rPr>
                    <w:t>16</w:t>
                  </w:r>
                </w:p>
              </w:tc>
              <w:tc>
                <w:tcPr>
                  <w:tcW w:w="1602" w:type="dxa"/>
                  <w:tcBorders>
                    <w:tl2br w:val="nil"/>
                    <w:tr2bl w:val="nil"/>
                  </w:tcBorders>
                  <w:vAlign w:val="center"/>
                </w:tcPr>
                <w:p w14:paraId="3E070B1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副塔</w:t>
                  </w:r>
                  <w:r>
                    <w:rPr>
                      <w:rFonts w:hint="default" w:ascii="Times New Roman" w:hAnsi="Times New Roman" w:eastAsia="宋体" w:cs="Times New Roman"/>
                      <w:color w:val="auto"/>
                      <w:spacing w:val="7"/>
                      <w:sz w:val="21"/>
                      <w:szCs w:val="21"/>
                      <w:highlight w:val="none"/>
                      <w:u w:val="none" w:color="auto"/>
                      <w:lang w:val="en-US" w:eastAsia="zh-CN"/>
                    </w:rPr>
                    <w:t>提升机</w:t>
                  </w:r>
                </w:p>
              </w:tc>
              <w:tc>
                <w:tcPr>
                  <w:tcW w:w="2480" w:type="dxa"/>
                  <w:tcBorders>
                    <w:tl2br w:val="nil"/>
                    <w:tr2bl w:val="nil"/>
                  </w:tcBorders>
                  <w:vAlign w:val="center"/>
                </w:tcPr>
                <w:p w14:paraId="3AD340A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eastAsia" w:cs="Times New Roman"/>
                      <w:color w:val="auto"/>
                      <w:spacing w:val="7"/>
                      <w:sz w:val="21"/>
                      <w:szCs w:val="21"/>
                      <w:highlight w:val="none"/>
                      <w:u w:val="none" w:color="auto"/>
                      <w:lang w:val="en-US" w:eastAsia="zh-CN"/>
                    </w:rPr>
                    <w:t>6033 K87-31.38，</w:t>
                  </w:r>
                  <w:r>
                    <w:rPr>
                      <w:rFonts w:hint="default" w:ascii="Times New Roman" w:hAnsi="Times New Roman" w:eastAsia="宋体" w:cs="Times New Roman"/>
                      <w:color w:val="auto"/>
                      <w:spacing w:val="7"/>
                      <w:sz w:val="21"/>
                      <w:szCs w:val="21"/>
                      <w:highlight w:val="none"/>
                      <w:u w:val="none" w:color="auto"/>
                    </w:rPr>
                    <w:t>P=11kW</w:t>
                  </w:r>
                </w:p>
              </w:tc>
              <w:tc>
                <w:tcPr>
                  <w:tcW w:w="663" w:type="dxa"/>
                  <w:tcBorders>
                    <w:tl2br w:val="nil"/>
                    <w:tr2bl w:val="nil"/>
                  </w:tcBorders>
                  <w:vAlign w:val="center"/>
                </w:tcPr>
                <w:p w14:paraId="7160717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vAlign w:val="center"/>
                </w:tcPr>
                <w:p w14:paraId="4692FAB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vAlign w:val="center"/>
                </w:tcPr>
                <w:p w14:paraId="6FFF23B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r w14:paraId="011BFAD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shd w:val="clear" w:color="auto" w:fill="auto"/>
                  <w:vAlign w:val="center"/>
                </w:tcPr>
                <w:p w14:paraId="05430CE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u w:val="none" w:color="auto"/>
                      <w:lang w:val="en-US" w:eastAsia="zh-CN" w:bidi="ar-SA"/>
                    </w:rPr>
                  </w:pPr>
                  <w:r>
                    <w:rPr>
                      <w:rFonts w:hint="eastAsia" w:cs="Times New Roman"/>
                      <w:color w:val="auto"/>
                      <w:kern w:val="2"/>
                      <w:sz w:val="21"/>
                      <w:szCs w:val="21"/>
                      <w:u w:val="none" w:color="auto"/>
                      <w:lang w:val="en-US" w:eastAsia="zh-CN" w:bidi="ar-SA"/>
                    </w:rPr>
                    <w:t>17</w:t>
                  </w:r>
                </w:p>
              </w:tc>
              <w:tc>
                <w:tcPr>
                  <w:tcW w:w="1602" w:type="dxa"/>
                  <w:tcBorders>
                    <w:tl2br w:val="nil"/>
                    <w:tr2bl w:val="nil"/>
                  </w:tcBorders>
                  <w:vAlign w:val="center"/>
                </w:tcPr>
                <w:p w14:paraId="01E1B0D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皮带输送机</w:t>
                  </w:r>
                </w:p>
              </w:tc>
              <w:tc>
                <w:tcPr>
                  <w:tcW w:w="2480" w:type="dxa"/>
                  <w:tcBorders>
                    <w:tl2br w:val="nil"/>
                    <w:tr2bl w:val="nil"/>
                  </w:tcBorders>
                  <w:vAlign w:val="center"/>
                </w:tcPr>
                <w:p w14:paraId="562A087E">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输送能力15t/h</w:t>
                  </w:r>
                </w:p>
              </w:tc>
              <w:tc>
                <w:tcPr>
                  <w:tcW w:w="663" w:type="dxa"/>
                  <w:tcBorders>
                    <w:tl2br w:val="nil"/>
                    <w:tr2bl w:val="nil"/>
                  </w:tcBorders>
                  <w:vAlign w:val="center"/>
                </w:tcPr>
                <w:p w14:paraId="7F3E64F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台</w:t>
                  </w:r>
                </w:p>
              </w:tc>
              <w:tc>
                <w:tcPr>
                  <w:tcW w:w="662" w:type="dxa"/>
                  <w:tcBorders>
                    <w:tl2br w:val="nil"/>
                    <w:tr2bl w:val="nil"/>
                  </w:tcBorders>
                  <w:vAlign w:val="center"/>
                </w:tcPr>
                <w:p w14:paraId="025D281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4</w:t>
                  </w:r>
                </w:p>
              </w:tc>
              <w:tc>
                <w:tcPr>
                  <w:tcW w:w="1593" w:type="dxa"/>
                  <w:tcBorders>
                    <w:tl2br w:val="nil"/>
                    <w:tr2bl w:val="nil"/>
                  </w:tcBorders>
                  <w:vAlign w:val="center"/>
                </w:tcPr>
                <w:p w14:paraId="3D2E435C">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color w:val="auto"/>
                      <w:spacing w:val="7"/>
                      <w:sz w:val="21"/>
                      <w:szCs w:val="21"/>
                      <w:highlight w:val="none"/>
                      <w:u w:val="none" w:color="auto"/>
                      <w:lang w:val="en-US" w:eastAsia="zh-CN"/>
                    </w:rPr>
                  </w:pPr>
                  <w:r>
                    <w:rPr>
                      <w:rFonts w:hint="default" w:ascii="Times New Roman" w:hAnsi="Times New Roman" w:eastAsia="宋体" w:cs="Times New Roman"/>
                      <w:color w:val="auto"/>
                      <w:spacing w:val="7"/>
                      <w:sz w:val="21"/>
                      <w:szCs w:val="21"/>
                      <w:highlight w:val="none"/>
                      <w:u w:val="none" w:color="auto"/>
                      <w:lang w:val="en-US" w:eastAsia="zh-CN"/>
                    </w:rPr>
                    <w:t>烘干场地</w:t>
                  </w:r>
                </w:p>
              </w:tc>
            </w:tr>
            <w:tr w14:paraId="05E404F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shd w:val="clear" w:color="auto" w:fill="auto"/>
                  <w:vAlign w:val="center"/>
                </w:tcPr>
                <w:p w14:paraId="47AB76E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u w:val="none" w:color="auto"/>
                      <w:lang w:val="en-US" w:eastAsia="zh-CN" w:bidi="ar-SA"/>
                    </w:rPr>
                  </w:pPr>
                  <w:r>
                    <w:rPr>
                      <w:rFonts w:hint="eastAsia" w:cs="Times New Roman"/>
                      <w:color w:val="auto"/>
                      <w:kern w:val="2"/>
                      <w:sz w:val="21"/>
                      <w:szCs w:val="21"/>
                      <w:u w:val="none" w:color="auto"/>
                      <w:lang w:val="en-US" w:eastAsia="zh-CN" w:bidi="ar-SA"/>
                    </w:rPr>
                    <w:t>18</w:t>
                  </w:r>
                </w:p>
              </w:tc>
              <w:tc>
                <w:tcPr>
                  <w:tcW w:w="1602" w:type="dxa"/>
                  <w:tcBorders>
                    <w:tl2br w:val="nil"/>
                    <w:tr2bl w:val="nil"/>
                  </w:tcBorders>
                  <w:shd w:val="clear" w:color="auto" w:fill="auto"/>
                  <w:vAlign w:val="center"/>
                </w:tcPr>
                <w:p w14:paraId="76D8E4A8">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布袋除尘器</w:t>
                  </w:r>
                </w:p>
              </w:tc>
              <w:tc>
                <w:tcPr>
                  <w:tcW w:w="2480" w:type="dxa"/>
                  <w:tcBorders>
                    <w:tl2br w:val="nil"/>
                    <w:tr2bl w:val="nil"/>
                  </w:tcBorders>
                  <w:shd w:val="clear" w:color="auto" w:fill="auto"/>
                  <w:vAlign w:val="center"/>
                </w:tcPr>
                <w:p w14:paraId="790954E8">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w:t>
                  </w:r>
                </w:p>
              </w:tc>
              <w:tc>
                <w:tcPr>
                  <w:tcW w:w="663" w:type="dxa"/>
                  <w:tcBorders>
                    <w:tl2br w:val="nil"/>
                    <w:tr2bl w:val="nil"/>
                  </w:tcBorders>
                  <w:shd w:val="clear" w:color="auto" w:fill="auto"/>
                  <w:vAlign w:val="center"/>
                </w:tcPr>
                <w:p w14:paraId="6E2974B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台</w:t>
                  </w:r>
                </w:p>
              </w:tc>
              <w:tc>
                <w:tcPr>
                  <w:tcW w:w="662" w:type="dxa"/>
                  <w:tcBorders>
                    <w:tl2br w:val="nil"/>
                    <w:tr2bl w:val="nil"/>
                  </w:tcBorders>
                  <w:shd w:val="clear" w:color="auto" w:fill="auto"/>
                  <w:vAlign w:val="center"/>
                </w:tcPr>
                <w:p w14:paraId="3F0C8E0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1</w:t>
                  </w:r>
                </w:p>
              </w:tc>
              <w:tc>
                <w:tcPr>
                  <w:tcW w:w="1593" w:type="dxa"/>
                  <w:tcBorders>
                    <w:tl2br w:val="nil"/>
                    <w:tr2bl w:val="nil"/>
                  </w:tcBorders>
                  <w:shd w:val="clear" w:color="auto" w:fill="auto"/>
                  <w:vAlign w:val="center"/>
                </w:tcPr>
                <w:p w14:paraId="0BD39D8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kern w:val="2"/>
                      <w:sz w:val="21"/>
                      <w:szCs w:val="21"/>
                      <w:highlight w:val="none"/>
                      <w:u w:val="none" w:color="auto"/>
                      <w:lang w:val="en-US" w:eastAsia="zh-CN" w:bidi="ar-SA"/>
                    </w:rPr>
                  </w:pPr>
                  <w:r>
                    <w:rPr>
                      <w:rFonts w:hint="default" w:ascii="Times New Roman" w:hAnsi="Times New Roman" w:eastAsia="宋体" w:cs="Times New Roman"/>
                      <w:color w:val="auto"/>
                      <w:spacing w:val="7"/>
                      <w:sz w:val="21"/>
                      <w:szCs w:val="21"/>
                      <w:highlight w:val="none"/>
                      <w:u w:val="none" w:color="auto"/>
                    </w:rPr>
                    <w:t>烘干场地</w:t>
                  </w:r>
                </w:p>
              </w:tc>
            </w:tr>
            <w:tr w14:paraId="7963583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828" w:type="dxa"/>
                  <w:tcBorders>
                    <w:tl2br w:val="nil"/>
                    <w:tr2bl w:val="nil"/>
                  </w:tcBorders>
                  <w:shd w:val="clear" w:color="auto" w:fill="auto"/>
                  <w:vAlign w:val="center"/>
                </w:tcPr>
                <w:p w14:paraId="7DCD3EB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cs="Times New Roman"/>
                      <w:color w:val="auto"/>
                      <w:kern w:val="2"/>
                      <w:sz w:val="21"/>
                      <w:szCs w:val="21"/>
                      <w:u w:val="none" w:color="auto"/>
                      <w:lang w:val="en-US" w:eastAsia="zh-CN" w:bidi="ar-SA"/>
                    </w:rPr>
                  </w:pPr>
                  <w:r>
                    <w:rPr>
                      <w:rFonts w:hint="eastAsia" w:cs="Times New Roman"/>
                      <w:color w:val="auto"/>
                      <w:kern w:val="2"/>
                      <w:sz w:val="21"/>
                      <w:szCs w:val="21"/>
                      <w:u w:val="none" w:color="auto"/>
                      <w:lang w:val="en-US" w:eastAsia="zh-CN" w:bidi="ar-SA"/>
                    </w:rPr>
                    <w:t>19</w:t>
                  </w:r>
                </w:p>
              </w:tc>
              <w:tc>
                <w:tcPr>
                  <w:tcW w:w="1602" w:type="dxa"/>
                  <w:tcBorders>
                    <w:tl2br w:val="nil"/>
                    <w:tr2bl w:val="nil"/>
                  </w:tcBorders>
                  <w:shd w:val="clear" w:color="auto" w:fill="auto"/>
                  <w:vAlign w:val="center"/>
                </w:tcPr>
                <w:p w14:paraId="28F0AF6E">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7"/>
                      <w:sz w:val="21"/>
                      <w:szCs w:val="21"/>
                      <w:highlight w:val="none"/>
                      <w:u w:val="none" w:color="auto"/>
                      <w:lang w:eastAsia="zh-CN"/>
                    </w:rPr>
                  </w:pPr>
                  <w:r>
                    <w:rPr>
                      <w:rFonts w:hint="eastAsia" w:cs="Times New Roman"/>
                      <w:color w:val="auto"/>
                      <w:spacing w:val="7"/>
                      <w:sz w:val="21"/>
                      <w:szCs w:val="21"/>
                      <w:highlight w:val="none"/>
                      <w:u w:val="none" w:color="auto"/>
                      <w:lang w:eastAsia="zh-CN"/>
                    </w:rPr>
                    <w:t>铲车</w:t>
                  </w:r>
                </w:p>
              </w:tc>
              <w:tc>
                <w:tcPr>
                  <w:tcW w:w="2480" w:type="dxa"/>
                  <w:tcBorders>
                    <w:tl2br w:val="nil"/>
                    <w:tr2bl w:val="nil"/>
                  </w:tcBorders>
                  <w:shd w:val="clear" w:color="auto" w:fill="auto"/>
                  <w:vAlign w:val="center"/>
                </w:tcPr>
                <w:p w14:paraId="26C1D7D7">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w:t>
                  </w:r>
                </w:p>
              </w:tc>
              <w:tc>
                <w:tcPr>
                  <w:tcW w:w="663" w:type="dxa"/>
                  <w:tcBorders>
                    <w:tl2br w:val="nil"/>
                    <w:tr2bl w:val="nil"/>
                  </w:tcBorders>
                  <w:shd w:val="clear" w:color="auto" w:fill="auto"/>
                  <w:vAlign w:val="center"/>
                </w:tcPr>
                <w:p w14:paraId="0FA3036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7"/>
                      <w:sz w:val="21"/>
                      <w:szCs w:val="21"/>
                      <w:highlight w:val="none"/>
                      <w:u w:val="none" w:color="auto"/>
                      <w:lang w:eastAsia="zh-CN"/>
                    </w:rPr>
                  </w:pPr>
                  <w:r>
                    <w:rPr>
                      <w:rFonts w:hint="eastAsia" w:cs="Times New Roman"/>
                      <w:color w:val="auto"/>
                      <w:spacing w:val="7"/>
                      <w:sz w:val="21"/>
                      <w:szCs w:val="21"/>
                      <w:highlight w:val="none"/>
                      <w:u w:val="none" w:color="auto"/>
                      <w:lang w:eastAsia="zh-CN"/>
                    </w:rPr>
                    <w:t>台</w:t>
                  </w:r>
                </w:p>
              </w:tc>
              <w:tc>
                <w:tcPr>
                  <w:tcW w:w="662" w:type="dxa"/>
                  <w:tcBorders>
                    <w:tl2br w:val="nil"/>
                    <w:tr2bl w:val="nil"/>
                  </w:tcBorders>
                  <w:shd w:val="clear" w:color="auto" w:fill="auto"/>
                  <w:vAlign w:val="center"/>
                </w:tcPr>
                <w:p w14:paraId="35EB475C">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color w:val="auto"/>
                      <w:spacing w:val="7"/>
                      <w:sz w:val="21"/>
                      <w:szCs w:val="21"/>
                      <w:highlight w:val="none"/>
                      <w:u w:val="none" w:color="auto"/>
                      <w:lang w:val="en-US" w:eastAsia="zh-CN"/>
                    </w:rPr>
                  </w:pPr>
                  <w:r>
                    <w:rPr>
                      <w:rFonts w:hint="eastAsia" w:cs="Times New Roman"/>
                      <w:color w:val="auto"/>
                      <w:spacing w:val="7"/>
                      <w:sz w:val="21"/>
                      <w:szCs w:val="21"/>
                      <w:highlight w:val="none"/>
                      <w:u w:val="none" w:color="auto"/>
                      <w:lang w:val="en-US" w:eastAsia="zh-CN"/>
                    </w:rPr>
                    <w:t>2</w:t>
                  </w:r>
                </w:p>
              </w:tc>
              <w:tc>
                <w:tcPr>
                  <w:tcW w:w="1593" w:type="dxa"/>
                  <w:tcBorders>
                    <w:tl2br w:val="nil"/>
                    <w:tr2bl w:val="nil"/>
                  </w:tcBorders>
                  <w:shd w:val="clear" w:color="auto" w:fill="auto"/>
                  <w:vAlign w:val="center"/>
                </w:tcPr>
                <w:p w14:paraId="7326C6F3">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sz w:val="21"/>
                      <w:szCs w:val="21"/>
                      <w:highlight w:val="none"/>
                      <w:u w:val="none" w:color="auto"/>
                    </w:rPr>
                  </w:pPr>
                  <w:r>
                    <w:rPr>
                      <w:rFonts w:hint="default" w:ascii="Times New Roman" w:hAnsi="Times New Roman" w:eastAsia="宋体" w:cs="Times New Roman"/>
                      <w:color w:val="auto"/>
                      <w:spacing w:val="7"/>
                      <w:sz w:val="21"/>
                      <w:szCs w:val="21"/>
                      <w:highlight w:val="none"/>
                      <w:u w:val="none" w:color="auto"/>
                    </w:rPr>
                    <w:t>烘干场地</w:t>
                  </w:r>
                </w:p>
              </w:tc>
            </w:tr>
          </w:tbl>
          <w:p w14:paraId="511636C2">
            <w:pPr>
              <w:keepNext w:val="0"/>
              <w:keepLines w:val="0"/>
              <w:widowControl/>
              <w:suppressLineNumbers w:val="0"/>
              <w:jc w:val="center"/>
              <w:rPr>
                <w:rFonts w:hint="eastAsia" w:ascii="宋体" w:hAnsi="宋体" w:eastAsia="宋体" w:cs="宋体"/>
                <w:b/>
                <w:bCs/>
                <w:color w:val="auto"/>
                <w:kern w:val="0"/>
                <w:sz w:val="24"/>
                <w:szCs w:val="24"/>
                <w:highlight w:val="none"/>
                <w:u w:val="none" w:color="auto"/>
                <w:lang w:val="en-US" w:eastAsia="zh-CN" w:bidi="ar"/>
              </w:rPr>
            </w:pPr>
          </w:p>
          <w:p w14:paraId="2E51C59C">
            <w:pPr>
              <w:spacing w:line="360" w:lineRule="auto"/>
              <w:rPr>
                <w:rFonts w:hint="eastAsia"/>
                <w:b/>
                <w:color w:val="auto"/>
                <w:sz w:val="24"/>
                <w:highlight w:val="none"/>
                <w:u w:val="none" w:color="auto"/>
              </w:rPr>
            </w:pPr>
            <w:r>
              <w:rPr>
                <w:rFonts w:hint="eastAsia"/>
                <w:b/>
                <w:color w:val="auto"/>
                <w:sz w:val="24"/>
                <w:highlight w:val="none"/>
                <w:u w:val="none" w:color="auto"/>
                <w:lang w:val="en-US" w:eastAsia="zh-CN"/>
              </w:rPr>
              <w:t>2.6</w:t>
            </w:r>
            <w:r>
              <w:rPr>
                <w:rFonts w:hint="eastAsia"/>
                <w:b/>
                <w:color w:val="auto"/>
                <w:sz w:val="24"/>
                <w:highlight w:val="none"/>
                <w:u w:val="none" w:color="auto"/>
              </w:rPr>
              <w:t>平面布局</w:t>
            </w:r>
          </w:p>
          <w:p w14:paraId="16DD6596">
            <w:pPr>
              <w:pStyle w:val="48"/>
              <w:widowControl w:val="0"/>
              <w:overflowPunct w:val="0"/>
              <w:spacing w:line="360" w:lineRule="auto"/>
              <w:ind w:firstLine="504"/>
              <w:jc w:val="both"/>
              <w:rPr>
                <w:rFonts w:hint="eastAsia" w:ascii="Times New Roman" w:hAnsi="Times New Roman" w:eastAsia="宋体" w:cs="Times New Roman"/>
                <w:color w:val="auto"/>
                <w:szCs w:val="22"/>
                <w:highlight w:val="yellow"/>
                <w:u w:val="none" w:color="auto"/>
                <w:lang w:eastAsia="zh-CN"/>
              </w:rPr>
            </w:pPr>
            <w:r>
              <w:rPr>
                <w:rFonts w:hint="eastAsia" w:ascii="Times New Roman" w:hAnsi="Times New Roman" w:eastAsia="宋体" w:cs="Times New Roman"/>
                <w:color w:val="auto"/>
                <w:szCs w:val="22"/>
                <w:highlight w:val="none"/>
                <w:u w:val="none" w:color="auto"/>
                <w:lang w:eastAsia="zh-CN"/>
              </w:rPr>
              <w:t>项目建设地点位于吉林市永吉县双河镇</w:t>
            </w:r>
            <w:r>
              <w:rPr>
                <w:rFonts w:hint="eastAsia" w:ascii="Times New Roman" w:hAnsi="Times New Roman" w:cs="Times New Roman"/>
                <w:color w:val="auto"/>
                <w:szCs w:val="22"/>
                <w:highlight w:val="none"/>
                <w:u w:val="none" w:color="auto"/>
                <w:lang w:eastAsia="zh-CN"/>
              </w:rPr>
              <w:t>铁南路南侧</w:t>
            </w:r>
            <w:r>
              <w:rPr>
                <w:rFonts w:hint="eastAsia" w:ascii="Times New Roman" w:hAnsi="Times New Roman" w:eastAsia="宋体" w:cs="Times New Roman"/>
                <w:color w:val="auto"/>
                <w:szCs w:val="22"/>
                <w:highlight w:val="none"/>
                <w:u w:val="none" w:color="auto"/>
                <w:lang w:eastAsia="zh-CN"/>
              </w:rPr>
              <w:t>，总占地面积</w:t>
            </w:r>
            <w:r>
              <w:rPr>
                <w:rFonts w:hint="eastAsia" w:ascii="Times New Roman" w:hAnsi="Times New Roman" w:cs="Times New Roman"/>
                <w:color w:val="auto"/>
                <w:szCs w:val="22"/>
                <w:highlight w:val="none"/>
                <w:u w:val="none" w:color="auto"/>
                <w:lang w:val="en-US" w:eastAsia="zh-CN"/>
              </w:rPr>
              <w:t>3862</w:t>
            </w:r>
            <w:r>
              <w:rPr>
                <w:rFonts w:hint="eastAsia" w:ascii="Times New Roman" w:hAnsi="Times New Roman" w:eastAsia="宋体" w:cs="Times New Roman"/>
                <w:color w:val="auto"/>
                <w:szCs w:val="22"/>
                <w:highlight w:val="none"/>
                <w:u w:val="none" w:color="auto"/>
                <w:lang w:eastAsia="zh-CN"/>
              </w:rPr>
              <w:t>m</w:t>
            </w:r>
            <w:r>
              <w:rPr>
                <w:rFonts w:hint="eastAsia" w:ascii="Times New Roman" w:hAnsi="Times New Roman" w:cs="Times New Roman"/>
                <w:color w:val="auto"/>
                <w:szCs w:val="22"/>
                <w:highlight w:val="none"/>
                <w:u w:val="none" w:color="auto"/>
                <w:vertAlign w:val="superscript"/>
                <w:lang w:val="en-US" w:eastAsia="zh-CN"/>
              </w:rPr>
              <w:t>2</w:t>
            </w:r>
            <w:r>
              <w:rPr>
                <w:rFonts w:hint="eastAsia" w:ascii="Times New Roman" w:hAnsi="Times New Roman" w:cs="Times New Roman"/>
                <w:color w:val="auto"/>
                <w:szCs w:val="22"/>
                <w:highlight w:val="none"/>
                <w:u w:val="none" w:color="auto"/>
                <w:lang w:eastAsia="zh-CN"/>
              </w:rPr>
              <w:t>，</w:t>
            </w:r>
            <w:r>
              <w:rPr>
                <w:rFonts w:hint="eastAsia" w:cs="Times New Roman"/>
                <w:color w:val="auto"/>
                <w:kern w:val="0"/>
                <w:sz w:val="24"/>
                <w:szCs w:val="24"/>
                <w:highlight w:val="none"/>
                <w:u w:val="single" w:color="auto"/>
                <w:lang w:eastAsia="zh-CN"/>
              </w:rPr>
              <w:t>厂区东侧为空地，隔空地为农田，</w:t>
            </w:r>
            <w:r>
              <w:rPr>
                <w:rFonts w:hint="default" w:ascii="Times New Roman" w:hAnsi="Times New Roman" w:cs="Times New Roman"/>
                <w:color w:val="auto"/>
                <w:kern w:val="0"/>
                <w:sz w:val="24"/>
                <w:szCs w:val="24"/>
                <w:highlight w:val="none"/>
                <w:u w:val="single" w:color="auto"/>
                <w:lang w:eastAsia="zh-CN"/>
              </w:rPr>
              <w:t>南侧为农田</w:t>
            </w:r>
            <w:r>
              <w:rPr>
                <w:rFonts w:hint="eastAsia" w:ascii="Times New Roman" w:hAnsi="Times New Roman" w:cs="Times New Roman"/>
                <w:color w:val="auto"/>
                <w:kern w:val="0"/>
                <w:sz w:val="24"/>
                <w:szCs w:val="24"/>
                <w:highlight w:val="none"/>
                <w:u w:val="single" w:color="auto"/>
                <w:lang w:eastAsia="zh-CN"/>
              </w:rPr>
              <w:t>，西侧为双河镇村仓库，隔仓库为农田和</w:t>
            </w:r>
            <w:r>
              <w:rPr>
                <w:rFonts w:hint="default" w:ascii="Times New Roman" w:hAnsi="Times New Roman" w:cs="Times New Roman"/>
                <w:color w:val="auto"/>
                <w:kern w:val="0"/>
                <w:sz w:val="24"/>
                <w:szCs w:val="24"/>
                <w:highlight w:val="none"/>
                <w:u w:val="single" w:color="auto"/>
                <w:lang w:eastAsia="zh-CN"/>
              </w:rPr>
              <w:t>永吉县君衡木材加工有限公司</w:t>
            </w:r>
            <w:r>
              <w:rPr>
                <w:rFonts w:hint="eastAsia" w:cs="Times New Roman"/>
                <w:color w:val="auto"/>
                <w:kern w:val="0"/>
                <w:sz w:val="24"/>
                <w:szCs w:val="24"/>
                <w:highlight w:val="none"/>
                <w:u w:val="single" w:color="auto"/>
                <w:lang w:eastAsia="zh-CN"/>
              </w:rPr>
              <w:t>（</w:t>
            </w:r>
            <w:r>
              <w:rPr>
                <w:rFonts w:hint="default" w:ascii="Times New Roman" w:hAnsi="Times New Roman" w:cs="Times New Roman"/>
                <w:color w:val="auto"/>
                <w:kern w:val="0"/>
                <w:sz w:val="24"/>
                <w:szCs w:val="24"/>
                <w:highlight w:val="none"/>
                <w:u w:val="single" w:color="auto"/>
                <w:lang w:eastAsia="zh-CN"/>
              </w:rPr>
              <w:t>已停产</w:t>
            </w:r>
            <w:r>
              <w:rPr>
                <w:rFonts w:hint="eastAsia" w:cs="Times New Roman"/>
                <w:color w:val="auto"/>
                <w:kern w:val="0"/>
                <w:sz w:val="24"/>
                <w:szCs w:val="24"/>
                <w:highlight w:val="none"/>
                <w:u w:val="single" w:color="auto"/>
                <w:lang w:eastAsia="zh-CN"/>
              </w:rPr>
              <w:t>）</w:t>
            </w:r>
            <w:r>
              <w:rPr>
                <w:rFonts w:hint="eastAsia" w:ascii="Times New Roman" w:hAnsi="Times New Roman" w:cs="Times New Roman"/>
                <w:color w:val="auto"/>
                <w:kern w:val="0"/>
                <w:sz w:val="24"/>
                <w:szCs w:val="24"/>
                <w:highlight w:val="none"/>
                <w:u w:val="single" w:color="auto"/>
                <w:lang w:eastAsia="zh-CN"/>
              </w:rPr>
              <w:t>，</w:t>
            </w:r>
            <w:r>
              <w:rPr>
                <w:rFonts w:hint="eastAsia" w:cs="Times New Roman"/>
                <w:color w:val="auto"/>
                <w:kern w:val="0"/>
                <w:sz w:val="24"/>
                <w:szCs w:val="24"/>
                <w:highlight w:val="none"/>
                <w:u w:val="single" w:color="auto"/>
                <w:lang w:eastAsia="zh-CN"/>
              </w:rPr>
              <w:t>北侧</w:t>
            </w:r>
            <w:r>
              <w:rPr>
                <w:rFonts w:hint="default" w:ascii="Times New Roman" w:hAnsi="Times New Roman" w:cs="Times New Roman"/>
                <w:color w:val="auto"/>
                <w:kern w:val="0"/>
                <w:sz w:val="24"/>
                <w:szCs w:val="24"/>
                <w:highlight w:val="none"/>
                <w:u w:val="single" w:color="auto"/>
                <w:lang w:eastAsia="zh-CN"/>
              </w:rPr>
              <w:t>为</w:t>
            </w:r>
            <w:r>
              <w:rPr>
                <w:rFonts w:hint="eastAsia" w:cs="Times New Roman"/>
                <w:color w:val="auto"/>
                <w:kern w:val="0"/>
                <w:sz w:val="24"/>
                <w:szCs w:val="24"/>
                <w:highlight w:val="none"/>
                <w:u w:val="single" w:color="auto"/>
                <w:lang w:eastAsia="zh-CN"/>
              </w:rPr>
              <w:t>空地，</w:t>
            </w:r>
            <w:r>
              <w:rPr>
                <w:rFonts w:hint="eastAsia" w:ascii="Times New Roman" w:hAnsi="Times New Roman" w:cs="Times New Roman"/>
                <w:color w:val="auto"/>
                <w:kern w:val="0"/>
                <w:sz w:val="24"/>
                <w:szCs w:val="24"/>
                <w:highlight w:val="none"/>
                <w:u w:val="single" w:color="auto"/>
                <w:lang w:eastAsia="zh-CN"/>
              </w:rPr>
              <w:t>隔空地为双河镇铁南路和双河镇铁路。</w:t>
            </w:r>
          </w:p>
          <w:p w14:paraId="4C3FCD73">
            <w:pPr>
              <w:pStyle w:val="48"/>
              <w:widowControl w:val="0"/>
              <w:overflowPunct w:val="0"/>
              <w:ind w:firstLine="504"/>
              <w:jc w:val="both"/>
              <w:rPr>
                <w:rFonts w:hint="eastAsia" w:ascii="Times New Roman" w:hAnsi="Times New Roman" w:eastAsia="宋体" w:cs="Times New Roman"/>
                <w:color w:val="auto"/>
                <w:szCs w:val="22"/>
                <w:highlight w:val="none"/>
                <w:u w:val="none" w:color="auto"/>
                <w:lang w:eastAsia="zh-CN"/>
              </w:rPr>
            </w:pPr>
            <w:r>
              <w:rPr>
                <w:rFonts w:hint="eastAsia" w:ascii="Times New Roman" w:hAnsi="Times New Roman" w:eastAsia="宋体" w:cs="Times New Roman"/>
                <w:color w:val="auto"/>
                <w:szCs w:val="22"/>
                <w:highlight w:val="none"/>
                <w:u w:val="none" w:color="auto"/>
                <w:lang w:eastAsia="zh-CN"/>
              </w:rPr>
              <w:t>项目厂区总体呈方形，</w:t>
            </w:r>
            <w:r>
              <w:rPr>
                <w:rFonts w:hint="eastAsia" w:ascii="Times New Roman" w:hAnsi="Times New Roman" w:cs="Times New Roman"/>
                <w:color w:val="auto"/>
                <w:szCs w:val="22"/>
                <w:highlight w:val="none"/>
                <w:u w:val="none" w:color="auto"/>
                <w:lang w:eastAsia="zh-CN"/>
              </w:rPr>
              <w:t>原料进出通过</w:t>
            </w:r>
            <w:r>
              <w:rPr>
                <w:rFonts w:hint="eastAsia" w:ascii="Times New Roman" w:hAnsi="Times New Roman" w:eastAsia="宋体" w:cs="Times New Roman"/>
                <w:color w:val="auto"/>
                <w:szCs w:val="22"/>
                <w:highlight w:val="none"/>
                <w:u w:val="none" w:color="auto"/>
                <w:lang w:eastAsia="zh-CN"/>
              </w:rPr>
              <w:t>厂区北侧</w:t>
            </w:r>
            <w:r>
              <w:rPr>
                <w:rFonts w:hint="eastAsia" w:ascii="Times New Roman" w:hAnsi="Times New Roman" w:cs="Times New Roman"/>
                <w:color w:val="auto"/>
                <w:szCs w:val="22"/>
                <w:highlight w:val="none"/>
                <w:u w:val="none" w:color="auto"/>
                <w:lang w:eastAsia="zh-CN"/>
              </w:rPr>
              <w:t>铁南路，</w:t>
            </w:r>
            <w:r>
              <w:rPr>
                <w:rFonts w:hint="eastAsia" w:ascii="Times New Roman" w:hAnsi="Times New Roman" w:eastAsia="宋体" w:cs="Times New Roman"/>
                <w:color w:val="auto"/>
                <w:szCs w:val="22"/>
                <w:highlight w:val="none"/>
                <w:u w:val="none" w:color="auto"/>
                <w:lang w:eastAsia="zh-CN"/>
              </w:rPr>
              <w:t>潮粮仓及烘干塔位于</w:t>
            </w:r>
            <w:r>
              <w:rPr>
                <w:rFonts w:hint="eastAsia" w:ascii="Times New Roman" w:hAnsi="Times New Roman" w:cs="Times New Roman"/>
                <w:color w:val="auto"/>
                <w:szCs w:val="22"/>
                <w:highlight w:val="none"/>
                <w:u w:val="none" w:color="auto"/>
                <w:lang w:val="en-US" w:eastAsia="zh-CN"/>
              </w:rPr>
              <w:t>厂区中部</w:t>
            </w:r>
            <w:r>
              <w:rPr>
                <w:rFonts w:hint="eastAsia" w:ascii="Times New Roman" w:hAnsi="Times New Roman" w:eastAsia="宋体" w:cs="Times New Roman"/>
                <w:color w:val="auto"/>
                <w:szCs w:val="22"/>
                <w:highlight w:val="none"/>
                <w:u w:val="none" w:color="auto"/>
                <w:lang w:eastAsia="zh-CN"/>
              </w:rPr>
              <w:t>。进场湿粮可临时堆放在</w:t>
            </w:r>
            <w:r>
              <w:rPr>
                <w:rFonts w:hint="eastAsia" w:ascii="Times New Roman" w:hAnsi="Times New Roman" w:cs="Times New Roman"/>
                <w:color w:val="auto"/>
                <w:szCs w:val="22"/>
                <w:highlight w:val="none"/>
                <w:u w:val="none" w:color="auto"/>
                <w:lang w:eastAsia="zh-CN"/>
              </w:rPr>
              <w:t>晾晒场并用苫布苫盖</w:t>
            </w:r>
            <w:r>
              <w:rPr>
                <w:rFonts w:hint="eastAsia" w:ascii="Times New Roman" w:hAnsi="Times New Roman" w:eastAsia="宋体" w:cs="Times New Roman"/>
                <w:color w:val="auto"/>
                <w:szCs w:val="22"/>
                <w:highlight w:val="none"/>
                <w:u w:val="none" w:color="auto"/>
                <w:lang w:eastAsia="zh-CN"/>
              </w:rPr>
              <w:t>，逐步送往生产线进行筛分、烘干。</w:t>
            </w:r>
          </w:p>
          <w:p w14:paraId="459D3EF7">
            <w:pPr>
              <w:pStyle w:val="48"/>
              <w:widowControl w:val="0"/>
              <w:overflowPunct w:val="0"/>
              <w:spacing w:line="360" w:lineRule="auto"/>
              <w:ind w:firstLine="504"/>
              <w:jc w:val="both"/>
              <w:rPr>
                <w:rFonts w:hint="eastAsia" w:ascii="Times New Roman" w:hAnsi="Times New Roman" w:eastAsia="宋体" w:cs="Times New Roman"/>
                <w:color w:val="auto"/>
                <w:szCs w:val="22"/>
                <w:highlight w:val="none"/>
                <w:u w:val="none" w:color="auto"/>
                <w:lang w:eastAsia="zh-CN"/>
              </w:rPr>
            </w:pPr>
            <w:r>
              <w:rPr>
                <w:rFonts w:hint="eastAsia" w:ascii="Times New Roman" w:hAnsi="Times New Roman" w:eastAsia="宋体" w:cs="Times New Roman"/>
                <w:color w:val="auto"/>
                <w:szCs w:val="22"/>
                <w:highlight w:val="none"/>
                <w:u w:val="none" w:color="auto"/>
                <w:lang w:eastAsia="zh-CN"/>
              </w:rPr>
              <w:t>项目平面布局因地制宜、紧密连续，各工段有效衔接，紧凑合理，节省土地资源，且能满足生产工艺需求，详见附图</w:t>
            </w:r>
            <w:r>
              <w:rPr>
                <w:rFonts w:hint="eastAsia" w:ascii="Times New Roman" w:hAnsi="Times New Roman" w:cs="Times New Roman"/>
                <w:color w:val="auto"/>
                <w:szCs w:val="22"/>
                <w:highlight w:val="none"/>
                <w:u w:val="none" w:color="auto"/>
                <w:lang w:val="en-US" w:eastAsia="zh-CN"/>
              </w:rPr>
              <w:t>3</w:t>
            </w:r>
            <w:r>
              <w:rPr>
                <w:rFonts w:hint="eastAsia" w:ascii="Times New Roman" w:hAnsi="Times New Roman" w:eastAsia="宋体" w:cs="Times New Roman"/>
                <w:color w:val="auto"/>
                <w:szCs w:val="22"/>
                <w:highlight w:val="none"/>
                <w:u w:val="none" w:color="auto"/>
                <w:lang w:eastAsia="zh-CN"/>
              </w:rPr>
              <w:t>。</w:t>
            </w:r>
          </w:p>
          <w:p w14:paraId="0D02AF94">
            <w:pPr>
              <w:spacing w:line="360" w:lineRule="auto"/>
              <w:rPr>
                <w:rFonts w:hint="eastAsia"/>
                <w:b/>
                <w:color w:val="auto"/>
                <w:sz w:val="24"/>
                <w:highlight w:val="none"/>
                <w:u w:val="none" w:color="auto"/>
              </w:rPr>
            </w:pPr>
            <w:r>
              <w:rPr>
                <w:rFonts w:hint="eastAsia"/>
                <w:b/>
                <w:color w:val="auto"/>
                <w:sz w:val="24"/>
                <w:highlight w:val="none"/>
                <w:u w:val="none" w:color="auto"/>
                <w:lang w:val="en-US" w:eastAsia="zh-CN"/>
              </w:rPr>
              <w:t>2.7</w:t>
            </w:r>
            <w:r>
              <w:rPr>
                <w:rFonts w:hint="eastAsia"/>
                <w:b/>
                <w:color w:val="auto"/>
                <w:sz w:val="24"/>
                <w:highlight w:val="none"/>
                <w:u w:val="none" w:color="auto"/>
              </w:rPr>
              <w:t>劳动定员及工作制度</w:t>
            </w:r>
          </w:p>
          <w:p w14:paraId="43F8A611">
            <w:pPr>
              <w:pStyle w:val="48"/>
              <w:widowControl w:val="0"/>
              <w:overflowPunct w:val="0"/>
              <w:spacing w:line="360" w:lineRule="auto"/>
              <w:ind w:firstLine="504"/>
              <w:jc w:val="both"/>
              <w:rPr>
                <w:rFonts w:hint="eastAsia" w:ascii="Times New Roman" w:hAnsi="Times New Roman" w:cs="Times New Roman"/>
                <w:color w:val="auto"/>
                <w:szCs w:val="22"/>
                <w:highlight w:val="none"/>
                <w:u w:val="none" w:color="auto"/>
              </w:rPr>
            </w:pPr>
            <w:r>
              <w:rPr>
                <w:rFonts w:hint="eastAsia" w:ascii="Times New Roman" w:hAnsi="Times New Roman" w:cs="Times New Roman"/>
                <w:color w:val="auto"/>
                <w:szCs w:val="22"/>
                <w:highlight w:val="none"/>
                <w:u w:val="none" w:color="auto"/>
              </w:rPr>
              <w:t>本项目</w:t>
            </w:r>
            <w:r>
              <w:rPr>
                <w:rFonts w:hint="eastAsia" w:ascii="Times New Roman" w:hAnsi="Times New Roman" w:cs="Times New Roman"/>
                <w:color w:val="auto"/>
                <w:szCs w:val="22"/>
                <w:highlight w:val="none"/>
                <w:u w:val="none" w:color="auto"/>
                <w:lang w:eastAsia="zh-CN"/>
              </w:rPr>
              <w:t>运营期劳动定员</w:t>
            </w:r>
            <w:r>
              <w:rPr>
                <w:rFonts w:hint="eastAsia" w:ascii="Times New Roman" w:hAnsi="Times New Roman" w:cs="Times New Roman"/>
                <w:color w:val="auto"/>
                <w:szCs w:val="22"/>
                <w:highlight w:val="none"/>
                <w:u w:val="none" w:color="auto"/>
                <w:lang w:val="en-US" w:eastAsia="zh-CN"/>
              </w:rPr>
              <w:t>10</w:t>
            </w:r>
            <w:r>
              <w:rPr>
                <w:rFonts w:hint="eastAsia" w:ascii="Times New Roman" w:hAnsi="Times New Roman" w:cs="Times New Roman"/>
                <w:color w:val="auto"/>
                <w:szCs w:val="22"/>
                <w:highlight w:val="none"/>
                <w:u w:val="none" w:color="auto"/>
              </w:rPr>
              <w:t>人</w:t>
            </w:r>
            <w:r>
              <w:rPr>
                <w:rFonts w:hint="eastAsia" w:ascii="Times New Roman" w:hAnsi="Times New Roman" w:cs="Times New Roman"/>
                <w:color w:val="auto"/>
                <w:szCs w:val="22"/>
                <w:highlight w:val="none"/>
                <w:u w:val="none" w:color="auto"/>
                <w:lang w:eastAsia="zh-CN"/>
              </w:rPr>
              <w:t>，</w:t>
            </w:r>
            <w:r>
              <w:rPr>
                <w:rFonts w:hint="eastAsia" w:ascii="Times New Roman" w:hAnsi="Times New Roman" w:cs="Times New Roman"/>
                <w:color w:val="auto"/>
                <w:szCs w:val="22"/>
                <w:highlight w:val="none"/>
                <w:u w:val="none" w:color="auto"/>
                <w:lang w:val="en-US" w:eastAsia="zh-CN"/>
              </w:rPr>
              <w:t>为双河镇附近居民，</w:t>
            </w:r>
            <w:r>
              <w:rPr>
                <w:rFonts w:hint="eastAsia" w:ascii="Times New Roman" w:hAnsi="Times New Roman" w:cs="Times New Roman"/>
                <w:color w:val="auto"/>
                <w:szCs w:val="22"/>
                <w:highlight w:val="none"/>
                <w:u w:val="none" w:color="auto"/>
                <w:lang w:eastAsia="zh-CN"/>
              </w:rPr>
              <w:t>均不在厂内食宿</w:t>
            </w:r>
            <w:r>
              <w:rPr>
                <w:rFonts w:hint="eastAsia" w:ascii="Times New Roman" w:hAnsi="Times New Roman" w:cs="Times New Roman"/>
                <w:color w:val="auto"/>
                <w:szCs w:val="22"/>
                <w:highlight w:val="none"/>
                <w:u w:val="none" w:color="auto"/>
              </w:rPr>
              <w:t>。</w:t>
            </w:r>
            <w:r>
              <w:rPr>
                <w:rFonts w:hint="eastAsia" w:ascii="Times New Roman" w:hAnsi="Times New Roman" w:cs="Times New Roman"/>
                <w:color w:val="auto"/>
                <w:szCs w:val="22"/>
                <w:highlight w:val="none"/>
                <w:u w:val="none" w:color="auto"/>
                <w:lang w:eastAsia="zh-CN"/>
              </w:rPr>
              <w:t>受生产原料</w:t>
            </w:r>
            <w:r>
              <w:rPr>
                <w:rFonts w:hint="eastAsia" w:ascii="Times New Roman" w:hAnsi="Times New Roman" w:cs="Times New Roman"/>
                <w:color w:val="auto"/>
                <w:szCs w:val="22"/>
                <w:highlight w:val="none"/>
                <w:u w:val="none" w:color="auto"/>
                <w:lang w:val="en-US" w:eastAsia="zh-CN"/>
              </w:rPr>
              <w:t>收购情况</w:t>
            </w:r>
            <w:r>
              <w:rPr>
                <w:rFonts w:hint="eastAsia" w:ascii="Times New Roman" w:hAnsi="Times New Roman" w:cs="Times New Roman"/>
                <w:color w:val="auto"/>
                <w:szCs w:val="22"/>
                <w:highlight w:val="none"/>
                <w:u w:val="none" w:color="auto"/>
                <w:lang w:eastAsia="zh-CN"/>
              </w:rPr>
              <w:t>影响，本项目实行综合工作制（阶段性昼夜连续生产），</w:t>
            </w:r>
            <w:r>
              <w:rPr>
                <w:rFonts w:hint="eastAsia" w:ascii="Times New Roman" w:hAnsi="Times New Roman" w:cs="Times New Roman"/>
                <w:color w:val="auto"/>
                <w:szCs w:val="22"/>
                <w:highlight w:val="none"/>
                <w:u w:val="none" w:color="auto"/>
                <w:lang w:val="en-US" w:eastAsia="zh-CN"/>
              </w:rPr>
              <w:t>年烘干时间1200h</w:t>
            </w:r>
            <w:r>
              <w:rPr>
                <w:rFonts w:hint="eastAsia" w:ascii="Times New Roman" w:hAnsi="Times New Roman" w:cs="Times New Roman"/>
                <w:color w:val="auto"/>
                <w:szCs w:val="22"/>
                <w:highlight w:val="none"/>
                <w:u w:val="none" w:color="auto"/>
                <w:lang w:eastAsia="zh-CN"/>
              </w:rPr>
              <w:t>，</w:t>
            </w:r>
            <w:r>
              <w:rPr>
                <w:rFonts w:hint="eastAsia" w:ascii="Times New Roman" w:hAnsi="Times New Roman" w:cs="Times New Roman"/>
                <w:color w:val="auto"/>
                <w:szCs w:val="22"/>
                <w:highlight w:val="none"/>
                <w:u w:val="none" w:color="auto"/>
              </w:rPr>
              <w:t>工作</w:t>
            </w:r>
            <w:r>
              <w:rPr>
                <w:rFonts w:hint="eastAsia" w:ascii="Times New Roman" w:hAnsi="Times New Roman" w:cs="Times New Roman"/>
                <w:color w:val="auto"/>
                <w:szCs w:val="22"/>
                <w:highlight w:val="none"/>
                <w:u w:val="none" w:color="auto"/>
                <w:lang w:eastAsia="zh-CN"/>
              </w:rPr>
              <w:t>时间</w:t>
            </w:r>
            <w:r>
              <w:rPr>
                <w:rFonts w:hint="eastAsia" w:ascii="Times New Roman" w:hAnsi="Times New Roman" w:cs="Times New Roman"/>
                <w:color w:val="auto"/>
                <w:szCs w:val="22"/>
                <w:highlight w:val="none"/>
                <w:u w:val="none" w:color="auto"/>
                <w:lang w:val="en-US" w:eastAsia="zh-CN"/>
              </w:rPr>
              <w:t>50</w:t>
            </w:r>
            <w:r>
              <w:rPr>
                <w:rFonts w:hint="eastAsia" w:ascii="Times New Roman" w:hAnsi="Times New Roman" w:cs="Times New Roman"/>
                <w:color w:val="auto"/>
                <w:szCs w:val="22"/>
                <w:highlight w:val="none"/>
                <w:u w:val="none" w:color="auto"/>
              </w:rPr>
              <w:t>天</w:t>
            </w:r>
            <w:r>
              <w:rPr>
                <w:rFonts w:hint="eastAsia" w:ascii="Times New Roman" w:hAnsi="Times New Roman" w:cs="Times New Roman"/>
                <w:color w:val="auto"/>
                <w:szCs w:val="22"/>
                <w:highlight w:val="none"/>
                <w:u w:val="none" w:color="auto"/>
                <w:lang w:eastAsia="zh-CN"/>
              </w:rPr>
              <w:t>，每天</w:t>
            </w:r>
            <w:r>
              <w:rPr>
                <w:rFonts w:hint="eastAsia" w:ascii="Times New Roman" w:hAnsi="Times New Roman" w:cs="Times New Roman"/>
                <w:color w:val="auto"/>
                <w:szCs w:val="22"/>
                <w:highlight w:val="none"/>
                <w:u w:val="none" w:color="auto"/>
                <w:lang w:val="en-US" w:eastAsia="zh-CN"/>
              </w:rPr>
              <w:t>3</w:t>
            </w:r>
            <w:r>
              <w:rPr>
                <w:rFonts w:hint="eastAsia" w:ascii="Times New Roman" w:hAnsi="Times New Roman" w:cs="Times New Roman"/>
                <w:color w:val="auto"/>
                <w:szCs w:val="22"/>
                <w:highlight w:val="none"/>
                <w:u w:val="none" w:color="auto"/>
                <w:lang w:eastAsia="zh-CN"/>
              </w:rPr>
              <w:t>班，每班</w:t>
            </w:r>
            <w:r>
              <w:rPr>
                <w:rFonts w:hint="eastAsia" w:ascii="Times New Roman" w:hAnsi="Times New Roman" w:cs="Times New Roman"/>
                <w:color w:val="auto"/>
                <w:szCs w:val="22"/>
                <w:highlight w:val="none"/>
                <w:u w:val="none" w:color="auto"/>
                <w:lang w:val="en-US" w:eastAsia="zh-CN"/>
              </w:rPr>
              <w:t>8</w:t>
            </w:r>
            <w:r>
              <w:rPr>
                <w:rFonts w:hint="eastAsia" w:ascii="Times New Roman" w:hAnsi="Times New Roman" w:cs="Times New Roman"/>
                <w:color w:val="auto"/>
                <w:szCs w:val="22"/>
                <w:highlight w:val="none"/>
                <w:u w:val="none" w:color="auto"/>
                <w:lang w:eastAsia="zh-CN"/>
              </w:rPr>
              <w:t>h。</w:t>
            </w:r>
          </w:p>
          <w:p w14:paraId="2D51AF95">
            <w:pPr>
              <w:spacing w:line="360" w:lineRule="auto"/>
              <w:rPr>
                <w:b/>
                <w:color w:val="auto"/>
                <w:sz w:val="24"/>
                <w:highlight w:val="none"/>
                <w:u w:val="none" w:color="auto"/>
              </w:rPr>
            </w:pPr>
            <w:r>
              <w:rPr>
                <w:rFonts w:hint="eastAsia"/>
                <w:b/>
                <w:color w:val="auto"/>
                <w:sz w:val="24"/>
                <w:highlight w:val="none"/>
                <w:u w:val="none" w:color="auto"/>
                <w:lang w:val="en-US" w:eastAsia="zh-CN"/>
              </w:rPr>
              <w:t>2.8</w:t>
            </w:r>
            <w:r>
              <w:rPr>
                <w:rFonts w:hint="eastAsia"/>
                <w:b/>
                <w:color w:val="auto"/>
                <w:sz w:val="24"/>
                <w:highlight w:val="none"/>
                <w:u w:val="none" w:color="auto"/>
              </w:rPr>
              <w:t>公用工程</w:t>
            </w:r>
          </w:p>
          <w:p w14:paraId="49BB640B">
            <w:pPr>
              <w:pStyle w:val="48"/>
              <w:widowControl w:val="0"/>
              <w:overflowPunct w:val="0"/>
              <w:spacing w:line="360" w:lineRule="auto"/>
              <w:ind w:firstLine="504"/>
              <w:jc w:val="both"/>
              <w:rPr>
                <w:rFonts w:hint="default" w:ascii="Times New Roman" w:hAnsi="Times New Roman" w:eastAsia="宋体" w:cs="Times New Roman"/>
                <w:color w:val="auto"/>
                <w:szCs w:val="22"/>
                <w:highlight w:val="none"/>
                <w:u w:val="none" w:color="auto"/>
                <w:lang w:val="en-US" w:eastAsia="zh-CN"/>
              </w:rPr>
            </w:pPr>
            <w:r>
              <w:rPr>
                <w:rFonts w:hint="eastAsia" w:ascii="Times New Roman" w:hAnsi="Times New Roman" w:cs="Times New Roman"/>
                <w:color w:val="auto"/>
                <w:szCs w:val="22"/>
                <w:highlight w:val="none"/>
                <w:u w:val="none" w:color="auto"/>
                <w:lang w:val="en-US" w:eastAsia="zh-CN"/>
              </w:rPr>
              <w:t>1、水平衡</w:t>
            </w:r>
          </w:p>
          <w:p w14:paraId="27DFEE1D">
            <w:pPr>
              <w:pStyle w:val="48"/>
              <w:widowControl w:val="0"/>
              <w:overflowPunct w:val="0"/>
              <w:spacing w:line="360" w:lineRule="auto"/>
              <w:ind w:firstLine="504"/>
              <w:jc w:val="both"/>
              <w:rPr>
                <w:rFonts w:ascii="Times New Roman" w:hAnsi="Times New Roman" w:cs="Times New Roman"/>
                <w:color w:val="auto"/>
                <w:szCs w:val="22"/>
                <w:highlight w:val="none"/>
                <w:u w:val="none" w:color="auto"/>
              </w:rPr>
            </w:pPr>
            <w:r>
              <w:rPr>
                <w:rFonts w:ascii="Times New Roman" w:hAnsi="Times New Roman" w:cs="Times New Roman"/>
                <w:color w:val="auto"/>
                <w:szCs w:val="22"/>
                <w:highlight w:val="none"/>
                <w:u w:val="none" w:color="auto"/>
              </w:rPr>
              <w:t>（1）给水</w:t>
            </w:r>
          </w:p>
          <w:p w14:paraId="12ED2C8D">
            <w:pPr>
              <w:pStyle w:val="48"/>
              <w:widowControl w:val="0"/>
              <w:overflowPunct w:val="0"/>
              <w:spacing w:line="360" w:lineRule="auto"/>
              <w:ind w:firstLine="504"/>
              <w:jc w:val="both"/>
              <w:rPr>
                <w:rFonts w:hint="eastAsia" w:ascii="Times New Roman" w:hAnsi="Times New Roman" w:cs="Times New Roman"/>
                <w:color w:val="auto"/>
                <w:szCs w:val="22"/>
                <w:highlight w:val="none"/>
                <w:u w:val="single" w:color="auto"/>
                <w:lang w:val="en-US" w:eastAsia="zh-CN"/>
              </w:rPr>
            </w:pPr>
            <w:r>
              <w:rPr>
                <w:rFonts w:hint="eastAsia" w:ascii="Times New Roman" w:hAnsi="Times New Roman" w:eastAsia="宋体" w:cs="Times New Roman"/>
                <w:color w:val="auto"/>
                <w:szCs w:val="22"/>
                <w:highlight w:val="none"/>
                <w:u w:val="none" w:color="auto"/>
                <w:lang w:val="en-US" w:eastAsia="zh-CN"/>
              </w:rPr>
              <w:t>本项目用水</w:t>
            </w:r>
            <w:r>
              <w:rPr>
                <w:rFonts w:hint="eastAsia" w:ascii="Times New Roman" w:hAnsi="Times New Roman" w:cs="Times New Roman"/>
                <w:color w:val="auto"/>
                <w:szCs w:val="22"/>
                <w:highlight w:val="none"/>
                <w:u w:val="none" w:color="auto"/>
                <w:lang w:val="en-US" w:eastAsia="zh-CN"/>
              </w:rPr>
              <w:t>包括</w:t>
            </w:r>
            <w:r>
              <w:rPr>
                <w:rFonts w:hint="eastAsia" w:ascii="Times New Roman" w:hAnsi="Times New Roman" w:eastAsia="宋体" w:cs="Times New Roman"/>
                <w:color w:val="auto"/>
                <w:szCs w:val="22"/>
                <w:highlight w:val="none"/>
                <w:u w:val="none" w:color="auto"/>
                <w:lang w:val="en-US" w:eastAsia="zh-CN"/>
              </w:rPr>
              <w:t>生活用水</w:t>
            </w:r>
            <w:r>
              <w:rPr>
                <w:rFonts w:hint="eastAsia" w:ascii="Times New Roman" w:hAnsi="Times New Roman" w:cs="Times New Roman"/>
                <w:color w:val="auto"/>
                <w:szCs w:val="22"/>
                <w:highlight w:val="none"/>
                <w:u w:val="none" w:color="auto"/>
                <w:lang w:val="en-US" w:eastAsia="zh-CN"/>
              </w:rPr>
              <w:t>和浇渣用水</w:t>
            </w:r>
            <w:r>
              <w:rPr>
                <w:rFonts w:hint="eastAsia" w:ascii="Times New Roman" w:hAnsi="Times New Roman" w:eastAsia="宋体" w:cs="Times New Roman"/>
                <w:color w:val="auto"/>
                <w:szCs w:val="22"/>
                <w:highlight w:val="none"/>
                <w:u w:val="none" w:color="auto"/>
                <w:lang w:val="en-US" w:eastAsia="zh-CN"/>
              </w:rPr>
              <w:t>，运营期员工</w:t>
            </w:r>
            <w:r>
              <w:rPr>
                <w:rFonts w:hint="eastAsia" w:ascii="Times New Roman" w:hAnsi="Times New Roman" w:cs="Times New Roman"/>
                <w:color w:val="auto"/>
                <w:szCs w:val="22"/>
                <w:highlight w:val="none"/>
                <w:u w:val="none" w:color="auto"/>
                <w:lang w:val="en-US" w:eastAsia="zh-CN"/>
              </w:rPr>
              <w:t>10</w:t>
            </w:r>
            <w:r>
              <w:rPr>
                <w:rFonts w:hint="eastAsia" w:ascii="Times New Roman" w:hAnsi="Times New Roman" w:eastAsia="宋体" w:cs="Times New Roman"/>
                <w:color w:val="auto"/>
                <w:szCs w:val="22"/>
                <w:highlight w:val="none"/>
                <w:u w:val="none" w:color="auto"/>
                <w:lang w:val="en-US" w:eastAsia="zh-CN"/>
              </w:rPr>
              <w:t>人，均不在厂内食宿，</w:t>
            </w:r>
            <w:r>
              <w:rPr>
                <w:rFonts w:hint="eastAsia" w:ascii="Times New Roman" w:hAnsi="Times New Roman" w:cs="Times New Roman"/>
                <w:color w:val="auto"/>
                <w:szCs w:val="22"/>
                <w:highlight w:val="none"/>
                <w:u w:val="single" w:color="auto"/>
                <w:lang w:val="en-US" w:eastAsia="zh-CN"/>
              </w:rPr>
              <w:t>根据吉林省地方标准《用水定额》（DB22/T389.2-2025）第四部分居民生活，表1居民生活用水定额表确定员工生活用水</w:t>
            </w:r>
            <w:r>
              <w:rPr>
                <w:rFonts w:hint="eastAsia" w:ascii="Times New Roman" w:hAnsi="Times New Roman" w:eastAsia="宋体" w:cs="Times New Roman"/>
                <w:color w:val="auto"/>
                <w:szCs w:val="22"/>
                <w:highlight w:val="none"/>
                <w:u w:val="single" w:color="auto"/>
                <w:lang w:val="en-US" w:eastAsia="zh-CN"/>
              </w:rPr>
              <w:t>按</w:t>
            </w:r>
            <w:r>
              <w:rPr>
                <w:rFonts w:hint="eastAsia" w:ascii="Times New Roman" w:hAnsi="Times New Roman" w:cs="Times New Roman"/>
                <w:color w:val="auto"/>
                <w:szCs w:val="22"/>
                <w:highlight w:val="none"/>
                <w:u w:val="single" w:color="auto"/>
                <w:lang w:val="en-US" w:eastAsia="zh-CN"/>
              </w:rPr>
              <w:t>6</w:t>
            </w:r>
            <w:r>
              <w:rPr>
                <w:rFonts w:hint="eastAsia" w:ascii="Times New Roman" w:hAnsi="Times New Roman" w:eastAsia="宋体" w:cs="Times New Roman"/>
                <w:color w:val="auto"/>
                <w:szCs w:val="22"/>
                <w:highlight w:val="none"/>
                <w:u w:val="single" w:color="auto"/>
                <w:lang w:val="en-US" w:eastAsia="zh-CN"/>
              </w:rPr>
              <w:t>0L/人•d计算，企业年生产时间</w:t>
            </w:r>
            <w:r>
              <w:rPr>
                <w:rFonts w:hint="eastAsia" w:ascii="Times New Roman" w:hAnsi="Times New Roman" w:cs="Times New Roman"/>
                <w:color w:val="auto"/>
                <w:szCs w:val="22"/>
                <w:highlight w:val="none"/>
                <w:u w:val="single" w:color="auto"/>
                <w:lang w:val="en-US" w:eastAsia="zh-CN"/>
              </w:rPr>
              <w:t>50</w:t>
            </w:r>
            <w:r>
              <w:rPr>
                <w:rFonts w:hint="eastAsia" w:ascii="Times New Roman" w:hAnsi="Times New Roman" w:eastAsia="宋体" w:cs="Times New Roman"/>
                <w:color w:val="auto"/>
                <w:szCs w:val="22"/>
                <w:highlight w:val="none"/>
                <w:u w:val="single" w:color="auto"/>
                <w:lang w:val="en-US" w:eastAsia="zh-CN"/>
              </w:rPr>
              <w:t>天，生活用水量为</w:t>
            </w:r>
            <w:r>
              <w:rPr>
                <w:rFonts w:hint="eastAsia" w:ascii="Times New Roman" w:hAnsi="Times New Roman" w:cs="Times New Roman"/>
                <w:color w:val="auto"/>
                <w:szCs w:val="22"/>
                <w:highlight w:val="none"/>
                <w:u w:val="single" w:color="auto"/>
                <w:lang w:val="en-US" w:eastAsia="zh-CN"/>
              </w:rPr>
              <w:t>30m</w:t>
            </w:r>
            <w:r>
              <w:rPr>
                <w:rFonts w:hint="eastAsia" w:ascii="Times New Roman" w:hAnsi="Times New Roman" w:eastAsia="宋体" w:cs="Times New Roman"/>
                <w:color w:val="auto"/>
                <w:szCs w:val="22"/>
                <w:highlight w:val="none"/>
                <w:u w:val="single" w:color="auto"/>
                <w:vertAlign w:val="superscript"/>
                <w:lang w:val="en-US" w:eastAsia="zh-CN"/>
              </w:rPr>
              <w:t>3</w:t>
            </w:r>
            <w:r>
              <w:rPr>
                <w:rFonts w:hint="eastAsia" w:ascii="Times New Roman" w:hAnsi="Times New Roman" w:eastAsia="宋体" w:cs="Times New Roman"/>
                <w:color w:val="auto"/>
                <w:szCs w:val="22"/>
                <w:highlight w:val="none"/>
                <w:u w:val="single" w:color="auto"/>
                <w:lang w:val="en-US" w:eastAsia="zh-CN"/>
              </w:rPr>
              <w:t>/a（</w:t>
            </w:r>
            <w:r>
              <w:rPr>
                <w:rFonts w:hint="eastAsia" w:ascii="Times New Roman" w:hAnsi="Times New Roman" w:cs="Times New Roman"/>
                <w:color w:val="auto"/>
                <w:szCs w:val="22"/>
                <w:highlight w:val="none"/>
                <w:u w:val="single" w:color="auto"/>
                <w:lang w:val="en-US" w:eastAsia="zh-CN"/>
              </w:rPr>
              <w:t>0.6</w:t>
            </w:r>
            <w:r>
              <w:rPr>
                <w:rFonts w:hint="eastAsia" w:ascii="Times New Roman" w:hAnsi="Times New Roman" w:eastAsia="宋体" w:cs="Times New Roman"/>
                <w:color w:val="auto"/>
                <w:szCs w:val="22"/>
                <w:highlight w:val="none"/>
                <w:u w:val="single" w:color="auto"/>
                <w:lang w:val="en-US" w:eastAsia="zh-CN"/>
              </w:rPr>
              <w:t>m</w:t>
            </w:r>
            <w:r>
              <w:rPr>
                <w:rFonts w:hint="eastAsia" w:ascii="Times New Roman" w:hAnsi="Times New Roman" w:eastAsia="宋体" w:cs="Times New Roman"/>
                <w:color w:val="auto"/>
                <w:szCs w:val="22"/>
                <w:highlight w:val="none"/>
                <w:u w:val="single" w:color="auto"/>
                <w:vertAlign w:val="superscript"/>
                <w:lang w:val="en-US" w:eastAsia="zh-CN"/>
              </w:rPr>
              <w:t>3</w:t>
            </w:r>
            <w:r>
              <w:rPr>
                <w:rFonts w:hint="eastAsia" w:ascii="Times New Roman" w:hAnsi="Times New Roman" w:eastAsia="宋体" w:cs="Times New Roman"/>
                <w:color w:val="auto"/>
                <w:szCs w:val="22"/>
                <w:highlight w:val="none"/>
                <w:u w:val="single" w:color="auto"/>
                <w:lang w:val="en-US" w:eastAsia="zh-CN"/>
              </w:rPr>
              <w:t>/d）</w:t>
            </w:r>
            <w:r>
              <w:rPr>
                <w:rFonts w:hint="eastAsia" w:ascii="Times New Roman" w:hAnsi="Times New Roman" w:cs="Times New Roman"/>
                <w:color w:val="auto"/>
                <w:szCs w:val="22"/>
                <w:highlight w:val="none"/>
                <w:u w:val="single" w:color="auto"/>
                <w:lang w:val="en-US" w:eastAsia="zh-CN"/>
              </w:rPr>
              <w:t>。</w:t>
            </w:r>
          </w:p>
          <w:p w14:paraId="3F57540E">
            <w:pPr>
              <w:pStyle w:val="48"/>
              <w:widowControl w:val="0"/>
              <w:overflowPunct w:val="0"/>
              <w:spacing w:line="360" w:lineRule="auto"/>
              <w:ind w:firstLine="504"/>
              <w:jc w:val="both"/>
              <w:rPr>
                <w:rFonts w:hint="eastAsia" w:ascii="Times New Roman" w:hAnsi="Times New Roman" w:cs="Times New Roman"/>
                <w:color w:val="auto"/>
                <w:szCs w:val="22"/>
                <w:highlight w:val="none"/>
                <w:u w:val="single" w:color="auto"/>
                <w:lang w:eastAsia="zh-CN"/>
              </w:rPr>
            </w:pPr>
            <w:r>
              <w:rPr>
                <w:rFonts w:hint="eastAsia" w:ascii="Times New Roman" w:hAnsi="Times New Roman" w:cs="Times New Roman"/>
                <w:color w:val="auto"/>
                <w:position w:val="15"/>
                <w:sz w:val="24"/>
                <w:highlight w:val="none"/>
                <w:u w:val="none" w:color="auto"/>
                <w:lang w:val="en-US" w:eastAsia="zh-CN"/>
              </w:rPr>
              <w:t>浇渣用水量</w:t>
            </w:r>
            <w:r>
              <w:rPr>
                <w:rFonts w:hint="default" w:ascii="Times New Roman" w:hAnsi="Times New Roman" w:eastAsia="宋体" w:cs="Times New Roman"/>
                <w:color w:val="auto"/>
                <w:position w:val="15"/>
                <w:sz w:val="24"/>
                <w:highlight w:val="none"/>
                <w:u w:val="none" w:color="auto"/>
                <w:lang w:val="en-US" w:eastAsia="zh-CN"/>
              </w:rPr>
              <w:t>参</w:t>
            </w:r>
            <w:r>
              <w:rPr>
                <w:rFonts w:hint="default" w:ascii="Times New Roman" w:hAnsi="Times New Roman" w:eastAsia="宋体" w:cs="Times New Roman"/>
                <w:color w:val="auto"/>
                <w:position w:val="15"/>
                <w:sz w:val="24"/>
                <w:highlight w:val="none"/>
                <w:u w:val="single" w:color="auto"/>
                <w:lang w:val="en-US" w:eastAsia="zh-CN"/>
              </w:rPr>
              <w:t>考《工业锅炉房设计手册》</w:t>
            </w:r>
            <w:r>
              <w:rPr>
                <w:rFonts w:hint="eastAsia" w:ascii="Times New Roman" w:hAnsi="Times New Roman" w:cs="Times New Roman"/>
                <w:color w:val="auto"/>
                <w:position w:val="15"/>
                <w:sz w:val="24"/>
                <w:highlight w:val="none"/>
                <w:u w:val="single" w:color="auto"/>
                <w:lang w:val="en-US" w:eastAsia="zh-CN"/>
              </w:rPr>
              <w:t>，</w:t>
            </w:r>
            <w:r>
              <w:rPr>
                <w:rFonts w:hint="default" w:ascii="Times New Roman" w:hAnsi="Times New Roman" w:eastAsia="宋体" w:cs="Times New Roman"/>
                <w:color w:val="auto"/>
                <w:position w:val="15"/>
                <w:sz w:val="24"/>
                <w:highlight w:val="none"/>
                <w:u w:val="single" w:color="auto"/>
                <w:lang w:val="en-US" w:eastAsia="zh-CN"/>
              </w:rPr>
              <w:t>冲渣用水量为0.2-0.5m</w:t>
            </w:r>
            <w:r>
              <w:rPr>
                <w:rFonts w:hint="default" w:ascii="Times New Roman" w:hAnsi="Times New Roman" w:eastAsia="宋体" w:cs="Times New Roman"/>
                <w:color w:val="auto"/>
                <w:position w:val="15"/>
                <w:sz w:val="24"/>
                <w:highlight w:val="none"/>
                <w:u w:val="single" w:color="auto"/>
                <w:vertAlign w:val="superscript"/>
                <w:lang w:val="en-US" w:eastAsia="zh-CN"/>
              </w:rPr>
              <w:t>3</w:t>
            </w:r>
            <w:r>
              <w:rPr>
                <w:rFonts w:hint="default" w:ascii="Times New Roman" w:hAnsi="Times New Roman" w:eastAsia="宋体" w:cs="Times New Roman"/>
                <w:color w:val="auto"/>
                <w:position w:val="15"/>
                <w:sz w:val="24"/>
                <w:highlight w:val="none"/>
                <w:u w:val="single" w:color="auto"/>
                <w:lang w:val="en-US" w:eastAsia="zh-CN"/>
              </w:rPr>
              <w:t>/t灰渣，浇渣用水量按0.5m</w:t>
            </w:r>
            <w:r>
              <w:rPr>
                <w:rFonts w:hint="default" w:ascii="Times New Roman" w:hAnsi="Times New Roman" w:eastAsia="宋体" w:cs="Times New Roman"/>
                <w:color w:val="auto"/>
                <w:position w:val="15"/>
                <w:sz w:val="24"/>
                <w:highlight w:val="none"/>
                <w:u w:val="single" w:color="auto"/>
                <w:vertAlign w:val="superscript"/>
                <w:lang w:val="en-US" w:eastAsia="zh-CN"/>
              </w:rPr>
              <w:t>3</w:t>
            </w:r>
            <w:r>
              <w:rPr>
                <w:rFonts w:hint="default" w:ascii="Times New Roman" w:hAnsi="Times New Roman" w:eastAsia="宋体" w:cs="Times New Roman"/>
                <w:color w:val="auto"/>
                <w:position w:val="15"/>
                <w:sz w:val="24"/>
                <w:highlight w:val="none"/>
                <w:u w:val="single" w:color="auto"/>
                <w:lang w:val="en-US" w:eastAsia="zh-CN"/>
              </w:rPr>
              <w:t>/t灰渣计算</w:t>
            </w:r>
            <w:r>
              <w:rPr>
                <w:rFonts w:hint="eastAsia" w:ascii="Times New Roman" w:hAnsi="Times New Roman" w:cs="Times New Roman"/>
                <w:color w:val="auto"/>
                <w:position w:val="15"/>
                <w:sz w:val="24"/>
                <w:highlight w:val="none"/>
                <w:u w:val="single" w:color="auto"/>
                <w:lang w:val="en-US" w:eastAsia="zh-CN"/>
              </w:rPr>
              <w:t>（灰渣产生量</w:t>
            </w:r>
            <w:r>
              <w:rPr>
                <w:rFonts w:hint="eastAsia" w:ascii="Times New Roman" w:hAnsi="Times New Roman" w:cs="Times New Roman"/>
                <w:color w:val="auto"/>
                <w:position w:val="15"/>
                <w:sz w:val="24"/>
                <w:highlight w:val="yellow"/>
                <w:u w:val="single" w:color="auto"/>
                <w:lang w:val="en-US" w:eastAsia="zh-CN"/>
              </w:rPr>
              <w:t>209.36</w:t>
            </w:r>
            <w:r>
              <w:rPr>
                <w:rFonts w:hint="default" w:ascii="Times New Roman" w:hAnsi="Times New Roman" w:eastAsia="宋体" w:cs="Times New Roman"/>
                <w:color w:val="auto"/>
                <w:position w:val="15"/>
                <w:sz w:val="24"/>
                <w:highlight w:val="none"/>
                <w:u w:val="single" w:color="auto"/>
                <w:lang w:val="en-US" w:eastAsia="zh-CN"/>
              </w:rPr>
              <w:t>m</w:t>
            </w:r>
            <w:r>
              <w:rPr>
                <w:rFonts w:hint="default" w:ascii="Times New Roman" w:hAnsi="Times New Roman" w:eastAsia="宋体" w:cs="Times New Roman"/>
                <w:color w:val="auto"/>
                <w:position w:val="15"/>
                <w:sz w:val="24"/>
                <w:highlight w:val="none"/>
                <w:u w:val="single" w:color="auto"/>
                <w:vertAlign w:val="superscript"/>
                <w:lang w:val="en-US" w:eastAsia="zh-CN"/>
              </w:rPr>
              <w:t>3</w:t>
            </w:r>
            <w:r>
              <w:rPr>
                <w:rFonts w:hint="eastAsia" w:ascii="Times New Roman" w:hAnsi="Times New Roman" w:cs="Times New Roman"/>
                <w:color w:val="auto"/>
                <w:position w:val="15"/>
                <w:sz w:val="24"/>
                <w:highlight w:val="none"/>
                <w:u w:val="single" w:color="auto"/>
                <w:lang w:val="en-US" w:eastAsia="zh-CN"/>
              </w:rPr>
              <w:t>/a）</w:t>
            </w:r>
            <w:r>
              <w:rPr>
                <w:rFonts w:hint="default" w:ascii="Times New Roman" w:hAnsi="Times New Roman" w:eastAsia="宋体" w:cs="Times New Roman"/>
                <w:color w:val="auto"/>
                <w:position w:val="15"/>
                <w:sz w:val="24"/>
                <w:highlight w:val="none"/>
                <w:u w:val="single" w:color="auto"/>
                <w:lang w:val="en-US" w:eastAsia="zh-CN"/>
              </w:rPr>
              <w:t>，</w:t>
            </w:r>
            <w:r>
              <w:rPr>
                <w:rFonts w:hint="eastAsia" w:ascii="Times New Roman" w:hAnsi="Times New Roman" w:eastAsia="宋体" w:cs="Times New Roman"/>
                <w:color w:val="auto"/>
                <w:position w:val="15"/>
                <w:sz w:val="24"/>
                <w:highlight w:val="none"/>
                <w:u w:val="single" w:color="auto"/>
                <w:lang w:val="en-US" w:eastAsia="zh-CN"/>
              </w:rPr>
              <w:t>则年</w:t>
            </w:r>
            <w:r>
              <w:rPr>
                <w:rFonts w:hint="eastAsia" w:ascii="Times New Roman" w:hAnsi="Times New Roman" w:cs="Times New Roman"/>
                <w:color w:val="auto"/>
                <w:position w:val="15"/>
                <w:sz w:val="24"/>
                <w:highlight w:val="none"/>
                <w:u w:val="single" w:color="auto"/>
                <w:lang w:val="en-US" w:eastAsia="zh-CN"/>
              </w:rPr>
              <w:t>热风炉</w:t>
            </w:r>
            <w:r>
              <w:rPr>
                <w:rFonts w:hint="eastAsia" w:ascii="Times New Roman" w:hAnsi="Times New Roman" w:eastAsia="宋体" w:cs="Times New Roman"/>
                <w:color w:val="auto"/>
                <w:position w:val="15"/>
                <w:sz w:val="24"/>
                <w:highlight w:val="none"/>
                <w:u w:val="single" w:color="auto"/>
                <w:lang w:val="en-US" w:eastAsia="zh-CN"/>
              </w:rPr>
              <w:t>灰渣降尘用</w:t>
            </w:r>
            <w:r>
              <w:rPr>
                <w:rFonts w:hint="eastAsia" w:ascii="Times New Roman" w:hAnsi="Times New Roman" w:eastAsia="宋体" w:cs="Times New Roman"/>
                <w:color w:val="auto"/>
                <w:position w:val="15"/>
                <w:sz w:val="24"/>
                <w:highlight w:val="yellow"/>
                <w:u w:val="single" w:color="auto"/>
                <w:lang w:val="en-US" w:eastAsia="zh-CN"/>
              </w:rPr>
              <w:t>水</w:t>
            </w:r>
            <w:r>
              <w:rPr>
                <w:rFonts w:hint="eastAsia" w:ascii="Times New Roman" w:hAnsi="Times New Roman" w:cs="Times New Roman"/>
                <w:color w:val="auto"/>
                <w:position w:val="15"/>
                <w:sz w:val="24"/>
                <w:highlight w:val="yellow"/>
                <w:u w:val="single" w:color="auto"/>
                <w:lang w:val="en-US" w:eastAsia="zh-CN"/>
              </w:rPr>
              <w:t>104.68</w:t>
            </w:r>
            <w:r>
              <w:rPr>
                <w:rFonts w:hint="eastAsia" w:ascii="Times New Roman" w:hAnsi="Times New Roman" w:eastAsia="宋体" w:cs="Times New Roman"/>
                <w:color w:val="auto"/>
                <w:position w:val="15"/>
                <w:sz w:val="24"/>
                <w:highlight w:val="yellow"/>
                <w:u w:val="single" w:color="auto"/>
                <w:lang w:val="en-US" w:eastAsia="zh-CN"/>
              </w:rPr>
              <w:t>m</w:t>
            </w:r>
            <w:r>
              <w:rPr>
                <w:rFonts w:hint="eastAsia" w:ascii="Times New Roman" w:hAnsi="Times New Roman" w:eastAsia="宋体" w:cs="Times New Roman"/>
                <w:color w:val="auto"/>
                <w:position w:val="15"/>
                <w:sz w:val="24"/>
                <w:highlight w:val="yellow"/>
                <w:u w:val="single" w:color="auto"/>
                <w:vertAlign w:val="superscript"/>
                <w:lang w:val="en-US" w:eastAsia="zh-CN"/>
              </w:rPr>
              <w:t>3</w:t>
            </w:r>
            <w:r>
              <w:rPr>
                <w:rFonts w:hint="eastAsia" w:ascii="Times New Roman" w:hAnsi="Times New Roman" w:eastAsia="宋体" w:cs="Times New Roman"/>
                <w:color w:val="auto"/>
                <w:position w:val="15"/>
                <w:sz w:val="24"/>
                <w:highlight w:val="yellow"/>
                <w:u w:val="single" w:color="auto"/>
                <w:vertAlign w:val="baseline"/>
                <w:lang w:val="en-US" w:eastAsia="zh-CN"/>
              </w:rPr>
              <w:t>/a</w:t>
            </w:r>
            <w:r>
              <w:rPr>
                <w:rFonts w:hint="eastAsia" w:ascii="Times New Roman" w:hAnsi="Times New Roman" w:eastAsia="宋体" w:cs="Times New Roman"/>
                <w:color w:val="auto"/>
                <w:position w:val="15"/>
                <w:sz w:val="24"/>
                <w:highlight w:val="none"/>
                <w:u w:val="single" w:color="auto"/>
                <w:vertAlign w:val="baseline"/>
                <w:lang w:val="en-US" w:eastAsia="zh-CN"/>
              </w:rPr>
              <w:t>。全部损耗不外排。</w:t>
            </w:r>
          </w:p>
          <w:p w14:paraId="736EBAA6">
            <w:pPr>
              <w:pStyle w:val="48"/>
              <w:widowControl w:val="0"/>
              <w:overflowPunct w:val="0"/>
              <w:spacing w:line="360" w:lineRule="auto"/>
              <w:ind w:firstLine="504"/>
              <w:jc w:val="both"/>
              <w:rPr>
                <w:rFonts w:hint="default" w:ascii="Times New Roman" w:hAnsi="Times New Roman" w:cs="Times New Roman"/>
                <w:color w:val="auto"/>
                <w:szCs w:val="22"/>
                <w:highlight w:val="none"/>
                <w:u w:val="none" w:color="auto"/>
                <w:lang w:val="en-US" w:eastAsia="zh-CN"/>
              </w:rPr>
            </w:pPr>
            <w:r>
              <w:rPr>
                <w:rFonts w:hint="eastAsia" w:ascii="Times New Roman" w:hAnsi="Times New Roman" w:cs="Times New Roman"/>
                <w:color w:val="auto"/>
                <w:szCs w:val="22"/>
                <w:highlight w:val="none"/>
                <w:u w:val="none" w:color="auto"/>
                <w:lang w:val="en-US" w:eastAsia="zh-CN"/>
              </w:rPr>
              <w:t>综上所述，</w:t>
            </w:r>
            <w:r>
              <w:rPr>
                <w:rFonts w:hint="eastAsia" w:ascii="Times New Roman" w:hAnsi="Times New Roman" w:cs="Times New Roman"/>
                <w:color w:val="auto"/>
                <w:szCs w:val="22"/>
                <w:highlight w:val="none"/>
                <w:u w:val="single" w:color="auto"/>
                <w:lang w:val="en-US" w:eastAsia="zh-CN"/>
              </w:rPr>
              <w:t>本项目运营期（50天）用</w:t>
            </w:r>
            <w:r>
              <w:rPr>
                <w:rFonts w:hint="eastAsia" w:ascii="Times New Roman" w:hAnsi="Times New Roman" w:cs="Times New Roman"/>
                <w:color w:val="auto"/>
                <w:szCs w:val="22"/>
                <w:highlight w:val="yellow"/>
                <w:u w:val="single" w:color="auto"/>
                <w:lang w:val="en-US" w:eastAsia="zh-CN"/>
              </w:rPr>
              <w:t>水量134.68</w:t>
            </w:r>
            <w:r>
              <w:rPr>
                <w:rFonts w:hint="eastAsia" w:ascii="Times New Roman" w:hAnsi="Times New Roman" w:cs="Times New Roman"/>
                <w:color w:val="auto"/>
                <w:szCs w:val="22"/>
                <w:highlight w:val="yellow"/>
                <w:u w:val="single" w:color="auto"/>
                <w:lang w:eastAsia="zh-CN"/>
              </w:rPr>
              <w:t>m</w:t>
            </w:r>
            <w:r>
              <w:rPr>
                <w:rFonts w:hint="eastAsia" w:ascii="Times New Roman" w:hAnsi="Times New Roman" w:cs="Times New Roman"/>
                <w:color w:val="auto"/>
                <w:szCs w:val="22"/>
                <w:highlight w:val="yellow"/>
                <w:u w:val="single" w:color="auto"/>
                <w:vertAlign w:val="superscript"/>
                <w:lang w:eastAsia="zh-CN"/>
              </w:rPr>
              <w:t>3</w:t>
            </w:r>
            <w:r>
              <w:rPr>
                <w:rFonts w:hint="eastAsia" w:ascii="Times New Roman" w:hAnsi="Times New Roman" w:cs="Times New Roman"/>
                <w:color w:val="auto"/>
                <w:szCs w:val="22"/>
                <w:highlight w:val="yellow"/>
                <w:u w:val="single" w:color="auto"/>
                <w:lang w:eastAsia="zh-CN"/>
              </w:rPr>
              <w:t>/a（</w:t>
            </w:r>
            <w:r>
              <w:rPr>
                <w:rFonts w:hint="eastAsia" w:ascii="Times New Roman" w:hAnsi="Times New Roman" w:cs="Times New Roman"/>
                <w:color w:val="auto"/>
                <w:szCs w:val="22"/>
                <w:highlight w:val="yellow"/>
                <w:u w:val="single" w:color="auto"/>
                <w:lang w:val="en-US" w:eastAsia="zh-CN"/>
              </w:rPr>
              <w:t>2.69</w:t>
            </w:r>
            <w:r>
              <w:rPr>
                <w:rFonts w:hint="eastAsia" w:ascii="Times New Roman" w:hAnsi="Times New Roman" w:cs="Times New Roman"/>
                <w:color w:val="auto"/>
                <w:szCs w:val="22"/>
                <w:highlight w:val="yellow"/>
                <w:u w:val="single" w:color="auto"/>
                <w:lang w:eastAsia="zh-CN"/>
              </w:rPr>
              <w:t>m</w:t>
            </w:r>
            <w:r>
              <w:rPr>
                <w:rFonts w:hint="eastAsia" w:ascii="Times New Roman" w:hAnsi="Times New Roman" w:cs="Times New Roman"/>
                <w:color w:val="auto"/>
                <w:szCs w:val="22"/>
                <w:highlight w:val="yellow"/>
                <w:u w:val="single" w:color="auto"/>
                <w:vertAlign w:val="superscript"/>
                <w:lang w:eastAsia="zh-CN"/>
              </w:rPr>
              <w:t>3</w:t>
            </w:r>
            <w:r>
              <w:rPr>
                <w:rFonts w:hint="eastAsia" w:ascii="Times New Roman" w:hAnsi="Times New Roman" w:cs="Times New Roman"/>
                <w:color w:val="auto"/>
                <w:szCs w:val="22"/>
                <w:highlight w:val="yellow"/>
                <w:u w:val="single" w:color="auto"/>
                <w:lang w:eastAsia="zh-CN"/>
              </w:rPr>
              <w:t>/</w:t>
            </w:r>
            <w:r>
              <w:rPr>
                <w:rFonts w:hint="eastAsia" w:ascii="Times New Roman" w:hAnsi="Times New Roman" w:cs="Times New Roman"/>
                <w:color w:val="auto"/>
                <w:szCs w:val="22"/>
                <w:highlight w:val="yellow"/>
                <w:u w:val="single" w:color="auto"/>
                <w:lang w:val="en-US" w:eastAsia="zh-CN"/>
              </w:rPr>
              <w:t>d</w:t>
            </w:r>
            <w:r>
              <w:rPr>
                <w:rFonts w:hint="eastAsia" w:ascii="Times New Roman" w:hAnsi="Times New Roman" w:cs="Times New Roman"/>
                <w:color w:val="auto"/>
                <w:szCs w:val="22"/>
                <w:highlight w:val="yellow"/>
                <w:u w:val="single" w:color="auto"/>
                <w:lang w:eastAsia="zh-CN"/>
              </w:rPr>
              <w:t>）</w:t>
            </w:r>
            <w:r>
              <w:rPr>
                <w:rFonts w:hint="eastAsia" w:ascii="Times New Roman" w:hAnsi="Times New Roman" w:cs="Times New Roman"/>
                <w:color w:val="auto"/>
                <w:szCs w:val="22"/>
                <w:highlight w:val="none"/>
                <w:u w:val="single" w:color="auto"/>
                <w:lang w:eastAsia="zh-CN"/>
              </w:rPr>
              <w:t>。</w:t>
            </w:r>
          </w:p>
          <w:p w14:paraId="128A2D6E">
            <w:pPr>
              <w:pStyle w:val="48"/>
              <w:widowControl w:val="0"/>
              <w:overflowPunct w:val="0"/>
              <w:spacing w:line="360" w:lineRule="auto"/>
              <w:ind w:firstLine="504"/>
              <w:jc w:val="both"/>
              <w:rPr>
                <w:rFonts w:ascii="Times New Roman" w:hAnsi="Times New Roman" w:cs="Times New Roman"/>
                <w:color w:val="auto"/>
                <w:szCs w:val="22"/>
                <w:highlight w:val="none"/>
                <w:u w:val="none" w:color="auto"/>
              </w:rPr>
            </w:pPr>
            <w:r>
              <w:rPr>
                <w:rFonts w:ascii="Times New Roman" w:hAnsi="Times New Roman" w:cs="Times New Roman"/>
                <w:color w:val="auto"/>
                <w:szCs w:val="22"/>
                <w:highlight w:val="none"/>
                <w:u w:val="none" w:color="auto"/>
              </w:rPr>
              <w:t>（2）排水</w:t>
            </w:r>
          </w:p>
          <w:p w14:paraId="519DFF9D">
            <w:pPr>
              <w:pStyle w:val="48"/>
              <w:widowControl w:val="0"/>
              <w:overflowPunct w:val="0"/>
              <w:spacing w:line="360" w:lineRule="auto"/>
              <w:ind w:firstLine="504"/>
              <w:jc w:val="both"/>
              <w:rPr>
                <w:rFonts w:ascii="Times New Roman" w:hAnsi="Times New Roman" w:cs="Times New Roman"/>
                <w:color w:val="auto"/>
                <w:szCs w:val="22"/>
                <w:highlight w:val="none"/>
                <w:u w:val="none" w:color="auto"/>
              </w:rPr>
            </w:pPr>
            <w:r>
              <w:rPr>
                <w:rFonts w:ascii="Times New Roman" w:hAnsi="Times New Roman" w:cs="Times New Roman"/>
                <w:color w:val="auto"/>
                <w:szCs w:val="22"/>
                <w:highlight w:val="none"/>
                <w:u w:val="none" w:color="auto"/>
              </w:rPr>
              <w:t>本项目</w:t>
            </w:r>
            <w:r>
              <w:rPr>
                <w:rFonts w:hint="eastAsia" w:ascii="Times New Roman" w:hAnsi="Times New Roman" w:cs="Times New Roman"/>
                <w:color w:val="auto"/>
                <w:szCs w:val="22"/>
                <w:highlight w:val="none"/>
                <w:u w:val="none" w:color="auto"/>
                <w:lang w:val="en-US" w:eastAsia="zh-CN"/>
              </w:rPr>
              <w:t>产生</w:t>
            </w:r>
            <w:r>
              <w:rPr>
                <w:rFonts w:ascii="Times New Roman" w:hAnsi="Times New Roman" w:cs="Times New Roman"/>
                <w:color w:val="auto"/>
                <w:szCs w:val="22"/>
                <w:highlight w:val="none"/>
                <w:u w:val="none" w:color="auto"/>
              </w:rPr>
              <w:t>的废水主要为生活污水、生产废水。</w:t>
            </w:r>
          </w:p>
          <w:p w14:paraId="679B3EB7">
            <w:pPr>
              <w:pStyle w:val="48"/>
              <w:widowControl w:val="0"/>
              <w:overflowPunct w:val="0"/>
              <w:spacing w:line="360" w:lineRule="auto"/>
              <w:ind w:firstLine="504"/>
              <w:jc w:val="both"/>
              <w:rPr>
                <w:rFonts w:hint="eastAsia" w:ascii="Times New Roman" w:hAnsi="Times New Roman" w:cs="Times New Roman"/>
                <w:color w:val="auto"/>
                <w:szCs w:val="22"/>
                <w:highlight w:val="none"/>
                <w:u w:val="single" w:color="auto"/>
                <w:lang w:eastAsia="zh-CN"/>
              </w:rPr>
            </w:pPr>
            <w:r>
              <w:rPr>
                <w:rFonts w:hint="eastAsia" w:ascii="Times New Roman" w:hAnsi="Times New Roman" w:cs="Times New Roman"/>
                <w:color w:val="auto"/>
                <w:szCs w:val="22"/>
                <w:highlight w:val="none"/>
                <w:u w:val="single" w:color="auto"/>
              </w:rPr>
              <w:t>项目生活污水</w:t>
            </w:r>
            <w:r>
              <w:rPr>
                <w:rFonts w:hint="eastAsia" w:ascii="Times New Roman" w:hAnsi="Times New Roman" w:cs="Times New Roman"/>
                <w:color w:val="auto"/>
                <w:szCs w:val="22"/>
                <w:highlight w:val="none"/>
                <w:u w:val="single" w:color="auto"/>
                <w:lang w:val="en-US" w:eastAsia="zh-CN"/>
              </w:rPr>
              <w:t>产生量按照用水量的80%计，</w:t>
            </w:r>
            <w:r>
              <w:rPr>
                <w:rFonts w:hint="eastAsia" w:ascii="Times New Roman" w:hAnsi="Times New Roman" w:cs="Times New Roman"/>
                <w:color w:val="auto"/>
                <w:szCs w:val="22"/>
                <w:highlight w:val="none"/>
                <w:u w:val="single" w:color="auto"/>
              </w:rPr>
              <w:t>产生量</w:t>
            </w:r>
            <w:r>
              <w:rPr>
                <w:rFonts w:hint="eastAsia" w:ascii="Times New Roman" w:hAnsi="Times New Roman" w:cs="Times New Roman"/>
                <w:color w:val="auto"/>
                <w:szCs w:val="22"/>
                <w:highlight w:val="none"/>
                <w:u w:val="single" w:color="auto"/>
                <w:lang w:val="en-US" w:eastAsia="zh-CN"/>
              </w:rPr>
              <w:t>24</w:t>
            </w:r>
            <w:r>
              <w:rPr>
                <w:rFonts w:hint="eastAsia" w:ascii="Times New Roman" w:hAnsi="Times New Roman" w:cs="Times New Roman"/>
                <w:color w:val="auto"/>
                <w:szCs w:val="22"/>
                <w:highlight w:val="none"/>
                <w:u w:val="single" w:color="auto"/>
              </w:rPr>
              <w:t>m</w:t>
            </w:r>
            <w:r>
              <w:rPr>
                <w:rFonts w:hint="eastAsia" w:ascii="Times New Roman" w:hAnsi="Times New Roman" w:cs="Times New Roman"/>
                <w:color w:val="auto"/>
                <w:szCs w:val="22"/>
                <w:highlight w:val="none"/>
                <w:u w:val="single" w:color="auto"/>
                <w:vertAlign w:val="superscript"/>
              </w:rPr>
              <w:t>3</w:t>
            </w:r>
            <w:r>
              <w:rPr>
                <w:rFonts w:hint="eastAsia" w:ascii="Times New Roman" w:hAnsi="Times New Roman" w:cs="Times New Roman"/>
                <w:color w:val="auto"/>
                <w:szCs w:val="22"/>
                <w:highlight w:val="none"/>
                <w:u w:val="single" w:color="auto"/>
              </w:rPr>
              <w:t>/a（</w:t>
            </w:r>
            <w:r>
              <w:rPr>
                <w:rFonts w:hint="eastAsia" w:ascii="Times New Roman" w:hAnsi="Times New Roman" w:cs="Times New Roman"/>
                <w:color w:val="auto"/>
                <w:szCs w:val="22"/>
                <w:highlight w:val="none"/>
                <w:u w:val="single" w:color="auto"/>
                <w:lang w:val="en-US" w:eastAsia="zh-CN"/>
              </w:rPr>
              <w:t>0.48</w:t>
            </w:r>
            <w:r>
              <w:rPr>
                <w:rFonts w:hint="eastAsia" w:ascii="Times New Roman" w:hAnsi="Times New Roman" w:cs="Times New Roman"/>
                <w:color w:val="auto"/>
                <w:szCs w:val="22"/>
                <w:highlight w:val="none"/>
                <w:u w:val="single" w:color="auto"/>
              </w:rPr>
              <w:t>m</w:t>
            </w:r>
            <w:r>
              <w:rPr>
                <w:rFonts w:hint="eastAsia" w:ascii="Times New Roman" w:hAnsi="Times New Roman" w:cs="Times New Roman"/>
                <w:color w:val="auto"/>
                <w:szCs w:val="22"/>
                <w:highlight w:val="none"/>
                <w:u w:val="single" w:color="auto"/>
                <w:vertAlign w:val="superscript"/>
              </w:rPr>
              <w:t>3</w:t>
            </w:r>
            <w:r>
              <w:rPr>
                <w:rFonts w:hint="eastAsia" w:ascii="Times New Roman" w:hAnsi="Times New Roman" w:cs="Times New Roman"/>
                <w:color w:val="auto"/>
                <w:szCs w:val="22"/>
                <w:highlight w:val="none"/>
                <w:u w:val="single" w:color="auto"/>
              </w:rPr>
              <w:t>/d）</w:t>
            </w:r>
            <w:r>
              <w:rPr>
                <w:rFonts w:hint="eastAsia" w:ascii="Times New Roman" w:hAnsi="Times New Roman" w:eastAsia="宋体" w:cs="Times New Roman"/>
                <w:color w:val="auto"/>
                <w:szCs w:val="22"/>
                <w:highlight w:val="none"/>
                <w:u w:val="single" w:color="auto"/>
                <w:lang w:val="en-US" w:eastAsia="zh-CN"/>
              </w:rPr>
              <w:t>，排入防渗旱厕，定期清掏用作农肥。</w:t>
            </w:r>
          </w:p>
          <w:p w14:paraId="06836028">
            <w:pPr>
              <w:pStyle w:val="48"/>
              <w:widowControl w:val="0"/>
              <w:overflowPunct w:val="0"/>
              <w:spacing w:line="360" w:lineRule="auto"/>
              <w:ind w:firstLine="504"/>
              <w:jc w:val="both"/>
              <w:rPr>
                <w:rFonts w:hint="eastAsia" w:ascii="Times New Roman" w:hAnsi="Times New Roman" w:cs="Times New Roman"/>
                <w:color w:val="auto"/>
                <w:szCs w:val="22"/>
                <w:highlight w:val="none"/>
                <w:u w:val="single" w:color="auto"/>
                <w:lang w:eastAsia="zh-CN"/>
              </w:rPr>
            </w:pPr>
            <w:r>
              <w:rPr>
                <w:rFonts w:hint="eastAsia" w:ascii="Times New Roman" w:hAnsi="Times New Roman" w:cs="Times New Roman"/>
                <w:color w:val="auto"/>
                <w:szCs w:val="22"/>
                <w:highlight w:val="none"/>
                <w:u w:val="single" w:color="auto"/>
                <w:lang w:val="en-US" w:eastAsia="zh-CN"/>
              </w:rPr>
              <w:t>热风炉</w:t>
            </w:r>
            <w:r>
              <w:rPr>
                <w:rFonts w:hint="eastAsia" w:ascii="Times New Roman" w:hAnsi="Times New Roman" w:cs="Times New Roman"/>
                <w:color w:val="auto"/>
                <w:szCs w:val="22"/>
                <w:highlight w:val="none"/>
                <w:u w:val="single" w:color="auto"/>
                <w:lang w:eastAsia="zh-CN"/>
              </w:rPr>
              <w:t>灰渣降尘用</w:t>
            </w:r>
            <w:r>
              <w:rPr>
                <w:rFonts w:hint="eastAsia" w:ascii="Times New Roman" w:hAnsi="Times New Roman" w:cs="Times New Roman"/>
                <w:color w:val="auto"/>
                <w:szCs w:val="22"/>
                <w:highlight w:val="yellow"/>
                <w:u w:val="single" w:color="auto"/>
                <w:lang w:eastAsia="zh-CN"/>
              </w:rPr>
              <w:t>水</w:t>
            </w:r>
            <w:r>
              <w:rPr>
                <w:rFonts w:hint="eastAsia" w:ascii="Times New Roman" w:hAnsi="Times New Roman" w:cs="Times New Roman"/>
                <w:color w:val="auto"/>
                <w:szCs w:val="22"/>
                <w:highlight w:val="yellow"/>
                <w:u w:val="single" w:color="auto"/>
                <w:lang w:val="en-US" w:eastAsia="zh-CN"/>
              </w:rPr>
              <w:t>104.68</w:t>
            </w:r>
            <w:r>
              <w:rPr>
                <w:rFonts w:hint="eastAsia" w:ascii="Times New Roman" w:hAnsi="Times New Roman" w:cs="Times New Roman"/>
                <w:color w:val="auto"/>
                <w:szCs w:val="22"/>
                <w:highlight w:val="yellow"/>
                <w:u w:val="single" w:color="auto"/>
                <w:lang w:eastAsia="zh-CN"/>
              </w:rPr>
              <w:t>m</w:t>
            </w:r>
            <w:r>
              <w:rPr>
                <w:rFonts w:hint="eastAsia" w:ascii="Times New Roman" w:hAnsi="Times New Roman" w:cs="Times New Roman"/>
                <w:color w:val="auto"/>
                <w:szCs w:val="22"/>
                <w:highlight w:val="yellow"/>
                <w:u w:val="single" w:color="auto"/>
                <w:vertAlign w:val="superscript"/>
                <w:lang w:eastAsia="zh-CN"/>
              </w:rPr>
              <w:t>3</w:t>
            </w:r>
            <w:r>
              <w:rPr>
                <w:rFonts w:hint="eastAsia" w:ascii="Times New Roman" w:hAnsi="Times New Roman" w:cs="Times New Roman"/>
                <w:color w:val="auto"/>
                <w:szCs w:val="22"/>
                <w:highlight w:val="yellow"/>
                <w:u w:val="single" w:color="auto"/>
                <w:lang w:eastAsia="zh-CN"/>
              </w:rPr>
              <w:t>/a</w:t>
            </w:r>
            <w:r>
              <w:rPr>
                <w:rFonts w:hint="eastAsia" w:ascii="Times New Roman" w:hAnsi="Times New Roman" w:cs="Times New Roman"/>
                <w:color w:val="auto"/>
                <w:szCs w:val="22"/>
                <w:highlight w:val="none"/>
                <w:u w:val="single" w:color="auto"/>
                <w:lang w:eastAsia="zh-CN"/>
              </w:rPr>
              <w:t>，全部损耗不外排。</w:t>
            </w:r>
          </w:p>
          <w:p w14:paraId="78232D0F">
            <w:pPr>
              <w:pStyle w:val="48"/>
              <w:widowControl w:val="0"/>
              <w:overflowPunct w:val="0"/>
              <w:ind w:left="0" w:leftChars="0" w:firstLine="0" w:firstLineChars="0"/>
              <w:jc w:val="center"/>
              <w:rPr>
                <w:rFonts w:hint="eastAsia" w:ascii="Times New Roman" w:hAnsi="Times New Roman" w:cs="Times New Roman"/>
                <w:color w:val="auto"/>
                <w:szCs w:val="22"/>
                <w:highlight w:val="yellow"/>
                <w:u w:val="none" w:color="auto"/>
                <w:lang w:eastAsia="zh-CN"/>
              </w:rPr>
            </w:pPr>
            <w:r>
              <w:rPr>
                <w:rFonts w:hint="eastAsia" w:ascii="Times New Roman" w:hAnsi="Times New Roman" w:cs="Times New Roman"/>
                <w:b/>
                <w:color w:val="auto"/>
                <w:spacing w:val="0"/>
                <w:kern w:val="2"/>
                <w:sz w:val="24"/>
                <w:szCs w:val="24"/>
                <w:highlight w:val="none"/>
                <w:u w:val="single" w:color="auto"/>
                <w:lang w:val="en-US" w:eastAsia="zh-CN" w:bidi="ar-SA"/>
              </w:rPr>
              <w:t xml:space="preserve">表2-8 </w:t>
            </w:r>
            <w:r>
              <w:rPr>
                <w:rFonts w:ascii="Times New Roman" w:hAnsi="Times New Roman" w:eastAsia="宋体" w:cs="Times New Roman"/>
                <w:b/>
                <w:color w:val="auto"/>
                <w:spacing w:val="0"/>
                <w:kern w:val="2"/>
                <w:sz w:val="24"/>
                <w:szCs w:val="24"/>
                <w:highlight w:val="none"/>
                <w:u w:val="single" w:color="auto"/>
                <w:lang w:val="en-US" w:eastAsia="zh-CN" w:bidi="ar-SA"/>
              </w:rPr>
              <w:t>项目</w:t>
            </w:r>
            <w:r>
              <w:rPr>
                <w:rFonts w:hint="eastAsia" w:ascii="Times New Roman" w:hAnsi="Times New Roman" w:eastAsia="宋体" w:cs="Times New Roman"/>
                <w:b/>
                <w:color w:val="auto"/>
                <w:spacing w:val="0"/>
                <w:kern w:val="2"/>
                <w:sz w:val="24"/>
                <w:szCs w:val="24"/>
                <w:highlight w:val="none"/>
                <w:u w:val="single" w:color="auto"/>
                <w:lang w:val="en-US" w:eastAsia="zh-CN" w:bidi="ar-SA"/>
              </w:rPr>
              <w:t>水</w:t>
            </w:r>
            <w:r>
              <w:rPr>
                <w:rFonts w:ascii="Times New Roman" w:hAnsi="Times New Roman" w:eastAsia="宋体" w:cs="Times New Roman"/>
                <w:b/>
                <w:color w:val="auto"/>
                <w:spacing w:val="0"/>
                <w:kern w:val="2"/>
                <w:sz w:val="24"/>
                <w:szCs w:val="24"/>
                <w:highlight w:val="none"/>
                <w:u w:val="single" w:color="auto"/>
                <w:lang w:val="en-US" w:eastAsia="zh-CN" w:bidi="ar-SA"/>
              </w:rPr>
              <w:t>平衡</w:t>
            </w:r>
            <w:r>
              <w:rPr>
                <w:rFonts w:hint="eastAsia" w:ascii="Times New Roman" w:hAnsi="Times New Roman" w:cs="Times New Roman"/>
                <w:b/>
                <w:color w:val="auto"/>
                <w:spacing w:val="0"/>
                <w:kern w:val="2"/>
                <w:sz w:val="24"/>
                <w:szCs w:val="24"/>
                <w:highlight w:val="none"/>
                <w:u w:val="single" w:color="auto"/>
                <w:lang w:val="en-US" w:eastAsia="zh-CN" w:bidi="ar-SA"/>
              </w:rPr>
              <w:t>表</w:t>
            </w:r>
            <w:r>
              <w:rPr>
                <w:rFonts w:hint="eastAsia" w:ascii="Times New Roman" w:hAnsi="Times New Roman" w:eastAsia="宋体" w:cs="Times New Roman"/>
                <w:b/>
                <w:color w:val="auto"/>
                <w:spacing w:val="0"/>
                <w:kern w:val="2"/>
                <w:sz w:val="24"/>
                <w:szCs w:val="24"/>
                <w:highlight w:val="none"/>
                <w:u w:val="single" w:color="auto"/>
                <w:lang w:val="en-US" w:eastAsia="zh-CN" w:bidi="ar-SA"/>
              </w:rPr>
              <w:t>（单位m</w:t>
            </w:r>
            <w:r>
              <w:rPr>
                <w:rFonts w:hint="eastAsia" w:ascii="Times New Roman" w:hAnsi="Times New Roman" w:eastAsia="宋体" w:cs="Times New Roman"/>
                <w:b/>
                <w:color w:val="auto"/>
                <w:spacing w:val="0"/>
                <w:kern w:val="2"/>
                <w:sz w:val="24"/>
                <w:szCs w:val="24"/>
                <w:highlight w:val="none"/>
                <w:u w:val="single" w:color="auto"/>
                <w:vertAlign w:val="superscript"/>
                <w:lang w:val="en-US" w:eastAsia="zh-CN" w:bidi="ar-SA"/>
              </w:rPr>
              <w:t>3</w:t>
            </w:r>
            <w:r>
              <w:rPr>
                <w:rFonts w:hint="eastAsia" w:ascii="Times New Roman" w:hAnsi="Times New Roman" w:cs="Times New Roman"/>
                <w:b/>
                <w:color w:val="auto"/>
                <w:spacing w:val="0"/>
                <w:kern w:val="2"/>
                <w:sz w:val="24"/>
                <w:szCs w:val="24"/>
                <w:highlight w:val="none"/>
                <w:u w:val="single" w:color="auto"/>
                <w:vertAlign w:val="baseline"/>
                <w:lang w:val="en-US" w:eastAsia="zh-CN" w:bidi="ar-SA"/>
              </w:rPr>
              <w:t>/a</w:t>
            </w:r>
            <w:r>
              <w:rPr>
                <w:rFonts w:hint="eastAsia" w:ascii="Times New Roman" w:hAnsi="Times New Roman" w:eastAsia="宋体" w:cs="Times New Roman"/>
                <w:b/>
                <w:color w:val="auto"/>
                <w:spacing w:val="0"/>
                <w:kern w:val="2"/>
                <w:sz w:val="24"/>
                <w:szCs w:val="24"/>
                <w:highlight w:val="none"/>
                <w:u w:val="single" w:color="auto"/>
                <w:lang w:val="en-US" w:eastAsia="zh-CN" w:bidi="ar-SA"/>
              </w:rPr>
              <w:t>）</w:t>
            </w:r>
          </w:p>
          <w:tbl>
            <w:tblPr>
              <w:tblStyle w:val="29"/>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1319"/>
              <w:gridCol w:w="1386"/>
              <w:gridCol w:w="952"/>
              <w:gridCol w:w="2322"/>
            </w:tblGrid>
            <w:tr w14:paraId="5104CF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1123" w:type="pct"/>
                  <w:tcBorders>
                    <w:tl2br w:val="nil"/>
                    <w:tr2bl w:val="nil"/>
                  </w:tcBorders>
                  <w:vAlign w:val="center"/>
                </w:tcPr>
                <w:p w14:paraId="04D9EBE6">
                  <w:pPr>
                    <w:widowControl/>
                    <w:jc w:val="center"/>
                    <w:textAlignment w:val="center"/>
                    <w:rPr>
                      <w:color w:val="auto"/>
                      <w:szCs w:val="21"/>
                      <w:highlight w:val="none"/>
                      <w:u w:val="single"/>
                    </w:rPr>
                  </w:pPr>
                  <w:r>
                    <w:rPr>
                      <w:rFonts w:hint="eastAsia" w:ascii="宋体" w:hAnsi="宋体" w:cs="宋体"/>
                      <w:color w:val="auto"/>
                      <w:kern w:val="0"/>
                      <w:szCs w:val="21"/>
                      <w:highlight w:val="none"/>
                      <w:u w:val="single"/>
                      <w:lang w:bidi="ar"/>
                    </w:rPr>
                    <w:t>项目</w:t>
                  </w:r>
                </w:p>
              </w:tc>
              <w:tc>
                <w:tcPr>
                  <w:tcW w:w="855" w:type="pct"/>
                  <w:tcBorders>
                    <w:tl2br w:val="nil"/>
                    <w:tr2bl w:val="nil"/>
                  </w:tcBorders>
                  <w:vAlign w:val="center"/>
                </w:tcPr>
                <w:p w14:paraId="791E0385">
                  <w:pPr>
                    <w:widowControl/>
                    <w:jc w:val="center"/>
                    <w:textAlignment w:val="center"/>
                    <w:rPr>
                      <w:color w:val="auto"/>
                      <w:szCs w:val="21"/>
                      <w:highlight w:val="none"/>
                      <w:u w:val="single"/>
                    </w:rPr>
                  </w:pPr>
                  <w:r>
                    <w:rPr>
                      <w:rFonts w:hint="eastAsia" w:ascii="宋体" w:hAnsi="宋体" w:cs="宋体"/>
                      <w:color w:val="auto"/>
                      <w:kern w:val="0"/>
                      <w:szCs w:val="21"/>
                      <w:highlight w:val="none"/>
                      <w:u w:val="single"/>
                      <w:lang w:bidi="ar"/>
                    </w:rPr>
                    <w:t>新鲜水用量</w:t>
                  </w:r>
                </w:p>
              </w:tc>
              <w:tc>
                <w:tcPr>
                  <w:tcW w:w="898" w:type="pct"/>
                  <w:tcBorders>
                    <w:tl2br w:val="nil"/>
                    <w:tr2bl w:val="nil"/>
                  </w:tcBorders>
                  <w:vAlign w:val="center"/>
                </w:tcPr>
                <w:p w14:paraId="4FA8853E">
                  <w:pPr>
                    <w:widowControl/>
                    <w:jc w:val="center"/>
                    <w:textAlignment w:val="center"/>
                    <w:rPr>
                      <w:color w:val="auto"/>
                      <w:szCs w:val="21"/>
                      <w:highlight w:val="none"/>
                      <w:u w:val="single"/>
                    </w:rPr>
                  </w:pPr>
                  <w:r>
                    <w:rPr>
                      <w:rFonts w:hint="eastAsia" w:ascii="宋体" w:hAnsi="宋体" w:cs="宋体"/>
                      <w:color w:val="auto"/>
                      <w:kern w:val="0"/>
                      <w:szCs w:val="21"/>
                      <w:highlight w:val="none"/>
                      <w:u w:val="single"/>
                      <w:lang w:bidi="ar"/>
                    </w:rPr>
                    <w:t>损耗量</w:t>
                  </w:r>
                </w:p>
              </w:tc>
              <w:tc>
                <w:tcPr>
                  <w:tcW w:w="617" w:type="pct"/>
                  <w:tcBorders>
                    <w:tl2br w:val="nil"/>
                    <w:tr2bl w:val="nil"/>
                  </w:tcBorders>
                  <w:vAlign w:val="center"/>
                </w:tcPr>
                <w:p w14:paraId="3BF231E3">
                  <w:pPr>
                    <w:widowControl/>
                    <w:jc w:val="center"/>
                    <w:textAlignment w:val="center"/>
                    <w:rPr>
                      <w:color w:val="auto"/>
                      <w:szCs w:val="21"/>
                      <w:highlight w:val="none"/>
                      <w:u w:val="single"/>
                    </w:rPr>
                  </w:pPr>
                  <w:r>
                    <w:rPr>
                      <w:rFonts w:hint="eastAsia" w:ascii="宋体" w:hAnsi="宋体" w:cs="宋体"/>
                      <w:color w:val="auto"/>
                      <w:kern w:val="0"/>
                      <w:szCs w:val="21"/>
                      <w:highlight w:val="none"/>
                      <w:u w:val="single"/>
                      <w:lang w:bidi="ar"/>
                    </w:rPr>
                    <w:t>排水</w:t>
                  </w:r>
                </w:p>
              </w:tc>
              <w:tc>
                <w:tcPr>
                  <w:tcW w:w="1505" w:type="pct"/>
                  <w:tcBorders>
                    <w:tl2br w:val="nil"/>
                    <w:tr2bl w:val="nil"/>
                  </w:tcBorders>
                  <w:vAlign w:val="center"/>
                </w:tcPr>
                <w:p w14:paraId="70FF6B1E">
                  <w:pPr>
                    <w:widowControl/>
                    <w:jc w:val="center"/>
                    <w:textAlignment w:val="center"/>
                    <w:rPr>
                      <w:rFonts w:ascii="宋体" w:hAnsi="宋体" w:cs="宋体"/>
                      <w:color w:val="auto"/>
                      <w:kern w:val="0"/>
                      <w:szCs w:val="21"/>
                      <w:highlight w:val="none"/>
                      <w:u w:val="single"/>
                      <w:lang w:bidi="ar"/>
                    </w:rPr>
                  </w:pPr>
                  <w:r>
                    <w:rPr>
                      <w:rFonts w:hint="eastAsia" w:ascii="宋体" w:hAnsi="宋体" w:cs="宋体"/>
                      <w:color w:val="auto"/>
                      <w:kern w:val="0"/>
                      <w:szCs w:val="21"/>
                      <w:highlight w:val="none"/>
                      <w:u w:val="single"/>
                      <w:lang w:bidi="ar"/>
                    </w:rPr>
                    <w:t>去向</w:t>
                  </w:r>
                </w:p>
              </w:tc>
            </w:tr>
            <w:tr w14:paraId="37DBD4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1123" w:type="pct"/>
                  <w:tcBorders>
                    <w:tl2br w:val="nil"/>
                    <w:tr2bl w:val="nil"/>
                  </w:tcBorders>
                  <w:vAlign w:val="center"/>
                </w:tcPr>
                <w:p w14:paraId="15816065">
                  <w:pPr>
                    <w:widowControl/>
                    <w:jc w:val="center"/>
                    <w:textAlignment w:val="center"/>
                    <w:rPr>
                      <w:rFonts w:hint="eastAsia" w:ascii="宋体" w:hAnsi="宋体" w:eastAsia="宋体" w:cs="宋体"/>
                      <w:color w:val="auto"/>
                      <w:kern w:val="0"/>
                      <w:szCs w:val="21"/>
                      <w:highlight w:val="none"/>
                      <w:u w:val="single"/>
                      <w:lang w:eastAsia="zh-CN" w:bidi="ar"/>
                    </w:rPr>
                  </w:pPr>
                  <w:r>
                    <w:rPr>
                      <w:rFonts w:hint="eastAsia" w:ascii="宋体" w:hAnsi="宋体" w:cs="宋体"/>
                      <w:color w:val="auto"/>
                      <w:kern w:val="0"/>
                      <w:szCs w:val="21"/>
                      <w:highlight w:val="none"/>
                      <w:u w:val="single"/>
                      <w:lang w:eastAsia="zh-CN" w:bidi="ar"/>
                    </w:rPr>
                    <w:t>浇渣用水</w:t>
                  </w:r>
                </w:p>
              </w:tc>
              <w:tc>
                <w:tcPr>
                  <w:tcW w:w="855" w:type="pct"/>
                  <w:tcBorders>
                    <w:tl2br w:val="nil"/>
                    <w:tr2bl w:val="nil"/>
                  </w:tcBorders>
                  <w:vAlign w:val="center"/>
                </w:tcPr>
                <w:p w14:paraId="7273A319">
                  <w:pPr>
                    <w:widowControl/>
                    <w:jc w:val="center"/>
                    <w:textAlignment w:val="center"/>
                    <w:rPr>
                      <w:rFonts w:hint="default" w:ascii="Times New Roman" w:hAnsi="Times New Roman" w:cs="Times New Roman"/>
                      <w:color w:val="auto"/>
                      <w:kern w:val="0"/>
                      <w:szCs w:val="21"/>
                      <w:highlight w:val="yellow"/>
                      <w:u w:val="single"/>
                      <w:lang w:val="en-US" w:eastAsia="zh-CN" w:bidi="ar"/>
                    </w:rPr>
                  </w:pPr>
                  <w:r>
                    <w:rPr>
                      <w:rFonts w:hint="eastAsia" w:cs="Times New Roman"/>
                      <w:color w:val="auto"/>
                      <w:kern w:val="0"/>
                      <w:szCs w:val="21"/>
                      <w:highlight w:val="yellow"/>
                      <w:u w:val="single"/>
                      <w:lang w:val="en-US" w:eastAsia="zh-CN" w:bidi="ar"/>
                    </w:rPr>
                    <w:t>104.68</w:t>
                  </w:r>
                </w:p>
              </w:tc>
              <w:tc>
                <w:tcPr>
                  <w:tcW w:w="898" w:type="pct"/>
                  <w:tcBorders>
                    <w:tl2br w:val="nil"/>
                    <w:tr2bl w:val="nil"/>
                  </w:tcBorders>
                  <w:vAlign w:val="center"/>
                </w:tcPr>
                <w:p w14:paraId="58FE5B21">
                  <w:pPr>
                    <w:widowControl/>
                    <w:jc w:val="center"/>
                    <w:textAlignment w:val="center"/>
                    <w:rPr>
                      <w:rFonts w:hint="default" w:ascii="Times New Roman" w:hAnsi="Times New Roman" w:cs="Times New Roman"/>
                      <w:color w:val="auto"/>
                      <w:kern w:val="0"/>
                      <w:szCs w:val="21"/>
                      <w:highlight w:val="yellow"/>
                      <w:u w:val="single"/>
                      <w:lang w:val="en-US" w:eastAsia="zh-CN" w:bidi="ar"/>
                    </w:rPr>
                  </w:pPr>
                  <w:r>
                    <w:rPr>
                      <w:rFonts w:hint="eastAsia" w:cs="Times New Roman"/>
                      <w:color w:val="auto"/>
                      <w:kern w:val="0"/>
                      <w:szCs w:val="21"/>
                      <w:highlight w:val="yellow"/>
                      <w:u w:val="single"/>
                      <w:lang w:val="en-US" w:eastAsia="zh-CN" w:bidi="ar"/>
                    </w:rPr>
                    <w:t>104.68</w:t>
                  </w:r>
                </w:p>
              </w:tc>
              <w:tc>
                <w:tcPr>
                  <w:tcW w:w="617" w:type="pct"/>
                  <w:tcBorders>
                    <w:tl2br w:val="nil"/>
                    <w:tr2bl w:val="nil"/>
                  </w:tcBorders>
                  <w:vAlign w:val="center"/>
                </w:tcPr>
                <w:p w14:paraId="4154B3EC">
                  <w:pPr>
                    <w:widowControl/>
                    <w:jc w:val="center"/>
                    <w:textAlignment w:val="center"/>
                    <w:rPr>
                      <w:rFonts w:hint="default" w:ascii="Times New Roman" w:hAnsi="Times New Roman" w:cs="Times New Roman"/>
                      <w:color w:val="auto"/>
                      <w:kern w:val="0"/>
                      <w:szCs w:val="21"/>
                      <w:highlight w:val="none"/>
                      <w:u w:val="single"/>
                      <w:lang w:bidi="ar"/>
                    </w:rPr>
                  </w:pPr>
                  <w:r>
                    <w:rPr>
                      <w:rFonts w:hint="default" w:ascii="Times New Roman" w:hAnsi="Times New Roman" w:cs="Times New Roman"/>
                      <w:color w:val="auto"/>
                      <w:kern w:val="0"/>
                      <w:szCs w:val="21"/>
                      <w:highlight w:val="none"/>
                      <w:u w:val="single"/>
                      <w:lang w:bidi="ar"/>
                    </w:rPr>
                    <w:t>0</w:t>
                  </w:r>
                </w:p>
              </w:tc>
              <w:tc>
                <w:tcPr>
                  <w:tcW w:w="1505" w:type="pct"/>
                  <w:tcBorders>
                    <w:tl2br w:val="nil"/>
                    <w:tr2bl w:val="nil"/>
                  </w:tcBorders>
                  <w:vAlign w:val="center"/>
                </w:tcPr>
                <w:p w14:paraId="666FCA32">
                  <w:pPr>
                    <w:widowControl/>
                    <w:jc w:val="center"/>
                    <w:textAlignment w:val="center"/>
                    <w:rPr>
                      <w:color w:val="auto"/>
                      <w:kern w:val="0"/>
                      <w:szCs w:val="21"/>
                      <w:highlight w:val="none"/>
                      <w:u w:val="single"/>
                      <w:lang w:bidi="ar"/>
                    </w:rPr>
                  </w:pPr>
                  <w:r>
                    <w:rPr>
                      <w:rFonts w:hint="eastAsia"/>
                      <w:color w:val="auto"/>
                      <w:kern w:val="0"/>
                      <w:szCs w:val="21"/>
                      <w:highlight w:val="none"/>
                      <w:u w:val="single"/>
                      <w:lang w:eastAsia="zh-CN" w:bidi="ar"/>
                    </w:rPr>
                    <w:t>全部进入灰渣，</w:t>
                  </w:r>
                  <w:r>
                    <w:rPr>
                      <w:rFonts w:hint="eastAsia"/>
                      <w:color w:val="auto"/>
                      <w:kern w:val="0"/>
                      <w:szCs w:val="21"/>
                      <w:highlight w:val="none"/>
                      <w:u w:val="single"/>
                      <w:lang w:bidi="ar"/>
                    </w:rPr>
                    <w:t>不外排。</w:t>
                  </w:r>
                </w:p>
              </w:tc>
            </w:tr>
            <w:tr w14:paraId="55A1B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123" w:type="pct"/>
                  <w:tcBorders>
                    <w:tl2br w:val="nil"/>
                    <w:tr2bl w:val="nil"/>
                  </w:tcBorders>
                  <w:vAlign w:val="center"/>
                </w:tcPr>
                <w:p w14:paraId="7ED3324E">
                  <w:pPr>
                    <w:widowControl/>
                    <w:jc w:val="center"/>
                    <w:textAlignment w:val="center"/>
                    <w:rPr>
                      <w:rFonts w:hint="eastAsia" w:ascii="宋体" w:hAnsi="宋体" w:cs="宋体"/>
                      <w:color w:val="auto"/>
                      <w:kern w:val="0"/>
                      <w:szCs w:val="21"/>
                      <w:highlight w:val="none"/>
                      <w:u w:val="single"/>
                      <w:lang w:eastAsia="zh-CN" w:bidi="ar"/>
                    </w:rPr>
                  </w:pPr>
                  <w:r>
                    <w:rPr>
                      <w:rFonts w:hint="eastAsia" w:ascii="宋体" w:hAnsi="宋体" w:cs="宋体"/>
                      <w:color w:val="auto"/>
                      <w:kern w:val="0"/>
                      <w:szCs w:val="21"/>
                      <w:highlight w:val="none"/>
                      <w:u w:val="single"/>
                      <w:lang w:eastAsia="zh-CN" w:bidi="ar"/>
                    </w:rPr>
                    <w:t>生活用水</w:t>
                  </w:r>
                </w:p>
              </w:tc>
              <w:tc>
                <w:tcPr>
                  <w:tcW w:w="855" w:type="pct"/>
                  <w:tcBorders>
                    <w:tl2br w:val="nil"/>
                    <w:tr2bl w:val="nil"/>
                  </w:tcBorders>
                  <w:vAlign w:val="center"/>
                </w:tcPr>
                <w:p w14:paraId="76BE82D1">
                  <w:pPr>
                    <w:widowControl/>
                    <w:jc w:val="center"/>
                    <w:textAlignment w:val="center"/>
                    <w:rPr>
                      <w:rFonts w:hint="default" w:ascii="Times New Roman" w:hAnsi="Times New Roman" w:cs="Times New Roman"/>
                      <w:color w:val="auto"/>
                      <w:kern w:val="0"/>
                      <w:szCs w:val="21"/>
                      <w:highlight w:val="none"/>
                      <w:u w:val="single"/>
                      <w:lang w:val="en-US" w:eastAsia="zh-CN" w:bidi="ar"/>
                    </w:rPr>
                  </w:pPr>
                  <w:r>
                    <w:rPr>
                      <w:rFonts w:hint="default" w:ascii="Times New Roman" w:hAnsi="Times New Roman" w:cs="Times New Roman"/>
                      <w:color w:val="auto"/>
                      <w:kern w:val="0"/>
                      <w:szCs w:val="21"/>
                      <w:highlight w:val="none"/>
                      <w:u w:val="single"/>
                      <w:lang w:val="en-US" w:eastAsia="zh-CN" w:bidi="ar"/>
                    </w:rPr>
                    <w:t>30</w:t>
                  </w:r>
                </w:p>
              </w:tc>
              <w:tc>
                <w:tcPr>
                  <w:tcW w:w="898" w:type="pct"/>
                  <w:tcBorders>
                    <w:tl2br w:val="nil"/>
                    <w:tr2bl w:val="nil"/>
                  </w:tcBorders>
                  <w:vAlign w:val="center"/>
                </w:tcPr>
                <w:p w14:paraId="1F59800B">
                  <w:pPr>
                    <w:widowControl/>
                    <w:jc w:val="center"/>
                    <w:textAlignment w:val="center"/>
                    <w:rPr>
                      <w:rFonts w:hint="default" w:ascii="Times New Roman" w:hAnsi="Times New Roman" w:cs="Times New Roman"/>
                      <w:color w:val="auto"/>
                      <w:kern w:val="0"/>
                      <w:szCs w:val="21"/>
                      <w:highlight w:val="none"/>
                      <w:u w:val="single"/>
                      <w:lang w:val="en-US" w:eastAsia="zh-CN" w:bidi="ar"/>
                    </w:rPr>
                  </w:pPr>
                  <w:r>
                    <w:rPr>
                      <w:rFonts w:hint="default" w:ascii="Times New Roman" w:hAnsi="Times New Roman" w:cs="Times New Roman"/>
                      <w:color w:val="auto"/>
                      <w:kern w:val="0"/>
                      <w:szCs w:val="21"/>
                      <w:highlight w:val="none"/>
                      <w:u w:val="single"/>
                      <w:lang w:val="en-US" w:eastAsia="zh-CN" w:bidi="ar"/>
                    </w:rPr>
                    <w:t>6</w:t>
                  </w:r>
                </w:p>
              </w:tc>
              <w:tc>
                <w:tcPr>
                  <w:tcW w:w="617" w:type="pct"/>
                  <w:tcBorders>
                    <w:tl2br w:val="nil"/>
                    <w:tr2bl w:val="nil"/>
                  </w:tcBorders>
                  <w:vAlign w:val="center"/>
                </w:tcPr>
                <w:p w14:paraId="4704DC62">
                  <w:pPr>
                    <w:widowControl/>
                    <w:jc w:val="center"/>
                    <w:textAlignment w:val="center"/>
                    <w:rPr>
                      <w:rFonts w:hint="default" w:ascii="Times New Roman" w:hAnsi="Times New Roman" w:eastAsia="宋体" w:cs="Times New Roman"/>
                      <w:color w:val="auto"/>
                      <w:kern w:val="0"/>
                      <w:szCs w:val="21"/>
                      <w:highlight w:val="none"/>
                      <w:u w:val="single"/>
                      <w:lang w:val="en-US" w:eastAsia="zh-CN" w:bidi="ar"/>
                    </w:rPr>
                  </w:pPr>
                  <w:r>
                    <w:rPr>
                      <w:rFonts w:hint="default" w:ascii="Times New Roman" w:hAnsi="Times New Roman" w:cs="Times New Roman"/>
                      <w:color w:val="auto"/>
                      <w:kern w:val="0"/>
                      <w:szCs w:val="21"/>
                      <w:highlight w:val="none"/>
                      <w:u w:val="single"/>
                      <w:lang w:val="en-US" w:eastAsia="zh-CN" w:bidi="ar"/>
                    </w:rPr>
                    <w:t>24</w:t>
                  </w:r>
                </w:p>
              </w:tc>
              <w:tc>
                <w:tcPr>
                  <w:tcW w:w="1505" w:type="pct"/>
                  <w:tcBorders>
                    <w:tl2br w:val="nil"/>
                    <w:tr2bl w:val="nil"/>
                  </w:tcBorders>
                  <w:vAlign w:val="center"/>
                </w:tcPr>
                <w:p w14:paraId="6C958D8C">
                  <w:pPr>
                    <w:widowControl/>
                    <w:jc w:val="center"/>
                    <w:textAlignment w:val="center"/>
                    <w:rPr>
                      <w:rFonts w:hint="eastAsia"/>
                      <w:color w:val="auto"/>
                      <w:kern w:val="0"/>
                      <w:szCs w:val="21"/>
                      <w:highlight w:val="none"/>
                      <w:u w:val="single"/>
                      <w:lang w:eastAsia="zh-CN" w:bidi="ar"/>
                    </w:rPr>
                  </w:pPr>
                  <w:r>
                    <w:rPr>
                      <w:rFonts w:hint="eastAsia"/>
                      <w:color w:val="auto"/>
                      <w:kern w:val="0"/>
                      <w:szCs w:val="21"/>
                      <w:highlight w:val="none"/>
                      <w:u w:val="single"/>
                      <w:lang w:eastAsia="zh-CN" w:bidi="ar"/>
                    </w:rPr>
                    <w:t>防渗旱厕</w:t>
                  </w:r>
                </w:p>
              </w:tc>
            </w:tr>
          </w:tbl>
          <w:p w14:paraId="787328BA">
            <w:pPr>
              <w:pStyle w:val="48"/>
              <w:widowControl w:val="0"/>
              <w:overflowPunct w:val="0"/>
              <w:spacing w:line="240" w:lineRule="auto"/>
              <w:ind w:left="0" w:leftChars="0" w:firstLine="0" w:firstLineChars="0"/>
              <w:jc w:val="both"/>
              <w:rPr>
                <w:rFonts w:hint="eastAsia" w:ascii="Times New Roman" w:hAnsi="Times New Roman" w:cs="Times New Roman"/>
                <w:color w:val="auto"/>
                <w:szCs w:val="22"/>
                <w:highlight w:val="none"/>
                <w:u w:val="none" w:color="auto"/>
                <w:lang w:eastAsia="zh-CN"/>
              </w:rPr>
            </w:pPr>
            <w:r>
              <w:rPr>
                <w:color w:val="auto"/>
              </w:rPr>
              <w:drawing>
                <wp:inline distT="0" distB="0" distL="114300" distR="114300">
                  <wp:extent cx="4894580" cy="1569085"/>
                  <wp:effectExtent l="0" t="0" r="1270" b="12065"/>
                  <wp:docPr id="19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1"/>
                          <pic:cNvPicPr>
                            <a:picLocks noChangeAspect="1"/>
                          </pic:cNvPicPr>
                        </pic:nvPicPr>
                        <pic:blipFill>
                          <a:blip r:embed="rId8"/>
                          <a:stretch>
                            <a:fillRect/>
                          </a:stretch>
                        </pic:blipFill>
                        <pic:spPr>
                          <a:xfrm>
                            <a:off x="0" y="0"/>
                            <a:ext cx="4894580" cy="1569085"/>
                          </a:xfrm>
                          <a:prstGeom prst="rect">
                            <a:avLst/>
                          </a:prstGeom>
                          <a:noFill/>
                          <a:ln>
                            <a:noFill/>
                          </a:ln>
                        </pic:spPr>
                      </pic:pic>
                    </a:graphicData>
                  </a:graphic>
                </wp:inline>
              </w:drawing>
            </w:r>
          </w:p>
          <w:p w14:paraId="45146558">
            <w:pPr>
              <w:pStyle w:val="48"/>
              <w:widowControl w:val="0"/>
              <w:overflowPunct w:val="0"/>
              <w:spacing w:line="240" w:lineRule="auto"/>
              <w:ind w:left="0" w:leftChars="0" w:firstLine="0" w:firstLineChars="0"/>
              <w:jc w:val="center"/>
              <w:rPr>
                <w:rFonts w:hint="eastAsia" w:ascii="Times New Roman" w:hAnsi="Times New Roman" w:cs="Times New Roman"/>
                <w:color w:val="auto"/>
                <w:szCs w:val="22"/>
                <w:highlight w:val="none"/>
                <w:u w:val="none" w:color="auto"/>
                <w:lang w:eastAsia="zh-CN"/>
              </w:rPr>
            </w:pPr>
            <w:r>
              <w:rPr>
                <w:rFonts w:hint="eastAsia" w:ascii="Times New Roman" w:hAnsi="Times New Roman" w:cs="Times New Roman"/>
                <w:color w:val="auto"/>
                <w:szCs w:val="22"/>
                <w:highlight w:val="none"/>
                <w:u w:val="none" w:color="auto"/>
                <w:lang w:eastAsia="zh-CN"/>
              </w:rPr>
              <w:drawing>
                <wp:inline distT="0" distB="0" distL="114300" distR="114300">
                  <wp:extent cx="3293110" cy="897255"/>
                  <wp:effectExtent l="0" t="0" r="0" b="0"/>
                  <wp:docPr id="197" name="ECB019B1-382A-4266-B25C-5B523AA43C14-1" descr="C:/Users/Administrator/AppData/Local/Temp/wps.QqYHTv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ECB019B1-382A-4266-B25C-5B523AA43C14-1" descr="C:/Users/Administrator/AppData/Local/Temp/wps.QqYHTvwps"/>
                          <pic:cNvPicPr>
                            <a:picLocks noChangeAspect="1"/>
                          </pic:cNvPicPr>
                        </pic:nvPicPr>
                        <pic:blipFill>
                          <a:blip r:embed="rId9"/>
                          <a:stretch>
                            <a:fillRect/>
                          </a:stretch>
                        </pic:blipFill>
                        <pic:spPr>
                          <a:xfrm>
                            <a:off x="0" y="0"/>
                            <a:ext cx="3293110" cy="897255"/>
                          </a:xfrm>
                          <a:prstGeom prst="rect">
                            <a:avLst/>
                          </a:prstGeom>
                        </pic:spPr>
                      </pic:pic>
                    </a:graphicData>
                  </a:graphic>
                </wp:inline>
              </w:drawing>
            </w:r>
          </w:p>
          <w:p w14:paraId="4027F467">
            <w:pPr>
              <w:pStyle w:val="48"/>
              <w:widowControl w:val="0"/>
              <w:overflowPunct w:val="0"/>
              <w:ind w:firstLine="504"/>
              <w:jc w:val="center"/>
              <w:rPr>
                <w:rFonts w:ascii="Times New Roman" w:hAnsi="Times New Roman" w:eastAsia="宋体" w:cs="Times New Roman"/>
                <w:b/>
                <w:color w:val="auto"/>
                <w:spacing w:val="0"/>
                <w:kern w:val="2"/>
                <w:sz w:val="24"/>
                <w:szCs w:val="24"/>
                <w:highlight w:val="none"/>
                <w:u w:val="single" w:color="auto"/>
                <w:lang w:val="en-US" w:eastAsia="zh-CN" w:bidi="ar-SA"/>
              </w:rPr>
            </w:pPr>
            <w:r>
              <w:rPr>
                <w:rFonts w:hint="eastAsia" w:ascii="Times New Roman" w:hAnsi="Times New Roman" w:eastAsia="宋体" w:cs="Times New Roman"/>
                <w:b/>
                <w:color w:val="auto"/>
                <w:spacing w:val="0"/>
                <w:kern w:val="2"/>
                <w:sz w:val="24"/>
                <w:szCs w:val="24"/>
                <w:highlight w:val="none"/>
                <w:u w:val="single" w:color="auto"/>
                <w:lang w:val="en-US" w:eastAsia="zh-CN" w:bidi="ar-SA"/>
              </w:rPr>
              <w:t>图</w:t>
            </w:r>
            <w:r>
              <w:rPr>
                <w:rFonts w:hint="eastAsia" w:ascii="Times New Roman" w:hAnsi="Times New Roman" w:cs="Times New Roman"/>
                <w:b/>
                <w:color w:val="auto"/>
                <w:spacing w:val="0"/>
                <w:kern w:val="2"/>
                <w:sz w:val="24"/>
                <w:szCs w:val="24"/>
                <w:highlight w:val="none"/>
                <w:u w:val="single" w:color="auto"/>
                <w:lang w:val="en-US" w:eastAsia="zh-CN" w:bidi="ar-SA"/>
              </w:rPr>
              <w:t>2-</w:t>
            </w:r>
            <w:r>
              <w:rPr>
                <w:rFonts w:hint="eastAsia" w:ascii="Times New Roman" w:hAnsi="Times New Roman" w:eastAsia="宋体" w:cs="Times New Roman"/>
                <w:b/>
                <w:color w:val="auto"/>
                <w:spacing w:val="0"/>
                <w:kern w:val="2"/>
                <w:sz w:val="24"/>
                <w:szCs w:val="24"/>
                <w:highlight w:val="none"/>
                <w:u w:val="single" w:color="auto"/>
                <w:lang w:val="en-US" w:eastAsia="zh-CN" w:bidi="ar-SA"/>
              </w:rPr>
              <w:t>1</w:t>
            </w:r>
            <w:r>
              <w:rPr>
                <w:rFonts w:hint="eastAsia" w:ascii="Times New Roman" w:hAnsi="Times New Roman" w:cs="Times New Roman"/>
                <w:b/>
                <w:color w:val="auto"/>
                <w:spacing w:val="0"/>
                <w:kern w:val="2"/>
                <w:sz w:val="24"/>
                <w:szCs w:val="24"/>
                <w:highlight w:val="none"/>
                <w:u w:val="single" w:color="auto"/>
                <w:lang w:val="en-US" w:eastAsia="zh-CN" w:bidi="ar-SA"/>
              </w:rPr>
              <w:t xml:space="preserve"> </w:t>
            </w:r>
            <w:r>
              <w:rPr>
                <w:rFonts w:ascii="Times New Roman" w:hAnsi="Times New Roman" w:eastAsia="宋体" w:cs="Times New Roman"/>
                <w:b/>
                <w:color w:val="auto"/>
                <w:spacing w:val="0"/>
                <w:kern w:val="2"/>
                <w:sz w:val="24"/>
                <w:szCs w:val="24"/>
                <w:highlight w:val="none"/>
                <w:u w:val="single" w:color="auto"/>
                <w:lang w:val="en-US" w:eastAsia="zh-CN" w:bidi="ar-SA"/>
              </w:rPr>
              <w:t>项目</w:t>
            </w:r>
            <w:r>
              <w:rPr>
                <w:rFonts w:hint="eastAsia" w:ascii="Times New Roman" w:hAnsi="Times New Roman" w:eastAsia="宋体" w:cs="Times New Roman"/>
                <w:b/>
                <w:color w:val="auto"/>
                <w:spacing w:val="0"/>
                <w:kern w:val="2"/>
                <w:sz w:val="24"/>
                <w:szCs w:val="24"/>
                <w:highlight w:val="none"/>
                <w:u w:val="single" w:color="auto"/>
                <w:lang w:val="en-US" w:eastAsia="zh-CN" w:bidi="ar-SA"/>
              </w:rPr>
              <w:t>水</w:t>
            </w:r>
            <w:r>
              <w:rPr>
                <w:rFonts w:ascii="Times New Roman" w:hAnsi="Times New Roman" w:eastAsia="宋体" w:cs="Times New Roman"/>
                <w:b/>
                <w:color w:val="auto"/>
                <w:spacing w:val="0"/>
                <w:kern w:val="2"/>
                <w:sz w:val="24"/>
                <w:szCs w:val="24"/>
                <w:highlight w:val="none"/>
                <w:u w:val="single" w:color="auto"/>
                <w:lang w:val="en-US" w:eastAsia="zh-CN" w:bidi="ar-SA"/>
              </w:rPr>
              <w:t>平衡图</w:t>
            </w:r>
            <w:r>
              <w:rPr>
                <w:rFonts w:hint="eastAsia" w:ascii="Times New Roman" w:hAnsi="Times New Roman" w:eastAsia="宋体" w:cs="Times New Roman"/>
                <w:b/>
                <w:color w:val="auto"/>
                <w:spacing w:val="0"/>
                <w:kern w:val="2"/>
                <w:sz w:val="24"/>
                <w:szCs w:val="24"/>
                <w:highlight w:val="none"/>
                <w:u w:val="single" w:color="auto"/>
                <w:lang w:val="en-US" w:eastAsia="zh-CN" w:bidi="ar-SA"/>
              </w:rPr>
              <w:t>（单位m</w:t>
            </w:r>
            <w:r>
              <w:rPr>
                <w:rFonts w:hint="eastAsia" w:ascii="Times New Roman" w:hAnsi="Times New Roman" w:eastAsia="宋体" w:cs="Times New Roman"/>
                <w:b/>
                <w:color w:val="auto"/>
                <w:spacing w:val="0"/>
                <w:kern w:val="2"/>
                <w:sz w:val="24"/>
                <w:szCs w:val="24"/>
                <w:highlight w:val="none"/>
                <w:u w:val="single" w:color="auto"/>
                <w:vertAlign w:val="superscript"/>
                <w:lang w:val="en-US" w:eastAsia="zh-CN" w:bidi="ar-SA"/>
              </w:rPr>
              <w:t>3</w:t>
            </w:r>
            <w:r>
              <w:rPr>
                <w:rFonts w:hint="eastAsia" w:ascii="Times New Roman" w:hAnsi="Times New Roman" w:cs="Times New Roman"/>
                <w:b/>
                <w:color w:val="auto"/>
                <w:spacing w:val="0"/>
                <w:kern w:val="2"/>
                <w:sz w:val="24"/>
                <w:szCs w:val="24"/>
                <w:highlight w:val="none"/>
                <w:u w:val="single" w:color="auto"/>
                <w:vertAlign w:val="baseline"/>
                <w:lang w:val="en-US" w:eastAsia="zh-CN" w:bidi="ar-SA"/>
              </w:rPr>
              <w:t>/a</w:t>
            </w:r>
            <w:r>
              <w:rPr>
                <w:rFonts w:hint="eastAsia" w:ascii="Times New Roman" w:hAnsi="Times New Roman" w:eastAsia="宋体" w:cs="Times New Roman"/>
                <w:b/>
                <w:color w:val="auto"/>
                <w:spacing w:val="0"/>
                <w:kern w:val="2"/>
                <w:sz w:val="24"/>
                <w:szCs w:val="24"/>
                <w:highlight w:val="none"/>
                <w:u w:val="single" w:color="auto"/>
                <w:lang w:val="en-US" w:eastAsia="zh-CN" w:bidi="ar-SA"/>
              </w:rPr>
              <w:t>）</w:t>
            </w:r>
          </w:p>
          <w:p w14:paraId="03FF403F">
            <w:pPr>
              <w:pStyle w:val="48"/>
              <w:widowControl w:val="0"/>
              <w:overflowPunct w:val="0"/>
              <w:spacing w:line="360" w:lineRule="auto"/>
              <w:ind w:firstLine="504"/>
              <w:jc w:val="both"/>
              <w:rPr>
                <w:rFonts w:ascii="Times New Roman" w:hAnsi="Times New Roman" w:cs="Times New Roman"/>
                <w:color w:val="auto"/>
                <w:szCs w:val="22"/>
                <w:highlight w:val="none"/>
                <w:u w:val="none" w:color="auto"/>
              </w:rPr>
            </w:pPr>
            <w:r>
              <w:rPr>
                <w:rFonts w:hint="eastAsia" w:ascii="Times New Roman" w:hAnsi="Times New Roman" w:cs="Times New Roman"/>
                <w:color w:val="auto"/>
                <w:szCs w:val="22"/>
                <w:highlight w:val="none"/>
                <w:u w:val="none" w:color="auto"/>
                <w:lang w:val="en-US" w:eastAsia="zh-CN"/>
              </w:rPr>
              <w:t>2、</w:t>
            </w:r>
            <w:r>
              <w:rPr>
                <w:rFonts w:ascii="Times New Roman" w:hAnsi="Times New Roman" w:cs="Times New Roman"/>
                <w:color w:val="auto"/>
                <w:szCs w:val="22"/>
                <w:highlight w:val="none"/>
                <w:u w:val="none" w:color="auto"/>
              </w:rPr>
              <w:t>供电</w:t>
            </w:r>
          </w:p>
          <w:p w14:paraId="44E72417">
            <w:pPr>
              <w:pStyle w:val="48"/>
              <w:widowControl w:val="0"/>
              <w:overflowPunct w:val="0"/>
              <w:spacing w:line="360" w:lineRule="auto"/>
              <w:ind w:firstLine="504"/>
              <w:jc w:val="both"/>
              <w:rPr>
                <w:rFonts w:ascii="Times New Roman" w:hAnsi="Times New Roman" w:cs="Times New Roman"/>
                <w:color w:val="auto"/>
                <w:szCs w:val="22"/>
                <w:highlight w:val="none"/>
                <w:u w:val="none" w:color="auto"/>
              </w:rPr>
            </w:pPr>
            <w:r>
              <w:rPr>
                <w:rFonts w:ascii="Times New Roman" w:hAnsi="Times New Roman" w:cs="Times New Roman"/>
                <w:color w:val="auto"/>
                <w:szCs w:val="22"/>
                <w:highlight w:val="none"/>
                <w:u w:val="none" w:color="auto"/>
              </w:rPr>
              <w:t>项目依托厂区现有供电</w:t>
            </w:r>
            <w:r>
              <w:rPr>
                <w:rFonts w:hint="eastAsia" w:ascii="Times New Roman" w:hAnsi="Times New Roman" w:cs="Times New Roman"/>
                <w:color w:val="auto"/>
                <w:szCs w:val="22"/>
                <w:highlight w:val="none"/>
                <w:u w:val="none" w:color="auto"/>
                <w:lang w:val="en-US" w:eastAsia="zh-CN"/>
              </w:rPr>
              <w:t>管网</w:t>
            </w:r>
            <w:r>
              <w:rPr>
                <w:rFonts w:ascii="Times New Roman" w:hAnsi="Times New Roman" w:cs="Times New Roman"/>
                <w:color w:val="auto"/>
                <w:szCs w:val="22"/>
                <w:highlight w:val="none"/>
                <w:u w:val="none" w:color="auto"/>
              </w:rPr>
              <w:t>，可满足本项目用电需求</w:t>
            </w:r>
            <w:r>
              <w:rPr>
                <w:rFonts w:hint="eastAsia" w:ascii="Times New Roman" w:hAnsi="Times New Roman" w:cs="Times New Roman"/>
                <w:color w:val="auto"/>
                <w:szCs w:val="22"/>
                <w:highlight w:val="none"/>
                <w:u w:val="none" w:color="auto"/>
              </w:rPr>
              <w:t>。</w:t>
            </w:r>
          </w:p>
          <w:p w14:paraId="6CD9BA25">
            <w:pPr>
              <w:pStyle w:val="48"/>
              <w:widowControl w:val="0"/>
              <w:overflowPunct w:val="0"/>
              <w:spacing w:line="360" w:lineRule="auto"/>
              <w:ind w:firstLine="504"/>
              <w:jc w:val="both"/>
              <w:rPr>
                <w:rFonts w:hint="eastAsia" w:ascii="Times New Roman" w:hAnsi="Times New Roman" w:eastAsia="宋体" w:cs="Times New Roman"/>
                <w:color w:val="auto"/>
                <w:szCs w:val="22"/>
                <w:highlight w:val="none"/>
                <w:u w:val="none" w:color="auto"/>
                <w:lang w:eastAsia="zh-CN"/>
              </w:rPr>
            </w:pPr>
            <w:r>
              <w:rPr>
                <w:rFonts w:hint="eastAsia" w:ascii="Times New Roman" w:hAnsi="Times New Roman" w:cs="Times New Roman"/>
                <w:color w:val="auto"/>
                <w:szCs w:val="22"/>
                <w:highlight w:val="none"/>
                <w:u w:val="none" w:color="auto"/>
                <w:lang w:val="en-US" w:eastAsia="zh-CN"/>
              </w:rPr>
              <w:t>3、</w:t>
            </w:r>
            <w:r>
              <w:rPr>
                <w:rFonts w:ascii="Times New Roman" w:hAnsi="Times New Roman" w:cs="Times New Roman"/>
                <w:color w:val="auto"/>
                <w:szCs w:val="22"/>
                <w:highlight w:val="none"/>
                <w:u w:val="none" w:color="auto"/>
              </w:rPr>
              <w:t>供</w:t>
            </w:r>
            <w:r>
              <w:rPr>
                <w:rFonts w:hint="eastAsia" w:ascii="Times New Roman" w:hAnsi="Times New Roman" w:cs="Times New Roman"/>
                <w:color w:val="auto"/>
                <w:szCs w:val="22"/>
                <w:highlight w:val="none"/>
                <w:u w:val="none" w:color="auto"/>
                <w:lang w:val="en-US" w:eastAsia="zh-CN"/>
              </w:rPr>
              <w:t>暖</w:t>
            </w:r>
          </w:p>
          <w:p w14:paraId="3EE339BB">
            <w:pPr>
              <w:pStyle w:val="48"/>
              <w:widowControl w:val="0"/>
              <w:overflowPunct w:val="0"/>
              <w:spacing w:line="360" w:lineRule="auto"/>
              <w:ind w:firstLine="504"/>
              <w:jc w:val="both"/>
              <w:rPr>
                <w:rFonts w:ascii="Times New Roman" w:hAnsi="Times New Roman" w:cs="Times New Roman"/>
                <w:color w:val="auto"/>
                <w:szCs w:val="22"/>
                <w:highlight w:val="none"/>
                <w:u w:val="none" w:color="auto"/>
              </w:rPr>
            </w:pPr>
            <w:r>
              <w:rPr>
                <w:rFonts w:hint="eastAsia" w:ascii="Times New Roman" w:hAnsi="Times New Roman" w:cs="Times New Roman"/>
                <w:color w:val="auto"/>
                <w:szCs w:val="22"/>
                <w:highlight w:val="none"/>
                <w:u w:val="none" w:color="auto"/>
              </w:rPr>
              <w:t>本项目</w:t>
            </w:r>
            <w:r>
              <w:rPr>
                <w:rFonts w:hint="eastAsia" w:ascii="Times New Roman" w:hAnsi="Times New Roman" w:cs="Times New Roman"/>
                <w:color w:val="auto"/>
                <w:szCs w:val="22"/>
                <w:highlight w:val="none"/>
                <w:u w:val="none" w:color="auto"/>
                <w:lang w:val="en-US" w:eastAsia="zh-CN"/>
              </w:rPr>
              <w:t>办公室采用电</w:t>
            </w:r>
            <w:r>
              <w:rPr>
                <w:rFonts w:hint="eastAsia" w:ascii="Times New Roman" w:hAnsi="Times New Roman" w:cs="Times New Roman"/>
                <w:color w:val="auto"/>
                <w:szCs w:val="22"/>
                <w:highlight w:val="none"/>
                <w:u w:val="none" w:color="auto"/>
                <w:lang w:eastAsia="zh-CN"/>
              </w:rPr>
              <w:t>供暖</w:t>
            </w:r>
            <w:r>
              <w:rPr>
                <w:rFonts w:ascii="Times New Roman" w:hAnsi="Times New Roman" w:cs="Times New Roman"/>
                <w:color w:val="auto"/>
                <w:szCs w:val="22"/>
                <w:highlight w:val="none"/>
                <w:u w:val="none" w:color="auto"/>
              </w:rPr>
              <w:t>。</w:t>
            </w:r>
          </w:p>
          <w:p w14:paraId="1EA3AF60">
            <w:pPr>
              <w:pStyle w:val="48"/>
              <w:widowControl w:val="0"/>
              <w:overflowPunct w:val="0"/>
              <w:spacing w:line="360" w:lineRule="auto"/>
              <w:ind w:firstLine="504"/>
              <w:jc w:val="both"/>
              <w:rPr>
                <w:rFonts w:hint="eastAsia" w:ascii="Times New Roman" w:hAnsi="Times New Roman" w:cs="Times New Roman"/>
                <w:color w:val="auto"/>
                <w:szCs w:val="22"/>
                <w:highlight w:val="none"/>
                <w:u w:val="none" w:color="auto"/>
                <w:lang w:val="en-US" w:eastAsia="zh-CN"/>
              </w:rPr>
            </w:pPr>
            <w:r>
              <w:rPr>
                <w:rFonts w:hint="eastAsia" w:ascii="Times New Roman" w:hAnsi="Times New Roman" w:cs="Times New Roman"/>
                <w:color w:val="auto"/>
                <w:spacing w:val="6"/>
                <w:sz w:val="24"/>
                <w:szCs w:val="22"/>
                <w:highlight w:val="none"/>
                <w:u w:val="none" w:color="auto"/>
                <w:lang w:val="en-US" w:eastAsia="zh-CN" w:bidi="ar-SA"/>
              </w:rPr>
              <w:t>4、</w:t>
            </w:r>
            <w:r>
              <w:rPr>
                <w:rFonts w:hint="eastAsia" w:ascii="Times New Roman" w:hAnsi="Times New Roman" w:cs="Times New Roman"/>
                <w:color w:val="auto"/>
                <w:szCs w:val="22"/>
                <w:highlight w:val="none"/>
                <w:u w:val="none" w:color="auto"/>
                <w:lang w:val="en-US" w:eastAsia="zh-CN"/>
              </w:rPr>
              <w:t>供热</w:t>
            </w:r>
          </w:p>
          <w:p w14:paraId="3EB53472">
            <w:pPr>
              <w:pStyle w:val="48"/>
              <w:widowControl w:val="0"/>
              <w:overflowPunct w:val="0"/>
              <w:spacing w:line="360" w:lineRule="auto"/>
              <w:ind w:firstLine="504"/>
              <w:jc w:val="both"/>
              <w:rPr>
                <w:rFonts w:hint="eastAsia" w:ascii="Times New Roman" w:hAnsi="Times New Roman" w:cs="Times New Roman"/>
                <w:color w:val="auto"/>
                <w:szCs w:val="22"/>
                <w:highlight w:val="none"/>
                <w:u w:val="none" w:color="auto"/>
                <w:lang w:val="en-US" w:eastAsia="zh-CN"/>
              </w:rPr>
            </w:pPr>
            <w:r>
              <w:rPr>
                <w:rFonts w:hint="eastAsia" w:ascii="Times New Roman" w:hAnsi="Times New Roman" w:cs="Times New Roman"/>
                <w:color w:val="auto"/>
                <w:szCs w:val="22"/>
                <w:highlight w:val="none"/>
                <w:u w:val="none" w:color="auto"/>
                <w:lang w:val="en-US" w:eastAsia="zh-CN"/>
              </w:rPr>
              <w:t>生产供热来源于6t/h热风炉。</w:t>
            </w:r>
          </w:p>
          <w:p w14:paraId="451DBC96">
            <w:pPr>
              <w:spacing w:line="360" w:lineRule="auto"/>
              <w:rPr>
                <w:rFonts w:hint="default" w:eastAsia="宋体"/>
                <w:color w:val="auto"/>
                <w:highlight w:val="none"/>
                <w:u w:val="none" w:color="auto"/>
                <w:lang w:val="en-US" w:eastAsia="zh-CN"/>
              </w:rPr>
            </w:pPr>
            <w:r>
              <w:rPr>
                <w:rFonts w:hint="eastAsia"/>
                <w:b/>
                <w:color w:val="auto"/>
                <w:sz w:val="24"/>
                <w:highlight w:val="none"/>
                <w:u w:val="none" w:color="auto"/>
                <w:lang w:val="en-US" w:eastAsia="zh-CN"/>
              </w:rPr>
              <w:t>2.9物料平衡</w:t>
            </w:r>
          </w:p>
          <w:p w14:paraId="42A5995B">
            <w:pPr>
              <w:keepNext w:val="0"/>
              <w:keepLines w:val="0"/>
              <w:widowControl/>
              <w:suppressLineNumbers w:val="0"/>
              <w:jc w:val="right"/>
              <w:rPr>
                <w:rFonts w:hint="default" w:eastAsia="宋体"/>
                <w:b/>
                <w:color w:val="auto"/>
                <w:sz w:val="24"/>
                <w:highlight w:val="none"/>
                <w:u w:val="none" w:color="auto"/>
                <w:lang w:val="en-US" w:eastAsia="zh-CN"/>
              </w:rPr>
            </w:pPr>
            <w:r>
              <w:rPr>
                <w:rFonts w:hint="eastAsia"/>
                <w:b/>
                <w:color w:val="auto"/>
                <w:sz w:val="24"/>
                <w:highlight w:val="none"/>
                <w:u w:val="none" w:color="auto"/>
                <w:lang w:val="en-US" w:eastAsia="zh-CN"/>
              </w:rPr>
              <w:t>表2-9项目物料平衡表</w:t>
            </w:r>
            <w:r>
              <w:rPr>
                <w:rFonts w:hint="eastAsia"/>
                <w:lang w:val="en-US" w:eastAsia="zh-CN"/>
              </w:rPr>
              <w:t xml:space="preserve">            </w:t>
            </w:r>
            <w:r>
              <w:rPr>
                <w:rFonts w:hint="eastAsia"/>
                <w:b/>
                <w:color w:val="auto"/>
                <w:sz w:val="24"/>
                <w:highlight w:val="yellow"/>
                <w:u w:val="none" w:color="auto"/>
                <w:lang w:val="en-US" w:eastAsia="zh-CN"/>
              </w:rPr>
              <w:t>计量单位：t</w:t>
            </w:r>
          </w:p>
          <w:tbl>
            <w:tblPr>
              <w:tblStyle w:val="29"/>
              <w:tblW w:w="7720"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1280"/>
              <w:gridCol w:w="1020"/>
              <w:gridCol w:w="2355"/>
              <w:gridCol w:w="1521"/>
            </w:tblGrid>
            <w:tr w14:paraId="3DBC72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824" w:type="dxa"/>
                  <w:gridSpan w:val="2"/>
                  <w:tcBorders>
                    <w:tl2br w:val="nil"/>
                    <w:tr2bl w:val="nil"/>
                  </w:tcBorders>
                  <w:vAlign w:val="center"/>
                </w:tcPr>
                <w:p w14:paraId="2ED5FEB7">
                  <w:pPr>
                    <w:spacing w:line="240" w:lineRule="auto"/>
                    <w:jc w:val="center"/>
                    <w:rPr>
                      <w:rFonts w:hint="eastAsia" w:eastAsia="宋体"/>
                      <w:color w:val="auto"/>
                      <w:highlight w:val="none"/>
                      <w:u w:val="single" w:color="auto"/>
                      <w:lang w:eastAsia="zh-CN"/>
                    </w:rPr>
                  </w:pPr>
                  <w:r>
                    <w:rPr>
                      <w:rFonts w:hint="eastAsia"/>
                      <w:color w:val="auto"/>
                      <w:highlight w:val="none"/>
                      <w:u w:val="single" w:color="auto"/>
                      <w:lang w:val="en-US" w:eastAsia="zh-CN"/>
                    </w:rPr>
                    <w:t>进料</w:t>
                  </w:r>
                </w:p>
              </w:tc>
              <w:tc>
                <w:tcPr>
                  <w:tcW w:w="4896" w:type="dxa"/>
                  <w:gridSpan w:val="3"/>
                  <w:tcBorders>
                    <w:tl2br w:val="nil"/>
                    <w:tr2bl w:val="nil"/>
                  </w:tcBorders>
                  <w:vAlign w:val="center"/>
                </w:tcPr>
                <w:p w14:paraId="02F43E46">
                  <w:pPr>
                    <w:spacing w:line="240" w:lineRule="auto"/>
                    <w:jc w:val="center"/>
                    <w:rPr>
                      <w:rFonts w:hint="eastAsia" w:eastAsia="宋体"/>
                      <w:color w:val="auto"/>
                      <w:highlight w:val="none"/>
                      <w:u w:val="single" w:color="auto"/>
                      <w:lang w:eastAsia="zh-CN"/>
                    </w:rPr>
                  </w:pPr>
                  <w:r>
                    <w:rPr>
                      <w:rFonts w:hint="eastAsia"/>
                      <w:color w:val="auto"/>
                      <w:highlight w:val="none"/>
                      <w:u w:val="single" w:color="auto"/>
                      <w:lang w:val="en-US" w:eastAsia="zh-CN"/>
                    </w:rPr>
                    <w:t>出料</w:t>
                  </w:r>
                </w:p>
              </w:tc>
            </w:tr>
            <w:tr w14:paraId="46C42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44" w:type="dxa"/>
                  <w:vMerge w:val="restart"/>
                  <w:tcBorders>
                    <w:tl2br w:val="nil"/>
                    <w:tr2bl w:val="nil"/>
                  </w:tcBorders>
                  <w:vAlign w:val="center"/>
                </w:tcPr>
                <w:p w14:paraId="54A749DE">
                  <w:pPr>
                    <w:spacing w:line="240" w:lineRule="auto"/>
                    <w:jc w:val="center"/>
                    <w:rPr>
                      <w:color w:val="auto"/>
                      <w:highlight w:val="none"/>
                      <w:u w:val="single" w:color="auto"/>
                    </w:rPr>
                  </w:pPr>
                  <w:r>
                    <w:rPr>
                      <w:rFonts w:hint="eastAsia"/>
                      <w:color w:val="auto"/>
                      <w:highlight w:val="none"/>
                      <w:u w:val="single" w:color="auto"/>
                    </w:rPr>
                    <w:t>湿玉米</w:t>
                  </w:r>
                </w:p>
                <w:p w14:paraId="7E199AE5">
                  <w:pPr>
                    <w:spacing w:line="240" w:lineRule="auto"/>
                    <w:jc w:val="center"/>
                    <w:rPr>
                      <w:color w:val="auto"/>
                      <w:highlight w:val="none"/>
                      <w:u w:val="single" w:color="auto"/>
                    </w:rPr>
                  </w:pPr>
                  <w:r>
                    <w:rPr>
                      <w:rFonts w:hint="eastAsia"/>
                      <w:color w:val="auto"/>
                      <w:highlight w:val="none"/>
                      <w:u w:val="single" w:color="auto"/>
                    </w:rPr>
                    <w:t>（含水2</w:t>
                  </w:r>
                  <w:r>
                    <w:rPr>
                      <w:rFonts w:hint="eastAsia"/>
                      <w:color w:val="auto"/>
                      <w:highlight w:val="none"/>
                      <w:u w:val="single" w:color="auto"/>
                      <w:lang w:val="en-US" w:eastAsia="zh-CN"/>
                    </w:rPr>
                    <w:t>9</w:t>
                  </w:r>
                  <w:r>
                    <w:rPr>
                      <w:rFonts w:hint="eastAsia"/>
                      <w:color w:val="auto"/>
                      <w:highlight w:val="none"/>
                      <w:u w:val="single" w:color="auto"/>
                    </w:rPr>
                    <w:t>%）</w:t>
                  </w:r>
                </w:p>
              </w:tc>
              <w:tc>
                <w:tcPr>
                  <w:tcW w:w="1280" w:type="dxa"/>
                  <w:vMerge w:val="restart"/>
                  <w:tcBorders>
                    <w:tl2br w:val="nil"/>
                    <w:tr2bl w:val="nil"/>
                  </w:tcBorders>
                  <w:vAlign w:val="center"/>
                </w:tcPr>
                <w:p w14:paraId="1A37DE12">
                  <w:pPr>
                    <w:spacing w:line="240" w:lineRule="auto"/>
                    <w:jc w:val="center"/>
                    <w:rPr>
                      <w:rFonts w:hint="default" w:eastAsia="宋体"/>
                      <w:color w:val="auto"/>
                      <w:highlight w:val="none"/>
                      <w:u w:val="single" w:color="auto"/>
                      <w:lang w:val="en-US" w:eastAsia="zh-CN"/>
                    </w:rPr>
                  </w:pPr>
                  <w:r>
                    <w:rPr>
                      <w:rFonts w:hint="eastAsia" w:cs="Times New Roman"/>
                      <w:color w:val="auto"/>
                      <w:szCs w:val="21"/>
                      <w:highlight w:val="none"/>
                      <w:u w:val="single" w:color="auto"/>
                      <w:lang w:val="en-US" w:eastAsia="zh-CN"/>
                    </w:rPr>
                    <w:t>15000</w:t>
                  </w:r>
                </w:p>
              </w:tc>
              <w:tc>
                <w:tcPr>
                  <w:tcW w:w="3375" w:type="dxa"/>
                  <w:gridSpan w:val="2"/>
                  <w:tcBorders>
                    <w:tl2br w:val="nil"/>
                    <w:tr2bl w:val="nil"/>
                  </w:tcBorders>
                  <w:vAlign w:val="center"/>
                </w:tcPr>
                <w:p w14:paraId="7D101071">
                  <w:pPr>
                    <w:spacing w:line="240" w:lineRule="auto"/>
                    <w:jc w:val="center"/>
                    <w:rPr>
                      <w:color w:val="auto"/>
                      <w:highlight w:val="none"/>
                      <w:u w:val="single" w:color="auto"/>
                    </w:rPr>
                  </w:pPr>
                  <w:r>
                    <w:rPr>
                      <w:rFonts w:hint="eastAsia"/>
                      <w:color w:val="auto"/>
                      <w:highlight w:val="none"/>
                      <w:u w:val="single" w:color="auto"/>
                      <w:lang w:val="en-US" w:eastAsia="zh-CN"/>
                    </w:rPr>
                    <w:t>干玉米</w:t>
                  </w:r>
                  <w:r>
                    <w:rPr>
                      <w:rFonts w:hint="eastAsia"/>
                      <w:color w:val="auto"/>
                      <w:highlight w:val="none"/>
                      <w:u w:val="single" w:color="auto"/>
                    </w:rPr>
                    <w:t>（含水</w:t>
                  </w:r>
                  <w:r>
                    <w:rPr>
                      <w:rFonts w:hint="eastAsia"/>
                      <w:color w:val="auto"/>
                      <w:highlight w:val="none"/>
                      <w:u w:val="single" w:color="auto"/>
                      <w:lang w:eastAsia="zh-CN"/>
                    </w:rPr>
                    <w:t>约</w:t>
                  </w:r>
                  <w:r>
                    <w:rPr>
                      <w:rFonts w:hint="eastAsia"/>
                      <w:color w:val="auto"/>
                      <w:highlight w:val="none"/>
                      <w:u w:val="single" w:color="auto"/>
                      <w:lang w:val="en-US" w:eastAsia="zh-CN"/>
                    </w:rPr>
                    <w:t>14</w:t>
                  </w:r>
                  <w:r>
                    <w:rPr>
                      <w:rFonts w:hint="eastAsia"/>
                      <w:color w:val="auto"/>
                      <w:highlight w:val="none"/>
                      <w:u w:val="single" w:color="auto"/>
                    </w:rPr>
                    <w:t>%）</w:t>
                  </w:r>
                </w:p>
              </w:tc>
              <w:tc>
                <w:tcPr>
                  <w:tcW w:w="1521" w:type="dxa"/>
                  <w:tcBorders>
                    <w:tl2br w:val="nil"/>
                    <w:tr2bl w:val="nil"/>
                  </w:tcBorders>
                  <w:vAlign w:val="center"/>
                </w:tcPr>
                <w:p w14:paraId="7AA6EF30">
                  <w:pPr>
                    <w:keepNext w:val="0"/>
                    <w:keepLines w:val="0"/>
                    <w:widowControl/>
                    <w:suppressLineNumbers w:val="0"/>
                    <w:jc w:val="center"/>
                    <w:textAlignment w:val="center"/>
                    <w:rPr>
                      <w:rFonts w:hint="default"/>
                      <w:color w:val="auto"/>
                      <w:highlight w:val="yellow"/>
                      <w:u w:val="single" w:color="auto"/>
                      <w:lang w:val="en-US"/>
                    </w:rPr>
                  </w:pPr>
                  <w:r>
                    <w:rPr>
                      <w:rFonts w:hint="default" w:ascii="Times New Roman" w:hAnsi="Times New Roman" w:eastAsia="宋体" w:cs="Times New Roman"/>
                      <w:i w:val="0"/>
                      <w:iCs w:val="0"/>
                      <w:color w:val="auto"/>
                      <w:kern w:val="0"/>
                      <w:sz w:val="21"/>
                      <w:szCs w:val="21"/>
                      <w:u w:val="single" w:color="auto"/>
                      <w:lang w:val="en-US" w:eastAsia="zh-CN" w:bidi="ar"/>
                    </w:rPr>
                    <w:t>12383.72</w:t>
                  </w:r>
                </w:p>
              </w:tc>
            </w:tr>
            <w:tr w14:paraId="5E2CCB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44" w:type="dxa"/>
                  <w:vMerge w:val="continue"/>
                  <w:tcBorders>
                    <w:tl2br w:val="nil"/>
                    <w:tr2bl w:val="nil"/>
                  </w:tcBorders>
                  <w:vAlign w:val="center"/>
                </w:tcPr>
                <w:p w14:paraId="6F03222E">
                  <w:pPr>
                    <w:spacing w:line="240" w:lineRule="auto"/>
                    <w:jc w:val="center"/>
                    <w:rPr>
                      <w:color w:val="auto"/>
                      <w:highlight w:val="none"/>
                      <w:u w:val="single" w:color="auto"/>
                    </w:rPr>
                  </w:pPr>
                </w:p>
              </w:tc>
              <w:tc>
                <w:tcPr>
                  <w:tcW w:w="1280" w:type="dxa"/>
                  <w:vMerge w:val="continue"/>
                  <w:tcBorders>
                    <w:tl2br w:val="nil"/>
                    <w:tr2bl w:val="nil"/>
                  </w:tcBorders>
                  <w:vAlign w:val="center"/>
                </w:tcPr>
                <w:p w14:paraId="45978A3C">
                  <w:pPr>
                    <w:spacing w:line="240" w:lineRule="auto"/>
                    <w:jc w:val="center"/>
                    <w:rPr>
                      <w:color w:val="auto"/>
                      <w:highlight w:val="none"/>
                      <w:u w:val="single" w:color="auto"/>
                    </w:rPr>
                  </w:pPr>
                </w:p>
              </w:tc>
              <w:tc>
                <w:tcPr>
                  <w:tcW w:w="1020" w:type="dxa"/>
                  <w:vMerge w:val="restart"/>
                  <w:tcBorders>
                    <w:tl2br w:val="nil"/>
                    <w:tr2bl w:val="nil"/>
                  </w:tcBorders>
                  <w:vAlign w:val="center"/>
                </w:tcPr>
                <w:p w14:paraId="05A6C9ED">
                  <w:pPr>
                    <w:spacing w:line="240" w:lineRule="auto"/>
                    <w:jc w:val="center"/>
                    <w:rPr>
                      <w:color w:val="auto"/>
                      <w:highlight w:val="none"/>
                      <w:u w:val="single" w:color="auto"/>
                    </w:rPr>
                  </w:pPr>
                  <w:r>
                    <w:rPr>
                      <w:rFonts w:hint="eastAsia"/>
                      <w:color w:val="auto"/>
                      <w:highlight w:val="none"/>
                      <w:u w:val="single" w:color="auto"/>
                    </w:rPr>
                    <w:t>废气</w:t>
                  </w:r>
                </w:p>
              </w:tc>
              <w:tc>
                <w:tcPr>
                  <w:tcW w:w="2355" w:type="dxa"/>
                  <w:tcBorders>
                    <w:tl2br w:val="nil"/>
                    <w:tr2bl w:val="nil"/>
                  </w:tcBorders>
                  <w:vAlign w:val="center"/>
                </w:tcPr>
                <w:p w14:paraId="658EF82B">
                  <w:pPr>
                    <w:spacing w:line="240" w:lineRule="auto"/>
                    <w:jc w:val="center"/>
                    <w:rPr>
                      <w:color w:val="auto"/>
                      <w:highlight w:val="none"/>
                      <w:u w:val="single" w:color="auto"/>
                    </w:rPr>
                  </w:pPr>
                  <w:r>
                    <w:rPr>
                      <w:rFonts w:hint="eastAsia"/>
                      <w:color w:val="auto"/>
                      <w:highlight w:val="none"/>
                      <w:u w:val="single" w:color="auto"/>
                    </w:rPr>
                    <w:t>水蒸气</w:t>
                  </w:r>
                </w:p>
              </w:tc>
              <w:tc>
                <w:tcPr>
                  <w:tcW w:w="1521" w:type="dxa"/>
                  <w:tcBorders>
                    <w:tl2br w:val="nil"/>
                    <w:tr2bl w:val="nil"/>
                  </w:tcBorders>
                  <w:vAlign w:val="center"/>
                </w:tcPr>
                <w:p w14:paraId="6CCA6D99">
                  <w:pPr>
                    <w:keepNext w:val="0"/>
                    <w:keepLines w:val="0"/>
                    <w:widowControl/>
                    <w:suppressLineNumbers w:val="0"/>
                    <w:jc w:val="center"/>
                    <w:textAlignment w:val="center"/>
                    <w:rPr>
                      <w:rFonts w:hint="default" w:eastAsia="宋体"/>
                      <w:color w:val="auto"/>
                      <w:highlight w:val="yellow"/>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2611.9</w:t>
                  </w:r>
                  <w:r>
                    <w:rPr>
                      <w:rFonts w:hint="eastAsia" w:cs="Times New Roman"/>
                      <w:i w:val="0"/>
                      <w:iCs w:val="0"/>
                      <w:color w:val="auto"/>
                      <w:kern w:val="0"/>
                      <w:sz w:val="21"/>
                      <w:szCs w:val="21"/>
                      <w:u w:val="single" w:color="auto"/>
                      <w:lang w:val="en-US" w:eastAsia="zh-CN" w:bidi="ar"/>
                    </w:rPr>
                    <w:t>16</w:t>
                  </w:r>
                </w:p>
              </w:tc>
            </w:tr>
            <w:tr w14:paraId="075855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44" w:type="dxa"/>
                  <w:vMerge w:val="continue"/>
                  <w:tcBorders>
                    <w:tl2br w:val="nil"/>
                    <w:tr2bl w:val="nil"/>
                  </w:tcBorders>
                  <w:vAlign w:val="center"/>
                </w:tcPr>
                <w:p w14:paraId="18A85F74">
                  <w:pPr>
                    <w:spacing w:line="240" w:lineRule="auto"/>
                    <w:jc w:val="center"/>
                    <w:rPr>
                      <w:color w:val="auto"/>
                      <w:highlight w:val="none"/>
                      <w:u w:val="single" w:color="auto"/>
                    </w:rPr>
                  </w:pPr>
                </w:p>
              </w:tc>
              <w:tc>
                <w:tcPr>
                  <w:tcW w:w="1280" w:type="dxa"/>
                  <w:vMerge w:val="continue"/>
                  <w:tcBorders>
                    <w:tl2br w:val="nil"/>
                    <w:tr2bl w:val="nil"/>
                  </w:tcBorders>
                  <w:vAlign w:val="center"/>
                </w:tcPr>
                <w:p w14:paraId="59DEB678">
                  <w:pPr>
                    <w:spacing w:line="240" w:lineRule="auto"/>
                    <w:jc w:val="center"/>
                    <w:rPr>
                      <w:color w:val="auto"/>
                      <w:highlight w:val="none"/>
                      <w:u w:val="single" w:color="auto"/>
                    </w:rPr>
                  </w:pPr>
                </w:p>
              </w:tc>
              <w:tc>
                <w:tcPr>
                  <w:tcW w:w="1020" w:type="dxa"/>
                  <w:vMerge w:val="continue"/>
                  <w:tcBorders>
                    <w:tl2br w:val="nil"/>
                    <w:tr2bl w:val="nil"/>
                  </w:tcBorders>
                  <w:vAlign w:val="center"/>
                </w:tcPr>
                <w:p w14:paraId="4AC1D4E6">
                  <w:pPr>
                    <w:spacing w:line="240" w:lineRule="auto"/>
                    <w:jc w:val="center"/>
                    <w:rPr>
                      <w:color w:val="auto"/>
                      <w:highlight w:val="none"/>
                      <w:u w:val="single" w:color="auto"/>
                    </w:rPr>
                  </w:pPr>
                </w:p>
              </w:tc>
              <w:tc>
                <w:tcPr>
                  <w:tcW w:w="2355" w:type="dxa"/>
                  <w:tcBorders>
                    <w:tl2br w:val="nil"/>
                    <w:tr2bl w:val="nil"/>
                  </w:tcBorders>
                  <w:vAlign w:val="center"/>
                </w:tcPr>
                <w:p w14:paraId="3CF15C2D">
                  <w:pPr>
                    <w:spacing w:line="240" w:lineRule="auto"/>
                    <w:jc w:val="center"/>
                    <w:rPr>
                      <w:rFonts w:hint="eastAsia" w:eastAsia="宋体"/>
                      <w:color w:val="auto"/>
                      <w:highlight w:val="none"/>
                      <w:u w:val="single" w:color="auto"/>
                      <w:lang w:eastAsia="zh-CN"/>
                    </w:rPr>
                  </w:pPr>
                  <w:r>
                    <w:rPr>
                      <w:rFonts w:hint="eastAsia"/>
                      <w:color w:val="auto"/>
                      <w:highlight w:val="none"/>
                      <w:u w:val="single" w:color="auto"/>
                      <w:lang w:eastAsia="zh-CN"/>
                    </w:rPr>
                    <w:t>装卸粉尘</w:t>
                  </w:r>
                </w:p>
              </w:tc>
              <w:tc>
                <w:tcPr>
                  <w:tcW w:w="1521" w:type="dxa"/>
                  <w:tcBorders>
                    <w:tl2br w:val="nil"/>
                    <w:tr2bl w:val="nil"/>
                  </w:tcBorders>
                  <w:vAlign w:val="center"/>
                </w:tcPr>
                <w:p w14:paraId="07C62A86">
                  <w:pPr>
                    <w:keepNext w:val="0"/>
                    <w:keepLines w:val="0"/>
                    <w:widowControl/>
                    <w:suppressLineNumbers w:val="0"/>
                    <w:jc w:val="center"/>
                    <w:textAlignment w:val="center"/>
                    <w:rPr>
                      <w:rFonts w:hint="default" w:eastAsia="宋体"/>
                      <w:color w:val="auto"/>
                      <w:highlight w:val="yellow"/>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0.006</w:t>
                  </w:r>
                </w:p>
              </w:tc>
            </w:tr>
            <w:tr w14:paraId="7D4CCB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44" w:type="dxa"/>
                  <w:vMerge w:val="continue"/>
                  <w:tcBorders>
                    <w:tl2br w:val="nil"/>
                    <w:tr2bl w:val="nil"/>
                  </w:tcBorders>
                  <w:vAlign w:val="center"/>
                </w:tcPr>
                <w:p w14:paraId="08A956F8">
                  <w:pPr>
                    <w:spacing w:line="240" w:lineRule="auto"/>
                    <w:jc w:val="center"/>
                    <w:rPr>
                      <w:color w:val="auto"/>
                      <w:highlight w:val="none"/>
                      <w:u w:val="single" w:color="auto"/>
                    </w:rPr>
                  </w:pPr>
                </w:p>
              </w:tc>
              <w:tc>
                <w:tcPr>
                  <w:tcW w:w="1280" w:type="dxa"/>
                  <w:vMerge w:val="continue"/>
                  <w:tcBorders>
                    <w:tl2br w:val="nil"/>
                    <w:tr2bl w:val="nil"/>
                  </w:tcBorders>
                  <w:vAlign w:val="center"/>
                </w:tcPr>
                <w:p w14:paraId="73FF6FE7">
                  <w:pPr>
                    <w:spacing w:line="240" w:lineRule="auto"/>
                    <w:jc w:val="center"/>
                    <w:rPr>
                      <w:color w:val="auto"/>
                      <w:highlight w:val="none"/>
                      <w:u w:val="single" w:color="auto"/>
                    </w:rPr>
                  </w:pPr>
                </w:p>
              </w:tc>
              <w:tc>
                <w:tcPr>
                  <w:tcW w:w="1020" w:type="dxa"/>
                  <w:vMerge w:val="continue"/>
                  <w:tcBorders>
                    <w:tl2br w:val="nil"/>
                    <w:tr2bl w:val="nil"/>
                  </w:tcBorders>
                  <w:vAlign w:val="center"/>
                </w:tcPr>
                <w:p w14:paraId="01A05CFF">
                  <w:pPr>
                    <w:spacing w:line="240" w:lineRule="auto"/>
                    <w:jc w:val="center"/>
                    <w:rPr>
                      <w:color w:val="auto"/>
                      <w:highlight w:val="none"/>
                      <w:u w:val="single" w:color="auto"/>
                    </w:rPr>
                  </w:pPr>
                </w:p>
              </w:tc>
              <w:tc>
                <w:tcPr>
                  <w:tcW w:w="2355" w:type="dxa"/>
                  <w:tcBorders>
                    <w:tl2br w:val="nil"/>
                    <w:tr2bl w:val="nil"/>
                  </w:tcBorders>
                  <w:vAlign w:val="center"/>
                </w:tcPr>
                <w:p w14:paraId="58BC997C">
                  <w:pPr>
                    <w:spacing w:line="240" w:lineRule="auto"/>
                    <w:jc w:val="center"/>
                    <w:rPr>
                      <w:color w:val="auto"/>
                      <w:highlight w:val="none"/>
                      <w:u w:val="single" w:color="auto"/>
                    </w:rPr>
                  </w:pPr>
                  <w:r>
                    <w:rPr>
                      <w:color w:val="auto"/>
                      <w:highlight w:val="none"/>
                      <w:u w:val="single" w:color="auto"/>
                    </w:rPr>
                    <w:t>筛分粉尘</w:t>
                  </w:r>
                </w:p>
              </w:tc>
              <w:tc>
                <w:tcPr>
                  <w:tcW w:w="1521" w:type="dxa"/>
                  <w:tcBorders>
                    <w:tl2br w:val="nil"/>
                    <w:tr2bl w:val="nil"/>
                  </w:tcBorders>
                  <w:vAlign w:val="center"/>
                </w:tcPr>
                <w:p w14:paraId="7B55DA5F">
                  <w:pPr>
                    <w:keepNext w:val="0"/>
                    <w:keepLines w:val="0"/>
                    <w:widowControl/>
                    <w:suppressLineNumbers w:val="0"/>
                    <w:jc w:val="center"/>
                    <w:textAlignment w:val="center"/>
                    <w:rPr>
                      <w:rFonts w:hint="default"/>
                      <w:color w:val="auto"/>
                      <w:highlight w:val="yellow"/>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0.248</w:t>
                  </w:r>
                </w:p>
              </w:tc>
            </w:tr>
            <w:tr w14:paraId="314635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44" w:type="dxa"/>
                  <w:vMerge w:val="continue"/>
                  <w:tcBorders>
                    <w:tl2br w:val="nil"/>
                    <w:tr2bl w:val="nil"/>
                  </w:tcBorders>
                  <w:vAlign w:val="center"/>
                </w:tcPr>
                <w:p w14:paraId="0794565C">
                  <w:pPr>
                    <w:spacing w:line="240" w:lineRule="auto"/>
                    <w:jc w:val="center"/>
                    <w:rPr>
                      <w:color w:val="auto"/>
                      <w:highlight w:val="none"/>
                      <w:u w:val="single" w:color="auto"/>
                    </w:rPr>
                  </w:pPr>
                </w:p>
              </w:tc>
              <w:tc>
                <w:tcPr>
                  <w:tcW w:w="1280" w:type="dxa"/>
                  <w:vMerge w:val="continue"/>
                  <w:tcBorders>
                    <w:tl2br w:val="nil"/>
                    <w:tr2bl w:val="nil"/>
                  </w:tcBorders>
                  <w:vAlign w:val="center"/>
                </w:tcPr>
                <w:p w14:paraId="43133831">
                  <w:pPr>
                    <w:spacing w:line="240" w:lineRule="auto"/>
                    <w:jc w:val="center"/>
                    <w:rPr>
                      <w:color w:val="auto"/>
                      <w:highlight w:val="none"/>
                      <w:u w:val="single" w:color="auto"/>
                    </w:rPr>
                  </w:pPr>
                </w:p>
              </w:tc>
              <w:tc>
                <w:tcPr>
                  <w:tcW w:w="1020" w:type="dxa"/>
                  <w:vMerge w:val="continue"/>
                  <w:tcBorders>
                    <w:tl2br w:val="nil"/>
                    <w:tr2bl w:val="nil"/>
                  </w:tcBorders>
                  <w:vAlign w:val="center"/>
                </w:tcPr>
                <w:p w14:paraId="44252C54">
                  <w:pPr>
                    <w:spacing w:line="240" w:lineRule="auto"/>
                    <w:jc w:val="center"/>
                    <w:rPr>
                      <w:color w:val="auto"/>
                      <w:highlight w:val="none"/>
                      <w:u w:val="single" w:color="auto"/>
                    </w:rPr>
                  </w:pPr>
                </w:p>
              </w:tc>
              <w:tc>
                <w:tcPr>
                  <w:tcW w:w="2355" w:type="dxa"/>
                  <w:tcBorders>
                    <w:tl2br w:val="nil"/>
                    <w:tr2bl w:val="nil"/>
                  </w:tcBorders>
                  <w:vAlign w:val="center"/>
                </w:tcPr>
                <w:p w14:paraId="3F5F606D">
                  <w:pPr>
                    <w:spacing w:line="240" w:lineRule="auto"/>
                    <w:jc w:val="center"/>
                    <w:rPr>
                      <w:rFonts w:hint="eastAsia" w:eastAsia="宋体"/>
                      <w:color w:val="auto"/>
                      <w:highlight w:val="none"/>
                      <w:u w:val="single" w:color="auto"/>
                      <w:lang w:eastAsia="zh-CN"/>
                    </w:rPr>
                  </w:pPr>
                  <w:r>
                    <w:rPr>
                      <w:rFonts w:hint="eastAsia"/>
                      <w:color w:val="auto"/>
                      <w:highlight w:val="none"/>
                      <w:u w:val="single" w:color="auto"/>
                      <w:lang w:eastAsia="zh-CN"/>
                    </w:rPr>
                    <w:t>烘干粉尘</w:t>
                  </w:r>
                </w:p>
              </w:tc>
              <w:tc>
                <w:tcPr>
                  <w:tcW w:w="1521" w:type="dxa"/>
                  <w:tcBorders>
                    <w:tl2br w:val="nil"/>
                    <w:tr2bl w:val="nil"/>
                  </w:tcBorders>
                  <w:vAlign w:val="center"/>
                </w:tcPr>
                <w:p w14:paraId="40F5BC4E">
                  <w:pPr>
                    <w:keepNext w:val="0"/>
                    <w:keepLines w:val="0"/>
                    <w:widowControl/>
                    <w:suppressLineNumbers w:val="0"/>
                    <w:jc w:val="center"/>
                    <w:textAlignment w:val="center"/>
                    <w:rPr>
                      <w:rFonts w:hint="default"/>
                      <w:color w:val="auto"/>
                      <w:highlight w:val="yellow"/>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0.619</w:t>
                  </w:r>
                </w:p>
              </w:tc>
            </w:tr>
            <w:tr w14:paraId="3033A9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44" w:type="dxa"/>
                  <w:vMerge w:val="continue"/>
                  <w:tcBorders>
                    <w:tl2br w:val="nil"/>
                    <w:tr2bl w:val="nil"/>
                  </w:tcBorders>
                  <w:vAlign w:val="center"/>
                </w:tcPr>
                <w:p w14:paraId="37C76527">
                  <w:pPr>
                    <w:spacing w:line="240" w:lineRule="auto"/>
                    <w:jc w:val="center"/>
                    <w:rPr>
                      <w:color w:val="auto"/>
                      <w:highlight w:val="none"/>
                      <w:u w:val="single" w:color="auto"/>
                    </w:rPr>
                  </w:pPr>
                </w:p>
              </w:tc>
              <w:tc>
                <w:tcPr>
                  <w:tcW w:w="1280" w:type="dxa"/>
                  <w:vMerge w:val="continue"/>
                  <w:tcBorders>
                    <w:tl2br w:val="nil"/>
                    <w:tr2bl w:val="nil"/>
                  </w:tcBorders>
                  <w:vAlign w:val="center"/>
                </w:tcPr>
                <w:p w14:paraId="35B882AA">
                  <w:pPr>
                    <w:spacing w:line="240" w:lineRule="auto"/>
                    <w:jc w:val="center"/>
                    <w:rPr>
                      <w:color w:val="auto"/>
                      <w:highlight w:val="none"/>
                      <w:u w:val="single" w:color="auto"/>
                    </w:rPr>
                  </w:pPr>
                </w:p>
              </w:tc>
              <w:tc>
                <w:tcPr>
                  <w:tcW w:w="1020" w:type="dxa"/>
                  <w:vMerge w:val="restart"/>
                  <w:tcBorders>
                    <w:tl2br w:val="nil"/>
                    <w:tr2bl w:val="nil"/>
                  </w:tcBorders>
                  <w:vAlign w:val="center"/>
                </w:tcPr>
                <w:p w14:paraId="275788C1">
                  <w:pPr>
                    <w:spacing w:line="240" w:lineRule="auto"/>
                    <w:jc w:val="center"/>
                    <w:rPr>
                      <w:color w:val="auto"/>
                      <w:highlight w:val="none"/>
                      <w:u w:val="single" w:color="auto"/>
                    </w:rPr>
                  </w:pPr>
                  <w:r>
                    <w:rPr>
                      <w:rFonts w:hint="eastAsia"/>
                      <w:color w:val="auto"/>
                      <w:highlight w:val="none"/>
                      <w:u w:val="single" w:color="auto"/>
                    </w:rPr>
                    <w:t>固废</w:t>
                  </w:r>
                </w:p>
              </w:tc>
              <w:tc>
                <w:tcPr>
                  <w:tcW w:w="2355" w:type="dxa"/>
                  <w:tcBorders>
                    <w:tl2br w:val="nil"/>
                    <w:tr2bl w:val="nil"/>
                  </w:tcBorders>
                  <w:vAlign w:val="center"/>
                </w:tcPr>
                <w:p w14:paraId="0150E597">
                  <w:pPr>
                    <w:spacing w:line="240" w:lineRule="auto"/>
                    <w:jc w:val="center"/>
                    <w:rPr>
                      <w:rFonts w:hint="eastAsia"/>
                      <w:color w:val="auto"/>
                      <w:highlight w:val="none"/>
                      <w:u w:val="single" w:color="auto"/>
                      <w:lang w:eastAsia="zh-CN"/>
                    </w:rPr>
                  </w:pPr>
                  <w:r>
                    <w:rPr>
                      <w:rFonts w:hint="eastAsia" w:ascii="Times New Roman" w:hAnsi="Times New Roman" w:eastAsia="宋体" w:cs="Times New Roman"/>
                      <w:color w:val="auto"/>
                      <w:highlight w:val="yellow"/>
                      <w:u w:val="single" w:color="auto"/>
                      <w:lang w:val="en-US" w:eastAsia="zh-CN"/>
                    </w:rPr>
                    <w:t>原粮杂质</w:t>
                  </w:r>
                  <w:r>
                    <w:rPr>
                      <w:rFonts w:hint="eastAsia" w:cs="Times New Roman"/>
                      <w:color w:val="auto"/>
                      <w:highlight w:val="yellow"/>
                      <w:u w:val="single" w:color="auto"/>
                      <w:lang w:val="en-US" w:eastAsia="zh-CN"/>
                    </w:rPr>
                    <w:t>（装卸、筛分截留粉尘）</w:t>
                  </w:r>
                </w:p>
              </w:tc>
              <w:tc>
                <w:tcPr>
                  <w:tcW w:w="1521" w:type="dxa"/>
                  <w:tcBorders>
                    <w:tl2br w:val="nil"/>
                    <w:tr2bl w:val="nil"/>
                  </w:tcBorders>
                  <w:vAlign w:val="center"/>
                </w:tcPr>
                <w:p w14:paraId="0E058C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yellow"/>
                      <w:u w:val="single" w:color="auto"/>
                      <w:lang w:val="en-US" w:eastAsia="zh-CN" w:bidi="ar"/>
                    </w:rPr>
                  </w:pPr>
                  <w:r>
                    <w:rPr>
                      <w:rFonts w:hint="default" w:ascii="Times New Roman" w:hAnsi="Times New Roman" w:eastAsia="宋体" w:cs="Times New Roman"/>
                      <w:i w:val="0"/>
                      <w:iCs w:val="0"/>
                      <w:color w:val="auto"/>
                      <w:kern w:val="0"/>
                      <w:sz w:val="21"/>
                      <w:szCs w:val="21"/>
                      <w:u w:val="single" w:color="auto"/>
                      <w:lang w:val="en-US" w:eastAsia="zh-CN" w:bidi="ar"/>
                    </w:rPr>
                    <w:t>1.014</w:t>
                  </w:r>
                </w:p>
              </w:tc>
            </w:tr>
            <w:tr w14:paraId="7812DC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44" w:type="dxa"/>
                  <w:vMerge w:val="continue"/>
                  <w:tcBorders>
                    <w:tl2br w:val="nil"/>
                    <w:tr2bl w:val="nil"/>
                  </w:tcBorders>
                  <w:vAlign w:val="center"/>
                </w:tcPr>
                <w:p w14:paraId="7B18879D">
                  <w:pPr>
                    <w:spacing w:line="240" w:lineRule="auto"/>
                    <w:jc w:val="center"/>
                    <w:rPr>
                      <w:color w:val="auto"/>
                      <w:highlight w:val="none"/>
                      <w:u w:val="single" w:color="auto"/>
                    </w:rPr>
                  </w:pPr>
                </w:p>
              </w:tc>
              <w:tc>
                <w:tcPr>
                  <w:tcW w:w="1280" w:type="dxa"/>
                  <w:vMerge w:val="continue"/>
                  <w:tcBorders>
                    <w:tl2br w:val="nil"/>
                    <w:tr2bl w:val="nil"/>
                  </w:tcBorders>
                  <w:vAlign w:val="center"/>
                </w:tcPr>
                <w:p w14:paraId="54379268">
                  <w:pPr>
                    <w:spacing w:line="240" w:lineRule="auto"/>
                    <w:jc w:val="center"/>
                    <w:rPr>
                      <w:color w:val="auto"/>
                      <w:highlight w:val="none"/>
                      <w:u w:val="single" w:color="auto"/>
                    </w:rPr>
                  </w:pPr>
                </w:p>
              </w:tc>
              <w:tc>
                <w:tcPr>
                  <w:tcW w:w="1020" w:type="dxa"/>
                  <w:vMerge w:val="continue"/>
                  <w:tcBorders>
                    <w:tl2br w:val="nil"/>
                    <w:tr2bl w:val="nil"/>
                  </w:tcBorders>
                  <w:vAlign w:val="center"/>
                </w:tcPr>
                <w:p w14:paraId="59956197">
                  <w:pPr>
                    <w:spacing w:line="240" w:lineRule="auto"/>
                    <w:jc w:val="center"/>
                    <w:rPr>
                      <w:color w:val="auto"/>
                      <w:highlight w:val="none"/>
                      <w:u w:val="single" w:color="auto"/>
                    </w:rPr>
                  </w:pPr>
                </w:p>
              </w:tc>
              <w:tc>
                <w:tcPr>
                  <w:tcW w:w="2355" w:type="dxa"/>
                  <w:tcBorders>
                    <w:tl2br w:val="nil"/>
                    <w:tr2bl w:val="nil"/>
                  </w:tcBorders>
                  <w:vAlign w:val="center"/>
                </w:tcPr>
                <w:p w14:paraId="4BE67BCF">
                  <w:pPr>
                    <w:spacing w:line="240" w:lineRule="auto"/>
                    <w:jc w:val="center"/>
                    <w:rPr>
                      <w:rFonts w:hint="eastAsia" w:eastAsia="宋体"/>
                      <w:color w:val="auto"/>
                      <w:highlight w:val="none"/>
                      <w:u w:val="single" w:color="auto"/>
                      <w:lang w:eastAsia="zh-CN"/>
                    </w:rPr>
                  </w:pPr>
                  <w:r>
                    <w:rPr>
                      <w:rFonts w:hint="eastAsia" w:ascii="Times New Roman" w:hAnsi="Times New Roman" w:eastAsia="宋体" w:cs="Times New Roman"/>
                      <w:color w:val="auto"/>
                      <w:highlight w:val="none"/>
                      <w:u w:val="single" w:color="auto"/>
                      <w:lang w:val="en-US" w:eastAsia="zh-CN"/>
                    </w:rPr>
                    <w:t>烘干截留粉尘</w:t>
                  </w:r>
                </w:p>
              </w:tc>
              <w:tc>
                <w:tcPr>
                  <w:tcW w:w="1521" w:type="dxa"/>
                  <w:tcBorders>
                    <w:tl2br w:val="nil"/>
                    <w:tr2bl w:val="nil"/>
                  </w:tcBorders>
                  <w:vAlign w:val="center"/>
                </w:tcPr>
                <w:p w14:paraId="6484DF51">
                  <w:pPr>
                    <w:keepNext w:val="0"/>
                    <w:keepLines w:val="0"/>
                    <w:widowControl/>
                    <w:suppressLineNumbers w:val="0"/>
                    <w:jc w:val="center"/>
                    <w:textAlignment w:val="center"/>
                    <w:rPr>
                      <w:rFonts w:hint="default" w:eastAsia="宋体"/>
                      <w:color w:val="auto"/>
                      <w:highlight w:val="yellow"/>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2.477</w:t>
                  </w:r>
                </w:p>
              </w:tc>
            </w:tr>
            <w:tr w14:paraId="48F5C8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44" w:type="dxa"/>
                  <w:tcBorders>
                    <w:tl2br w:val="nil"/>
                    <w:tr2bl w:val="nil"/>
                  </w:tcBorders>
                  <w:vAlign w:val="center"/>
                </w:tcPr>
                <w:p w14:paraId="599AB67B">
                  <w:pPr>
                    <w:spacing w:line="240" w:lineRule="auto"/>
                    <w:jc w:val="center"/>
                    <w:rPr>
                      <w:color w:val="auto"/>
                      <w:highlight w:val="none"/>
                      <w:u w:val="single" w:color="auto"/>
                    </w:rPr>
                  </w:pPr>
                  <w:r>
                    <w:rPr>
                      <w:rFonts w:hint="eastAsia"/>
                      <w:color w:val="auto"/>
                      <w:highlight w:val="none"/>
                      <w:u w:val="single" w:color="auto"/>
                    </w:rPr>
                    <w:t>合计</w:t>
                  </w:r>
                </w:p>
              </w:tc>
              <w:tc>
                <w:tcPr>
                  <w:tcW w:w="1280" w:type="dxa"/>
                  <w:tcBorders>
                    <w:tl2br w:val="nil"/>
                    <w:tr2bl w:val="nil"/>
                  </w:tcBorders>
                  <w:vAlign w:val="center"/>
                </w:tcPr>
                <w:p w14:paraId="6201F7BC">
                  <w:pPr>
                    <w:spacing w:line="240" w:lineRule="auto"/>
                    <w:jc w:val="center"/>
                    <w:rPr>
                      <w:rFonts w:hint="default" w:eastAsia="宋体"/>
                      <w:color w:val="auto"/>
                      <w:highlight w:val="none"/>
                      <w:u w:val="single" w:color="auto"/>
                      <w:lang w:val="en-US" w:eastAsia="zh-CN"/>
                    </w:rPr>
                  </w:pPr>
                  <w:r>
                    <w:rPr>
                      <w:rFonts w:hint="eastAsia" w:cs="Times New Roman"/>
                      <w:color w:val="auto"/>
                      <w:szCs w:val="21"/>
                      <w:highlight w:val="none"/>
                      <w:u w:val="single" w:color="auto"/>
                      <w:lang w:val="en-US" w:eastAsia="zh-CN"/>
                    </w:rPr>
                    <w:t>15000</w:t>
                  </w:r>
                </w:p>
              </w:tc>
              <w:tc>
                <w:tcPr>
                  <w:tcW w:w="3375" w:type="dxa"/>
                  <w:gridSpan w:val="2"/>
                  <w:tcBorders>
                    <w:tl2br w:val="nil"/>
                    <w:tr2bl w:val="nil"/>
                  </w:tcBorders>
                  <w:vAlign w:val="center"/>
                </w:tcPr>
                <w:p w14:paraId="40095CC2">
                  <w:pPr>
                    <w:spacing w:line="240" w:lineRule="auto"/>
                    <w:jc w:val="center"/>
                    <w:rPr>
                      <w:color w:val="auto"/>
                      <w:highlight w:val="none"/>
                      <w:u w:val="single" w:color="auto"/>
                    </w:rPr>
                  </w:pPr>
                  <w:r>
                    <w:rPr>
                      <w:rFonts w:hint="eastAsia"/>
                      <w:color w:val="auto"/>
                      <w:highlight w:val="none"/>
                      <w:u w:val="single" w:color="auto"/>
                    </w:rPr>
                    <w:t>总计</w:t>
                  </w:r>
                </w:p>
              </w:tc>
              <w:tc>
                <w:tcPr>
                  <w:tcW w:w="1521" w:type="dxa"/>
                  <w:tcBorders>
                    <w:tl2br w:val="nil"/>
                    <w:tr2bl w:val="nil"/>
                  </w:tcBorders>
                  <w:vAlign w:val="center"/>
                </w:tcPr>
                <w:p w14:paraId="39626D3C">
                  <w:pPr>
                    <w:keepNext w:val="0"/>
                    <w:keepLines w:val="0"/>
                    <w:widowControl/>
                    <w:suppressLineNumbers w:val="0"/>
                    <w:jc w:val="center"/>
                    <w:textAlignment w:val="center"/>
                    <w:rPr>
                      <w:rFonts w:hint="default" w:eastAsia="宋体"/>
                      <w:color w:val="auto"/>
                      <w:highlight w:val="yellow"/>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15000</w:t>
                  </w:r>
                </w:p>
              </w:tc>
            </w:tr>
          </w:tbl>
          <w:p w14:paraId="70751328">
            <w:pPr>
              <w:pStyle w:val="48"/>
              <w:widowControl w:val="0"/>
              <w:overflowPunct w:val="0"/>
              <w:ind w:left="0" w:leftChars="0" w:firstLine="0" w:firstLineChars="0"/>
              <w:jc w:val="both"/>
              <w:rPr>
                <w:color w:val="auto"/>
                <w:highlight w:val="none"/>
                <w:u w:val="none" w:color="auto"/>
              </w:rPr>
            </w:pPr>
          </w:p>
          <w:p w14:paraId="0C09FD34">
            <w:pPr>
              <w:pStyle w:val="48"/>
              <w:widowControl w:val="0"/>
              <w:overflowPunct w:val="0"/>
              <w:ind w:left="0" w:leftChars="0" w:firstLine="0" w:firstLineChars="0"/>
              <w:jc w:val="left"/>
              <w:rPr>
                <w:rFonts w:hint="default" w:eastAsia="宋体"/>
                <w:color w:val="FF0000"/>
                <w:highlight w:val="none"/>
                <w:u w:val="none" w:color="auto"/>
                <w:lang w:val="en-US" w:eastAsia="zh-CN"/>
              </w:rPr>
            </w:pPr>
            <w:r>
              <w:rPr>
                <w:rFonts w:hint="eastAsia"/>
                <w:color w:val="FF0000"/>
                <w:highlight w:val="yellow"/>
                <w:lang w:val="en-US" w:eastAsia="zh-CN"/>
              </w:rPr>
              <w:t>筛分粉尘和装卸粉尘合计为原粮杂质=0.03+1.238-0.006-0.248=1.014t</w:t>
            </w:r>
          </w:p>
          <w:p w14:paraId="0BE9EDB5">
            <w:pPr>
              <w:pStyle w:val="48"/>
              <w:widowControl w:val="0"/>
              <w:overflowPunct w:val="0"/>
              <w:ind w:left="0" w:leftChars="0" w:firstLine="0" w:firstLineChars="0"/>
              <w:jc w:val="both"/>
              <w:rPr>
                <w:color w:val="auto"/>
                <w:highlight w:val="none"/>
                <w:u w:val="none" w:color="auto"/>
              </w:rPr>
            </w:pPr>
          </w:p>
          <w:p w14:paraId="30AEB028">
            <w:pPr>
              <w:pStyle w:val="48"/>
              <w:widowControl w:val="0"/>
              <w:overflowPunct w:val="0"/>
              <w:ind w:left="0" w:leftChars="0" w:firstLine="0" w:firstLineChars="0"/>
              <w:jc w:val="both"/>
              <w:rPr>
                <w:rFonts w:hint="default" w:eastAsia="宋体"/>
                <w:color w:val="auto"/>
                <w:highlight w:val="none"/>
                <w:u w:val="none" w:color="auto"/>
                <w:lang w:val="en-US" w:eastAsia="zh-CN"/>
              </w:rPr>
            </w:pPr>
          </w:p>
          <w:p w14:paraId="4E1BF133">
            <w:pPr>
              <w:pStyle w:val="48"/>
              <w:widowControl w:val="0"/>
              <w:overflowPunct w:val="0"/>
              <w:ind w:left="0" w:leftChars="0" w:firstLine="0" w:firstLineChars="0"/>
              <w:jc w:val="both"/>
              <w:rPr>
                <w:color w:val="auto"/>
                <w:highlight w:val="none"/>
                <w:u w:val="none" w:color="auto"/>
              </w:rPr>
            </w:pPr>
          </w:p>
          <w:p w14:paraId="31CA0A33">
            <w:pPr>
              <w:pStyle w:val="48"/>
              <w:widowControl w:val="0"/>
              <w:overflowPunct w:val="0"/>
              <w:ind w:left="0" w:leftChars="0" w:firstLine="0" w:firstLineChars="0"/>
              <w:jc w:val="both"/>
              <w:rPr>
                <w:color w:val="auto"/>
                <w:highlight w:val="none"/>
                <w:u w:val="none" w:color="auto"/>
              </w:rPr>
            </w:pPr>
          </w:p>
          <w:p w14:paraId="5633D1D9">
            <w:pPr>
              <w:pStyle w:val="48"/>
              <w:widowControl w:val="0"/>
              <w:overflowPunct w:val="0"/>
              <w:ind w:left="0" w:leftChars="0" w:firstLine="0" w:firstLineChars="0"/>
              <w:jc w:val="both"/>
              <w:rPr>
                <w:color w:val="auto"/>
                <w:highlight w:val="none"/>
                <w:u w:val="none" w:color="auto"/>
              </w:rPr>
            </w:pPr>
          </w:p>
          <w:p w14:paraId="29AD74D3">
            <w:pPr>
              <w:pStyle w:val="48"/>
              <w:widowControl w:val="0"/>
              <w:overflowPunct w:val="0"/>
              <w:ind w:left="0" w:leftChars="0" w:firstLine="0" w:firstLineChars="0"/>
              <w:jc w:val="both"/>
              <w:rPr>
                <w:color w:val="auto"/>
                <w:highlight w:val="none"/>
                <w:u w:val="none" w:color="auto"/>
              </w:rPr>
            </w:pPr>
          </w:p>
          <w:p w14:paraId="61A61746">
            <w:pPr>
              <w:pStyle w:val="48"/>
              <w:widowControl w:val="0"/>
              <w:overflowPunct w:val="0"/>
              <w:ind w:left="0" w:leftChars="0" w:firstLine="0" w:firstLineChars="0"/>
              <w:jc w:val="both"/>
              <w:rPr>
                <w:color w:val="auto"/>
                <w:highlight w:val="none"/>
                <w:u w:val="none" w:color="auto"/>
              </w:rPr>
            </w:pPr>
          </w:p>
          <w:p w14:paraId="6817C7DA">
            <w:pPr>
              <w:pStyle w:val="48"/>
              <w:widowControl w:val="0"/>
              <w:overflowPunct w:val="0"/>
              <w:ind w:left="0" w:leftChars="0" w:firstLine="0" w:firstLineChars="0"/>
              <w:jc w:val="both"/>
              <w:rPr>
                <w:color w:val="auto"/>
                <w:highlight w:val="none"/>
                <w:u w:val="none" w:color="auto"/>
              </w:rPr>
            </w:pPr>
          </w:p>
          <w:p w14:paraId="52A4394D">
            <w:pPr>
              <w:pStyle w:val="48"/>
              <w:widowControl w:val="0"/>
              <w:overflowPunct w:val="0"/>
              <w:ind w:left="0" w:leftChars="0" w:firstLine="0" w:firstLineChars="0"/>
              <w:jc w:val="both"/>
              <w:rPr>
                <w:color w:val="auto"/>
                <w:highlight w:val="none"/>
                <w:u w:val="none" w:color="auto"/>
              </w:rPr>
            </w:pPr>
          </w:p>
          <w:p w14:paraId="626FFE10">
            <w:pPr>
              <w:pStyle w:val="48"/>
              <w:widowControl w:val="0"/>
              <w:overflowPunct w:val="0"/>
              <w:ind w:left="0" w:leftChars="0" w:firstLine="0" w:firstLineChars="0"/>
              <w:jc w:val="both"/>
              <w:rPr>
                <w:color w:val="auto"/>
                <w:highlight w:val="none"/>
                <w:u w:val="none" w:color="auto"/>
              </w:rPr>
            </w:pPr>
          </w:p>
          <w:p w14:paraId="2BA7839B">
            <w:pPr>
              <w:pStyle w:val="48"/>
              <w:widowControl w:val="0"/>
              <w:overflowPunct w:val="0"/>
              <w:ind w:left="0" w:leftChars="0" w:firstLine="0" w:firstLineChars="0"/>
              <w:jc w:val="both"/>
              <w:rPr>
                <w:color w:val="auto"/>
                <w:highlight w:val="none"/>
                <w:u w:val="none" w:color="auto"/>
              </w:rPr>
            </w:pPr>
          </w:p>
          <w:p w14:paraId="0BC80EC8">
            <w:pPr>
              <w:pStyle w:val="48"/>
              <w:widowControl w:val="0"/>
              <w:overflowPunct w:val="0"/>
              <w:ind w:left="0" w:leftChars="0" w:firstLine="0" w:firstLineChars="0"/>
              <w:jc w:val="both"/>
              <w:rPr>
                <w:color w:val="auto"/>
                <w:highlight w:val="none"/>
                <w:u w:val="none" w:color="auto"/>
              </w:rPr>
            </w:pPr>
          </w:p>
        </w:tc>
      </w:tr>
      <w:tr w14:paraId="29514E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15" w:hRule="atLeast"/>
          <w:jc w:val="center"/>
        </w:trPr>
        <w:tc>
          <w:tcPr>
            <w:tcW w:w="1116" w:type="dxa"/>
            <w:vAlign w:val="center"/>
          </w:tcPr>
          <w:p w14:paraId="018734CC">
            <w:pPr>
              <w:pStyle w:val="24"/>
              <w:adjustRightInd w:val="0"/>
              <w:snapToGrid w:val="0"/>
              <w:spacing w:before="0" w:beforeAutospacing="0" w:after="0" w:afterAutospacing="0"/>
              <w:jc w:val="center"/>
              <w:rPr>
                <w:rFonts w:cs="宋体"/>
                <w:color w:val="auto"/>
                <w:sz w:val="21"/>
                <w:szCs w:val="21"/>
                <w:highlight w:val="none"/>
                <w:u w:val="none" w:color="auto"/>
              </w:rPr>
            </w:pPr>
            <w:r>
              <w:rPr>
                <w:rFonts w:hint="eastAsia" w:cs="宋体"/>
                <w:color w:val="auto"/>
                <w:sz w:val="21"/>
                <w:szCs w:val="21"/>
                <w:highlight w:val="none"/>
                <w:u w:val="none" w:color="auto"/>
              </w:rPr>
              <w:t>工艺流程和产排污环节</w:t>
            </w:r>
          </w:p>
        </w:tc>
        <w:tc>
          <w:tcPr>
            <w:tcW w:w="7933" w:type="dxa"/>
          </w:tcPr>
          <w:p w14:paraId="3A84F120">
            <w:pPr>
              <w:adjustRightInd w:val="0"/>
              <w:snapToGrid w:val="0"/>
              <w:spacing w:line="360" w:lineRule="auto"/>
              <w:ind w:firstLine="506" w:firstLineChars="200"/>
              <w:rPr>
                <w:b/>
                <w:bCs/>
                <w:color w:val="auto"/>
                <w:spacing w:val="6"/>
                <w:szCs w:val="21"/>
                <w:highlight w:val="none"/>
                <w:u w:val="none" w:color="auto"/>
              </w:rPr>
            </w:pPr>
            <w:r>
              <w:rPr>
                <w:rFonts w:hint="eastAsia"/>
                <w:b/>
                <w:bCs/>
                <w:color w:val="auto"/>
                <w:spacing w:val="6"/>
                <w:sz w:val="24"/>
                <w:highlight w:val="none"/>
                <w:u w:val="none" w:color="auto"/>
                <w:lang w:val="en-US" w:eastAsia="zh-CN"/>
              </w:rPr>
              <w:t>2.10</w:t>
            </w:r>
            <w:r>
              <w:rPr>
                <w:rFonts w:hint="eastAsia"/>
                <w:b/>
                <w:bCs/>
                <w:color w:val="auto"/>
                <w:spacing w:val="6"/>
                <w:sz w:val="24"/>
                <w:highlight w:val="none"/>
                <w:u w:val="none" w:color="auto"/>
              </w:rPr>
              <w:t>施工期</w:t>
            </w:r>
          </w:p>
          <w:p w14:paraId="14C25635">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none" w:color="auto"/>
              </w:rPr>
            </w:pPr>
            <w:r>
              <w:rPr>
                <w:rFonts w:hint="eastAsia" w:ascii="Times New Roman" w:hAnsi="Times New Roman" w:eastAsia="宋体" w:cs="Times New Roman"/>
                <w:color w:val="auto"/>
                <w:position w:val="15"/>
                <w:sz w:val="24"/>
                <w:highlight w:val="none"/>
                <w:u w:val="none" w:color="auto"/>
              </w:rPr>
              <w:t>1、施工期</w:t>
            </w:r>
          </w:p>
          <w:p w14:paraId="7210AE2B">
            <w:pPr>
              <w:adjustRightInd w:val="0"/>
              <w:snapToGrid w:val="0"/>
              <w:spacing w:line="360" w:lineRule="auto"/>
              <w:ind w:firstLine="480" w:firstLineChars="200"/>
              <w:rPr>
                <w:rFonts w:hint="eastAsia" w:cs="Times New Roman"/>
                <w:color w:val="auto"/>
                <w:position w:val="15"/>
                <w:sz w:val="24"/>
                <w:highlight w:val="none"/>
                <w:u w:val="single" w:color="auto"/>
                <w:vertAlign w:val="baseline"/>
                <w:lang w:val="en-US" w:eastAsia="zh-CN"/>
              </w:rPr>
            </w:pPr>
            <w:r>
              <w:rPr>
                <w:rFonts w:hint="eastAsia" w:cs="Times New Roman"/>
                <w:color w:val="auto"/>
                <w:position w:val="15"/>
                <w:sz w:val="24"/>
                <w:highlight w:val="none"/>
                <w:u w:val="single" w:color="auto"/>
                <w:lang w:val="en-US" w:eastAsia="zh-CN"/>
              </w:rPr>
              <w:t>本项目主体已经建成，包括</w:t>
            </w:r>
            <w:r>
              <w:rPr>
                <w:rFonts w:hint="eastAsia" w:cs="Times New Roman"/>
                <w:color w:val="auto"/>
                <w:position w:val="15"/>
                <w:sz w:val="24"/>
                <w:highlight w:val="none"/>
                <w:u w:val="single" w:color="auto"/>
                <w:vertAlign w:val="baseline"/>
                <w:lang w:val="en-US" w:eastAsia="zh-CN"/>
              </w:rPr>
              <w:t>双塔一体烘干塔、热风炉、</w:t>
            </w:r>
            <w:r>
              <w:rPr>
                <w:rFonts w:hint="eastAsia" w:cs="Times New Roman"/>
                <w:color w:val="auto"/>
                <w:position w:val="15"/>
                <w:sz w:val="24"/>
                <w:highlight w:val="none"/>
                <w:u w:val="single" w:color="auto"/>
                <w:lang w:val="en-US" w:eastAsia="zh-CN"/>
              </w:rPr>
              <w:t>潮粮仓</w:t>
            </w:r>
            <w:r>
              <w:rPr>
                <w:rFonts w:hint="eastAsia" w:cs="Times New Roman"/>
                <w:color w:val="auto"/>
                <w:position w:val="15"/>
                <w:sz w:val="24"/>
                <w:highlight w:val="none"/>
                <w:u w:val="single" w:color="auto"/>
                <w:vertAlign w:val="baseline"/>
                <w:lang w:val="en-US" w:eastAsia="zh-CN"/>
              </w:rPr>
              <w:t>、干粮仓、圆筒筛、布袋除尘器及烟囱等，后期加盖热风炉房、增加圆筒筛密闭罩和设备调试后可投产使用。</w:t>
            </w:r>
          </w:p>
          <w:p w14:paraId="3D0B7A65">
            <w:pPr>
              <w:adjustRightInd w:val="0"/>
              <w:snapToGrid w:val="0"/>
              <w:spacing w:line="360" w:lineRule="auto"/>
              <w:ind w:firstLine="480" w:firstLineChars="200"/>
              <w:rPr>
                <w:rFonts w:hint="eastAsia" w:cs="Times New Roman"/>
                <w:color w:val="auto"/>
                <w:position w:val="15"/>
                <w:sz w:val="24"/>
                <w:highlight w:val="none"/>
                <w:u w:val="single" w:color="auto"/>
                <w:lang w:val="en-US" w:eastAsia="zh-CN"/>
              </w:rPr>
            </w:pPr>
            <w:r>
              <w:rPr>
                <w:rFonts w:hint="eastAsia" w:cs="Times New Roman"/>
                <w:color w:val="auto"/>
                <w:position w:val="15"/>
                <w:sz w:val="24"/>
                <w:highlight w:val="none"/>
                <w:u w:val="single" w:color="auto"/>
                <w:lang w:val="en-US" w:eastAsia="zh-CN"/>
              </w:rPr>
              <w:t>（1）已建工程</w:t>
            </w:r>
            <w:r>
              <w:rPr>
                <w:rFonts w:hint="eastAsia" w:cs="Times New Roman"/>
                <w:color w:val="auto"/>
                <w:position w:val="15"/>
                <w:sz w:val="24"/>
                <w:highlight w:val="none"/>
                <w:u w:val="single" w:color="auto"/>
                <w:lang w:eastAsia="zh-CN"/>
              </w:rPr>
              <w:t>施工期包括主体工程建设、设备安装，施工过程中产生扬尘、废水、噪声及固体废物等。</w:t>
            </w:r>
          </w:p>
          <w:p w14:paraId="71D89F5C">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none" w:color="auto"/>
              </w:rPr>
            </w:pPr>
            <w:r>
              <w:rPr>
                <w:rFonts w:hint="eastAsia" w:ascii="Times New Roman" w:hAnsi="Times New Roman" w:cs="Times New Roman"/>
                <w:color w:val="auto"/>
                <w:position w:val="15"/>
                <w:sz w:val="24"/>
                <w:highlight w:val="none"/>
                <w:u w:val="single" w:color="auto"/>
                <w:lang w:eastAsia="zh-CN"/>
              </w:rPr>
              <w:t>已建工程施工期工艺流程及产排污节点</w:t>
            </w:r>
            <w:r>
              <w:rPr>
                <w:rFonts w:hint="eastAsia" w:ascii="Times New Roman" w:hAnsi="Times New Roman" w:eastAsia="宋体" w:cs="Times New Roman"/>
                <w:color w:val="auto"/>
                <w:position w:val="15"/>
                <w:sz w:val="24"/>
                <w:highlight w:val="none"/>
                <w:u w:val="single" w:color="auto"/>
              </w:rPr>
              <w:t>如下</w:t>
            </w:r>
            <w:r>
              <w:rPr>
                <w:rFonts w:hint="eastAsia" w:ascii="Times New Roman" w:hAnsi="Times New Roman" w:eastAsia="宋体" w:cs="Times New Roman"/>
                <w:color w:val="auto"/>
                <w:position w:val="15"/>
                <w:sz w:val="24"/>
                <w:highlight w:val="none"/>
                <w:u w:val="none" w:color="auto"/>
              </w:rPr>
              <w:t>。</w:t>
            </w:r>
          </w:p>
          <w:p w14:paraId="383143F3">
            <w:pPr>
              <w:adjustRightInd w:val="0"/>
              <w:snapToGrid w:val="0"/>
              <w:spacing w:line="360" w:lineRule="auto"/>
              <w:rPr>
                <w:rFonts w:hint="eastAsia" w:ascii="Times New Roman" w:hAnsi="Times New Roman" w:eastAsia="宋体"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 xml:space="preserve">     </w:t>
            </w:r>
            <w:r>
              <w:rPr>
                <w:color w:val="auto"/>
                <w:sz w:val="24"/>
                <w:highlight w:val="none"/>
                <w:u w:val="none" w:color="auto"/>
              </w:rPr>
              <mc:AlternateContent>
                <mc:Choice Requires="wpc">
                  <w:drawing>
                    <wp:inline distT="0" distB="0" distL="114300" distR="114300">
                      <wp:extent cx="4153535" cy="1407160"/>
                      <wp:effectExtent l="4445" t="0" r="0" b="0"/>
                      <wp:docPr id="116" name="画布 116"/>
                      <wp:cNvGraphicFramePr/>
                      <a:graphic xmlns:a="http://schemas.openxmlformats.org/drawingml/2006/main">
                        <a:graphicData uri="http://schemas.microsoft.com/office/word/2010/wordprocessingCanvas">
                          <wpc:wpc>
                            <wpc:bg/>
                            <wpc:whole/>
                            <wps:wsp>
                              <wps:cNvPr id="180" name="直接箭头连接符 45"/>
                              <wps:cNvCnPr/>
                              <wps:spPr>
                                <a:xfrm flipV="1">
                                  <a:off x="681990" y="363220"/>
                                  <a:ext cx="0" cy="228600"/>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g:wgp>
                              <wpg:cNvPr id="181" name="组合 238"/>
                              <wpg:cNvGrpSpPr/>
                              <wpg:grpSpPr>
                                <a:xfrm>
                                  <a:off x="1901190" y="103505"/>
                                  <a:ext cx="1739900" cy="949325"/>
                                  <a:chOff x="3139" y="191"/>
                                  <a:chExt cx="2740" cy="1495"/>
                                </a:xfrm>
                              </wpg:grpSpPr>
                              <wps:wsp>
                                <wps:cNvPr id="182" name="文本框 21"/>
                                <wps:cNvSpPr txBox="1"/>
                                <wps:spPr>
                                  <a:xfrm>
                                    <a:off x="3139" y="992"/>
                                    <a:ext cx="2740" cy="69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202482F">
                                      <w:pPr>
                                        <w:jc w:val="center"/>
                                        <w:rPr>
                                          <w:rFonts w:hint="eastAsia"/>
                                          <w:lang w:eastAsia="zh-CN"/>
                                        </w:rPr>
                                      </w:pPr>
                                      <w:r>
                                        <w:rPr>
                                          <w:rFonts w:hint="eastAsia"/>
                                          <w:lang w:eastAsia="zh-CN"/>
                                        </w:rPr>
                                        <w:t>设备安装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3" name="文本框 61"/>
                                <wps:cNvSpPr txBox="1"/>
                                <wps:spPr>
                                  <a:xfrm>
                                    <a:off x="3675" y="191"/>
                                    <a:ext cx="1572" cy="4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18686F4">
                                      <w:r>
                                        <w:rPr>
                                          <w:rFonts w:hint="eastAsia"/>
                                        </w:rPr>
                                        <w:t>G、N、S、W</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184" name="文本框 88"/>
                              <wps:cNvSpPr txBox="1"/>
                              <wps:spPr>
                                <a:xfrm>
                                  <a:off x="538480" y="1067435"/>
                                  <a:ext cx="3105150" cy="3238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E9C678">
                                    <w:r>
                                      <w:rPr>
                                        <w:rFonts w:hint="eastAsia"/>
                                      </w:rPr>
                                      <w:t>W：废水  G：废气  N：噪声  S：固废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5" name="直接箭头连接符 45"/>
                              <wps:cNvCnPr/>
                              <wps:spPr>
                                <a:xfrm flipV="1">
                                  <a:off x="2816225" y="382905"/>
                                  <a:ext cx="8255" cy="23177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86" name="文本框 21"/>
                              <wps:cNvSpPr txBox="1"/>
                              <wps:spPr>
                                <a:xfrm>
                                  <a:off x="0" y="608330"/>
                                  <a:ext cx="1616075" cy="4502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051CE4D">
                                    <w:pPr>
                                      <w:jc w:val="center"/>
                                      <w:rPr>
                                        <w:rFonts w:hint="eastAsia"/>
                                        <w:lang w:eastAsia="zh-CN"/>
                                      </w:rPr>
                                    </w:pPr>
                                    <w:r>
                                      <w:rPr>
                                        <w:rFonts w:hint="eastAsia"/>
                                        <w:lang w:eastAsia="zh-CN"/>
                                      </w:rPr>
                                      <w:t>主体工程建设</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7" name="文本框 61"/>
                              <wps:cNvSpPr txBox="1"/>
                              <wps:spPr>
                                <a:xfrm>
                                  <a:off x="217805" y="122555"/>
                                  <a:ext cx="998220" cy="2413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E127A5F">
                                    <w:r>
                                      <w:rPr>
                                        <w:rFonts w:hint="eastAsia"/>
                                      </w:rPr>
                                      <w:t>G、N、S、W</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0" name="直接箭头连接符 35"/>
                              <wps:cNvCnPr/>
                              <wps:spPr>
                                <a:xfrm>
                                  <a:off x="1627505" y="779780"/>
                                  <a:ext cx="285750" cy="2540"/>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110.8pt;width:327.05pt;" coordsize="4153535,1407160" editas="canvas" o:gfxdata="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">
                      <o:lock v:ext="edit" aspectratio="f"/>
                      <v:shape id="_x0000_s1026" o:spid="_x0000_s1026" style="position:absolute;left:0;top:0;height:1407160;width:4153535;" filled="f" stroked="f" coordsize="21600,21600" o:gfxdata="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">
                        <v:fill on="f" focussize="0,0"/>
                        <v:stroke on="f"/>
                        <v:imagedata o:title=""/>
                        <o:lock v:ext="edit" aspectratio="f"/>
                      </v:shape>
                      <v:shape id="直接箭头连接符 45" o:spid="_x0000_s1026" o:spt="32" type="#_x0000_t32" style="position:absolute;left:681990;top:363220;flip:y;height:228600;width:0;" filled="f" stroked="t" coordsize="21600,21600" o:gfxdata="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Zt57c1wAAAAUBAAAPAAAAAAAAAAEAIAAA&#10;ACIAAABkcnMvZG93bnJldi54bWxQSwECFAAUAAAACACHTuJAqJnjKg0CAADgAwAADgAAAAAAAAAB&#10;ACAAAAAmAQAAZHJzL2Uyb0RvYy54bWxQSwUGAAAAAAYABgBZAQAApQUAAAAA&#10;">
                        <v:fill on="f" focussize="0,0"/>
                        <v:stroke weight="1pt" color="#000000 [3213]" joinstyle="round" dashstyle="dash" endarrow="block"/>
                        <v:imagedata o:title=""/>
                        <o:lock v:ext="edit" aspectratio="f"/>
                      </v:shape>
                      <v:group id="组合 238" o:spid="_x0000_s1026" o:spt="203" style="position:absolute;left:1901190;top:103505;height:949325;width:1739900;" coordorigin="3139,191" coordsize="2740,1495" o:gfxdata="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">
                        <o:lock v:ext="edit" aspectratio="f"/>
                        <v:shape id="文本框 21" o:spid="_x0000_s1026" o:spt="202" type="#_x0000_t202" style="position:absolute;left:3139;top:992;height:694;width:2740;" fillcolor="#FFFFFF [3201]" filled="t" stroked="t" coordsize="21600,21600" o:gfxdata="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gukugL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14:paraId="3202482F">
                                <w:pPr>
                                  <w:jc w:val="center"/>
                                  <w:rPr>
                                    <w:rFonts w:hint="eastAsia"/>
                                    <w:lang w:eastAsia="zh-CN"/>
                                  </w:rPr>
                                </w:pPr>
                                <w:r>
                                  <w:rPr>
                                    <w:rFonts w:hint="eastAsia"/>
                                    <w:lang w:eastAsia="zh-CN"/>
                                  </w:rPr>
                                  <w:t>设备安装</w:t>
                                </w:r>
                              </w:p>
                            </w:txbxContent>
                          </v:textbox>
                        </v:shape>
                        <v:shape id="文本框 61" o:spid="_x0000_s1026" o:spt="202" type="#_x0000_t202" style="position:absolute;left:3675;top:191;height:425;width:1572;" fillcolor="#FFFFFF [3201]" filled="t" stroked="f" coordsize="21600,21600" o:gfxdata="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qm8dotwAAANwAAAAP&#10;AAAAAAAAAAEAIAAAACIAAABkcnMvZG93bnJldi54bWxQSwECFAAUAAAACACHTuJAMy8FnjsAAAA5&#10;AAAAEAAAAAAAAAABACAAAAAGAQAAZHJzL3NoYXBleG1sLnhtbFBLBQYAAAAABgAGAFsBAACwAwAA&#10;AAA=&#10;">
                          <v:fill on="t" focussize="0,0"/>
                          <v:stroke on="f" weight="0.5pt"/>
                          <v:imagedata o:title=""/>
                          <o:lock v:ext="edit" aspectratio="f"/>
                          <v:textbox>
                            <w:txbxContent>
                              <w:p w14:paraId="618686F4">
                                <w:r>
                                  <w:rPr>
                                    <w:rFonts w:hint="eastAsia"/>
                                  </w:rPr>
                                  <w:t>G、N、S、W</w:t>
                                </w:r>
                              </w:p>
                            </w:txbxContent>
                          </v:textbox>
                        </v:shape>
                      </v:group>
                      <v:shape id="文本框 88" o:spid="_x0000_s1026" o:spt="202" type="#_x0000_t202" style="position:absolute;left:538480;top:1067435;height:323850;width:3105150;" filled="f" stroked="f" coordsize="21600,21600" o:gfxdata="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FAOURjXAAAABQEAAA8AAAAAAAAAAQAgAAAA&#10;IgAAAGRycy9kb3ducmV2LnhtbFBLAQIUABQAAAAIAIdO4kBmPYAjRQIAAHQEAAAOAAAAAAAAAAEA&#10;IAAAACYBAABkcnMvZTJvRG9jLnhtbFBLBQYAAAAABgAGAFkBAADdBQAAAAA=&#10;">
                        <v:fill on="f" focussize="0,0"/>
                        <v:stroke on="f" weight="0.5pt"/>
                        <v:imagedata o:title=""/>
                        <o:lock v:ext="edit" aspectratio="f"/>
                        <v:textbox>
                          <w:txbxContent>
                            <w:p w14:paraId="39E9C678">
                              <w:r>
                                <w:rPr>
                                  <w:rFonts w:hint="eastAsia"/>
                                </w:rPr>
                                <w:t>W：废水  G：废气  N：噪声  S：固废</w:t>
                              </w:r>
                            </w:p>
                          </w:txbxContent>
                        </v:textbox>
                      </v:shape>
                      <v:shape id="直接箭头连接符 45" o:spid="_x0000_s1026" o:spt="32" type="#_x0000_t32" style="position:absolute;left:2816225;top:382905;flip:y;height:231775;width:8255;" filled="f" stroked="t" coordsize="21600,21600" o:gfxdata="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Bm3ntzXAAAABQEAAA8AAAAAAAAA&#10;AQAgAAAAIgAAAGRycy9kb3ducmV2LnhtbFBLAQIUABQAAAAIAIdO4kBLeYNkEgIAAOQDAAAOAAAA&#10;AAAAAAEAIAAAACYBAABkcnMvZTJvRG9jLnhtbFBLBQYAAAAABgAGAFkBAACqBQAAAAA=&#10;">
                        <v:fill on="f" focussize="0,0"/>
                        <v:stroke weight="1pt" color="#000000 [3213]" joinstyle="round" dashstyle="dash" endarrow="block"/>
                        <v:imagedata o:title=""/>
                        <o:lock v:ext="edit" aspectratio="f"/>
                      </v:shape>
                      <v:shape id="文本框 21" o:spid="_x0000_s1026" o:spt="202" type="#_x0000_t202" style="position:absolute;left:0;top:608330;height:450215;width:1616075;" fillcolor="#FFFFFF [3201]" filled="t" stroked="t" coordsize="21600,21600" o:gfxdata="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DGLgO&#10;0wAAAAUBAAAPAAAAAAAAAAEAIAAAACIAAABkcnMvZG93bnJldi54bWxQSwECFAAUAAAACACHTuJA&#10;QfyBB18CAAC/BAAADgAAAAAAAAABACAAAAAiAQAAZHJzL2Uyb0RvYy54bWxQSwUGAAAAAAYABgBZ&#10;AQAA8wUAAAAA&#10;">
                        <v:fill on="t" focussize="0,0"/>
                        <v:stroke weight="0.5pt" color="#000000 [3204]" joinstyle="round"/>
                        <v:imagedata o:title=""/>
                        <o:lock v:ext="edit" aspectratio="f"/>
                        <v:textbox>
                          <w:txbxContent>
                            <w:p w14:paraId="1051CE4D">
                              <w:pPr>
                                <w:jc w:val="center"/>
                                <w:rPr>
                                  <w:rFonts w:hint="eastAsia"/>
                                  <w:lang w:eastAsia="zh-CN"/>
                                </w:rPr>
                              </w:pPr>
                              <w:r>
                                <w:rPr>
                                  <w:rFonts w:hint="eastAsia"/>
                                  <w:lang w:eastAsia="zh-CN"/>
                                </w:rPr>
                                <w:t>主体工程建设</w:t>
                              </w:r>
                            </w:p>
                          </w:txbxContent>
                        </v:textbox>
                      </v:shape>
                      <v:shape id="文本框 61" o:spid="_x0000_s1026" o:spt="202" type="#_x0000_t202" style="position:absolute;left:217805;top:122555;height:241300;width:998220;" fillcolor="#FFFFFF [3201]" filled="t" stroked="f" coordsize="21600,21600" o:gfxdata="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5OPLd0gAA&#10;AAUBAAAPAAAAAAAAAAEAIAAAACIAAABkcnMvZG93bnJldi54bWxQSwECFAAUAAAACACHTuJAuSeO&#10;JF0CAACbBAAADgAAAAAAAAABACAAAAAhAQAAZHJzL2Uyb0RvYy54bWxQSwUGAAAAAAYABgBZAQAA&#10;8AUAAAAA&#10;">
                        <v:fill on="t" focussize="0,0"/>
                        <v:stroke on="f" weight="0.5pt"/>
                        <v:imagedata o:title=""/>
                        <o:lock v:ext="edit" aspectratio="f"/>
                        <v:textbox>
                          <w:txbxContent>
                            <w:p w14:paraId="7E127A5F">
                              <w:r>
                                <w:rPr>
                                  <w:rFonts w:hint="eastAsia"/>
                                </w:rPr>
                                <w:t>G、N、S、W</w:t>
                              </w:r>
                            </w:p>
                          </w:txbxContent>
                        </v:textbox>
                      </v:shape>
                      <v:shape id="直接箭头连接符 35" o:spid="_x0000_s1026" o:spt="32" type="#_x0000_t32" style="position:absolute;left:1627505;top:779780;height:2540;width:285750;" filled="f" stroked="t" coordsize="21600,21600" o:gfxdata="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&#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pMbht1AAAAAUBAAAPAAAAAAAAAAEAIAAAACIAAABk&#10;cnMvZG93bnJldi54bWxQSwECFAAUAAAACACHTuJAEBBwzgoCAADbAwAADgAAAAAAAAABACAAAAAj&#10;AQAAZHJzL2Uyb0RvYy54bWxQSwUGAAAAAAYABgBZAQAAnwUAAAAA&#10;">
                        <v:fill on="f" focussize="0,0"/>
                        <v:stroke weight="1pt" color="#000000 [3213]" joinstyle="round" endarrow="block"/>
                        <v:imagedata o:title=""/>
                        <o:lock v:ext="edit" aspectratio="f"/>
                      </v:shape>
                      <w10:wrap type="none"/>
                      <w10:anchorlock/>
                    </v:group>
                  </w:pict>
                </mc:Fallback>
              </mc:AlternateContent>
            </w:r>
          </w:p>
          <w:p w14:paraId="47719751">
            <w:pPr>
              <w:keepNext w:val="0"/>
              <w:keepLines w:val="0"/>
              <w:widowControl/>
              <w:suppressLineNumbers w:val="0"/>
              <w:spacing w:line="360" w:lineRule="auto"/>
              <w:jc w:val="center"/>
              <w:rPr>
                <w:b/>
                <w:bCs/>
                <w:color w:val="auto"/>
                <w:highlight w:val="none"/>
                <w:u w:val="single" w:color="auto"/>
              </w:rPr>
            </w:pPr>
            <w:r>
              <w:rPr>
                <w:rFonts w:hint="eastAsia" w:ascii="宋体" w:hAnsi="宋体" w:eastAsia="宋体" w:cs="宋体"/>
                <w:b/>
                <w:bCs/>
                <w:color w:val="auto"/>
                <w:kern w:val="0"/>
                <w:sz w:val="24"/>
                <w:szCs w:val="24"/>
                <w:highlight w:val="none"/>
                <w:u w:val="single" w:color="auto"/>
                <w:lang w:val="en-US" w:eastAsia="zh-CN" w:bidi="ar"/>
              </w:rPr>
              <w:t>图</w:t>
            </w:r>
            <w:r>
              <w:rPr>
                <w:rFonts w:hint="default" w:ascii="Times New Roman" w:hAnsi="Times New Roman" w:eastAsia="宋体" w:cs="Times New Roman"/>
                <w:b/>
                <w:bCs/>
                <w:color w:val="auto"/>
                <w:kern w:val="0"/>
                <w:sz w:val="24"/>
                <w:szCs w:val="24"/>
                <w:highlight w:val="none"/>
                <w:u w:val="single" w:color="auto"/>
                <w:lang w:val="en-US" w:eastAsia="zh-CN" w:bidi="ar"/>
              </w:rPr>
              <w:t>2</w:t>
            </w:r>
            <w:r>
              <w:rPr>
                <w:rFonts w:hint="eastAsia" w:ascii="Times New Roman" w:hAnsi="Times New Roman" w:eastAsia="宋体" w:cs="Times New Roman"/>
                <w:b/>
                <w:bCs/>
                <w:color w:val="auto"/>
                <w:kern w:val="0"/>
                <w:sz w:val="24"/>
                <w:szCs w:val="24"/>
                <w:highlight w:val="none"/>
                <w:u w:val="single" w:color="auto"/>
                <w:lang w:val="en-US" w:eastAsia="zh-CN" w:bidi="ar"/>
              </w:rPr>
              <w:t>-2</w:t>
            </w:r>
            <w:r>
              <w:rPr>
                <w:rFonts w:hint="eastAsia" w:ascii="Times New Roman" w:hAnsi="Times New Roman" w:cs="Times New Roman"/>
                <w:b/>
                <w:bCs/>
                <w:color w:val="auto"/>
                <w:kern w:val="0"/>
                <w:sz w:val="24"/>
                <w:szCs w:val="24"/>
                <w:highlight w:val="none"/>
                <w:u w:val="single" w:color="auto"/>
                <w:lang w:val="en-US" w:eastAsia="zh-CN" w:bidi="ar"/>
              </w:rPr>
              <w:t>已建工程</w:t>
            </w:r>
            <w:r>
              <w:rPr>
                <w:rFonts w:hint="eastAsia" w:ascii="宋体" w:hAnsi="宋体" w:eastAsia="宋体" w:cs="宋体"/>
                <w:b/>
                <w:bCs/>
                <w:color w:val="auto"/>
                <w:kern w:val="0"/>
                <w:sz w:val="24"/>
                <w:szCs w:val="24"/>
                <w:highlight w:val="none"/>
                <w:u w:val="single" w:color="auto"/>
                <w:lang w:val="en-US" w:eastAsia="zh-CN" w:bidi="ar"/>
              </w:rPr>
              <w:t>施工期工艺流程及产排污节点图</w:t>
            </w:r>
          </w:p>
          <w:p w14:paraId="4AFAC693">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w:t>
            </w:r>
            <w:r>
              <w:rPr>
                <w:rFonts w:hint="eastAsia" w:cs="Times New Roman"/>
                <w:color w:val="auto"/>
                <w:position w:val="15"/>
                <w:sz w:val="24"/>
                <w:highlight w:val="none"/>
                <w:u w:val="single" w:color="auto"/>
                <w:lang w:val="en-US" w:eastAsia="zh-CN"/>
              </w:rPr>
              <w:t>2</w:t>
            </w:r>
            <w:r>
              <w:rPr>
                <w:rFonts w:hint="eastAsia" w:cs="Times New Roman"/>
                <w:color w:val="auto"/>
                <w:position w:val="15"/>
                <w:sz w:val="24"/>
                <w:highlight w:val="none"/>
                <w:u w:val="single" w:color="auto"/>
                <w:lang w:eastAsia="zh-CN"/>
              </w:rPr>
              <w:t>）未建工程施工期包括热风炉房和圆筒筛密闭罩建设、设备调试，施工过程中产生少量扬尘、废水、噪声及固体废物等。</w:t>
            </w:r>
          </w:p>
          <w:p w14:paraId="5684C708">
            <w:pPr>
              <w:adjustRightInd w:val="0"/>
              <w:snapToGrid w:val="0"/>
              <w:spacing w:line="360" w:lineRule="auto"/>
              <w:ind w:firstLine="480" w:firstLineChars="200"/>
              <w:rPr>
                <w:rFonts w:ascii="Times New Roman" w:hAnsi="Times New Roman" w:eastAsia="宋体" w:cs="Times New Roman"/>
                <w:color w:val="auto"/>
                <w:position w:val="15"/>
                <w:sz w:val="24"/>
                <w:highlight w:val="none"/>
                <w:u w:val="single" w:color="auto"/>
              </w:rPr>
            </w:pPr>
            <w:r>
              <w:rPr>
                <w:rFonts w:hint="eastAsia" w:ascii="Times New Roman" w:hAnsi="Times New Roman" w:cs="Times New Roman"/>
                <w:color w:val="auto"/>
                <w:position w:val="15"/>
                <w:sz w:val="24"/>
                <w:highlight w:val="none"/>
                <w:u w:val="single" w:color="auto"/>
                <w:lang w:eastAsia="zh-CN"/>
              </w:rPr>
              <w:t>未建工程施工期工艺流程及产排污节点</w:t>
            </w:r>
            <w:r>
              <w:rPr>
                <w:rFonts w:hint="eastAsia" w:ascii="Times New Roman" w:hAnsi="Times New Roman" w:eastAsia="宋体" w:cs="Times New Roman"/>
                <w:color w:val="auto"/>
                <w:position w:val="15"/>
                <w:sz w:val="24"/>
                <w:highlight w:val="none"/>
                <w:u w:val="single" w:color="auto"/>
              </w:rPr>
              <w:t>如下。</w:t>
            </w:r>
          </w:p>
          <w:p w14:paraId="224E3239">
            <w:pPr>
              <w:adjustRightInd w:val="0"/>
              <w:snapToGrid w:val="0"/>
              <w:spacing w:line="360" w:lineRule="auto"/>
              <w:rPr>
                <w:rFonts w:hint="eastAsia" w:eastAsia="宋体"/>
                <w:color w:val="auto"/>
                <w:position w:val="15"/>
                <w:sz w:val="24"/>
                <w:highlight w:val="none"/>
                <w:u w:val="none" w:color="auto"/>
                <w:lang w:eastAsia="zh-CN"/>
              </w:rPr>
            </w:pPr>
            <w:r>
              <w:rPr>
                <w:color w:val="auto"/>
                <w:sz w:val="24"/>
                <w:highlight w:val="none"/>
                <w:u w:val="none" w:color="auto"/>
              </w:rPr>
              <mc:AlternateContent>
                <mc:Choice Requires="wpc">
                  <w:drawing>
                    <wp:inline distT="0" distB="0" distL="114300" distR="114300">
                      <wp:extent cx="4715510" cy="1407160"/>
                      <wp:effectExtent l="0" t="0" r="0" b="0"/>
                      <wp:docPr id="206" name="画布 206"/>
                      <wp:cNvGraphicFramePr/>
                      <a:graphic xmlns:a="http://schemas.openxmlformats.org/drawingml/2006/main">
                        <a:graphicData uri="http://schemas.microsoft.com/office/word/2010/wordprocessingCanvas">
                          <wpc:wpc>
                            <wpc:bg/>
                            <wpc:whole/>
                            <wpg:wgp>
                              <wpg:cNvPr id="238" name="组合 238"/>
                              <wpg:cNvGrpSpPr/>
                              <wpg:grpSpPr>
                                <a:xfrm>
                                  <a:off x="872490" y="113030"/>
                                  <a:ext cx="2787015" cy="949325"/>
                                  <a:chOff x="3139" y="191"/>
                                  <a:chExt cx="4389" cy="1495"/>
                                </a:xfrm>
                              </wpg:grpSpPr>
                              <wps:wsp>
                                <wps:cNvPr id="224" name="文本框 21"/>
                                <wps:cNvSpPr txBox="1"/>
                                <wps:spPr>
                                  <a:xfrm>
                                    <a:off x="3139" y="992"/>
                                    <a:ext cx="2740" cy="69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C8D6943">
                                      <w:pPr>
                                        <w:jc w:val="center"/>
                                        <w:rPr>
                                          <w:rFonts w:hint="eastAsia" w:eastAsia="宋体"/>
                                          <w:sz w:val="21"/>
                                          <w:szCs w:val="24"/>
                                          <w:lang w:eastAsia="zh-CN"/>
                                        </w:rPr>
                                      </w:pPr>
                                      <w:r>
                                        <w:rPr>
                                          <w:rFonts w:hint="eastAsia"/>
                                          <w:sz w:val="21"/>
                                          <w:szCs w:val="24"/>
                                          <w:lang w:eastAsia="zh-CN"/>
                                        </w:rPr>
                                        <w:t>热风炉房、圆筒筛密闭罩建设</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7" name="直接箭头连接符 35"/>
                                <wps:cNvCnPr/>
                                <wps:spPr>
                                  <a:xfrm>
                                    <a:off x="5894" y="1258"/>
                                    <a:ext cx="450" cy="4"/>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28" name="文本框 39"/>
                                <wps:cNvSpPr txBox="1"/>
                                <wps:spPr>
                                  <a:xfrm>
                                    <a:off x="6328" y="1003"/>
                                    <a:ext cx="1200" cy="677"/>
                                  </a:xfrm>
                                  <a:prstGeom prst="rect">
                                    <a:avLst/>
                                  </a:prstGeom>
                                  <a:solidFill>
                                    <a:schemeClr val="lt1"/>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13879848">
                                      <w:pPr>
                                        <w:rPr>
                                          <w:rFonts w:hint="default" w:eastAsia="宋体"/>
                                          <w:lang w:val="en-US" w:eastAsia="zh-CN"/>
                                        </w:rPr>
                                      </w:pPr>
                                      <w:r>
                                        <w:rPr>
                                          <w:rFonts w:hint="eastAsia"/>
                                          <w:lang w:val="en-US" w:eastAsia="zh-CN"/>
                                        </w:rPr>
                                        <w:t>设备调试</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9" name="文本框 61"/>
                                <wps:cNvSpPr txBox="1"/>
                                <wps:spPr>
                                  <a:xfrm>
                                    <a:off x="3675" y="191"/>
                                    <a:ext cx="1572" cy="4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68EC4E1">
                                      <w:r>
                                        <w:rPr>
                                          <w:rFonts w:hint="eastAsia"/>
                                        </w:rPr>
                                        <w:t>G、N、S、W</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s:wsp>
                              <wps:cNvPr id="88" name="文本框 88"/>
                              <wps:cNvSpPr txBox="1"/>
                              <wps:spPr>
                                <a:xfrm>
                                  <a:off x="1033780" y="1067435"/>
                                  <a:ext cx="3105150" cy="3238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5F12D5">
                                    <w:r>
                                      <w:rPr>
                                        <w:rFonts w:hint="eastAsia"/>
                                      </w:rPr>
                                      <w:t>W：废水  G：废气  N：噪声  S：固废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 name="直接箭头连接符 45"/>
                              <wps:cNvCnPr/>
                              <wps:spPr>
                                <a:xfrm flipV="1">
                                  <a:off x="1682750" y="363855"/>
                                  <a:ext cx="8255" cy="23177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5" name="文本框 61"/>
                              <wps:cNvSpPr txBox="1"/>
                              <wps:spPr>
                                <a:xfrm>
                                  <a:off x="2783840" y="113030"/>
                                  <a:ext cx="998220" cy="2698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CB9348D">
                                    <w:pPr>
                                      <w:jc w:val="center"/>
                                    </w:pPr>
                                    <w:r>
                                      <w:rPr>
                                        <w:rFonts w:hint="eastAsia"/>
                                      </w:rPr>
                                      <w:t>G、N</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12" name="直接箭头连接符 45"/>
                              <wps:cNvCnPr/>
                              <wps:spPr>
                                <a:xfrm flipV="1">
                                  <a:off x="3303905" y="408305"/>
                                  <a:ext cx="8255" cy="23177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c:wpc>
                        </a:graphicData>
                      </a:graphic>
                    </wp:inline>
                  </w:drawing>
                </mc:Choice>
                <mc:Fallback>
                  <w:pict>
                    <v:group id="_x0000_s1026" o:spid="_x0000_s1026" o:spt="203" style="height:110.8pt;width:371.3pt;" coordsize="4715510,1407160" editas="canvas" o:gfxdata="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">
                      <o:lock v:ext="edit" aspectratio="f"/>
                      <v:shape id="_x0000_s1026" o:spid="_x0000_s1026" style="position:absolute;left:0;top:0;height:1407160;width:4715510;" filled="f" stroked="f" coordsize="21600,21600" o:gfxdata="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&#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">
                        <v:fill on="f" focussize="0,0"/>
                        <v:stroke on="f"/>
                        <v:imagedata o:title=""/>
                        <o:lock v:ext="edit" aspectratio="f"/>
                      </v:shape>
                      <v:group id="_x0000_s1026" o:spid="_x0000_s1026" o:spt="203" style="position:absolute;left:872490;top:113030;height:949325;width:2787015;" coordorigin="3139,191" coordsize="4389,1495" o:gfxdata="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">
                        <o:lock v:ext="edit" aspectratio="f"/>
                        <v:shape id="文本框 21" o:spid="_x0000_s1026" o:spt="202" type="#_x0000_t202" style="position:absolute;left:3139;top:992;height:694;width:2740;" fillcolor="#FFFFFF [3201]" filled="t" stroked="t" coordsize="21600,21600" o:gfxdata="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fDy0ptwAAANw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7C8D6943">
                                <w:pPr>
                                  <w:jc w:val="center"/>
                                  <w:rPr>
                                    <w:rFonts w:hint="eastAsia" w:eastAsia="宋体"/>
                                    <w:sz w:val="21"/>
                                    <w:szCs w:val="24"/>
                                    <w:lang w:eastAsia="zh-CN"/>
                                  </w:rPr>
                                </w:pPr>
                                <w:r>
                                  <w:rPr>
                                    <w:rFonts w:hint="eastAsia"/>
                                    <w:sz w:val="21"/>
                                    <w:szCs w:val="24"/>
                                    <w:lang w:eastAsia="zh-CN"/>
                                  </w:rPr>
                                  <w:t>热风炉房、圆筒筛密闭罩建设</w:t>
                                </w:r>
                              </w:p>
                            </w:txbxContent>
                          </v:textbox>
                        </v:shape>
                        <v:shape id="直接箭头连接符 35" o:spid="_x0000_s1026" o:spt="32" type="#_x0000_t32" style="position:absolute;left:5894;top:1258;height:4;width:450;" filled="f" stroked="t" coordsize="21600,21600" o:gfxdata="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GhucC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文本框 39" o:spid="_x0000_s1026" o:spt="202" type="#_x0000_t202" style="position:absolute;left:6328;top:1003;height:677;width:1200;" fillcolor="#FFFFFF [3201]" filled="t" stroked="t" coordsize="21600,21600" o:gfxdata="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HkInLLUAAADcAAAADwAA&#10;AAAAAAABACAAAAAiAAAAZHJzL2Rvd25yZXYueG1sUEsBAhQAFAAAAAgAh07iQDMvBZ47AAAAOQAA&#10;ABAAAAAAAAAAAQAgAAAABAEAAGRycy9zaGFwZXhtbC54bWxQSwUGAAAAAAYABgBbAQAArgMAAAAA&#10;">
                          <v:fill on="t" focussize="0,0"/>
                          <v:stroke weight="0.5pt" color="#000000 [3213]" joinstyle="round"/>
                          <v:imagedata o:title=""/>
                          <o:lock v:ext="edit" aspectratio="f"/>
                          <v:textbox>
                            <w:txbxContent>
                              <w:p w14:paraId="13879848">
                                <w:pPr>
                                  <w:rPr>
                                    <w:rFonts w:hint="default" w:eastAsia="宋体"/>
                                    <w:lang w:val="en-US" w:eastAsia="zh-CN"/>
                                  </w:rPr>
                                </w:pPr>
                                <w:r>
                                  <w:rPr>
                                    <w:rFonts w:hint="eastAsia"/>
                                    <w:lang w:val="en-US" w:eastAsia="zh-CN"/>
                                  </w:rPr>
                                  <w:t>设备调试</w:t>
                                </w:r>
                              </w:p>
                            </w:txbxContent>
                          </v:textbox>
                        </v:shape>
                        <v:shape id="文本框 61" o:spid="_x0000_s1026" o:spt="202" type="#_x0000_t202" style="position:absolute;left:3675;top:191;height:425;width:1572;" fillcolor="#FFFFFF [3201]" filled="t" stroked="f" coordsize="21600,21600" o:gfxdata="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wzsS8AAAA&#10;3A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14:paraId="168EC4E1">
                                <w:r>
                                  <w:rPr>
                                    <w:rFonts w:hint="eastAsia"/>
                                  </w:rPr>
                                  <w:t>G、N、S、W</w:t>
                                </w:r>
                              </w:p>
                            </w:txbxContent>
                          </v:textbox>
                        </v:shape>
                      </v:group>
                      <v:shape id="_x0000_s1026" o:spid="_x0000_s1026" o:spt="202" type="#_x0000_t202" style="position:absolute;left:1033780;top:1067435;height:323850;width:3105150;" filled="f" stroked="f" coordsize="21600,21600" o:gfxdata="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Mmvr/XAAAABQEAAA8AAAAAAAAAAQAgAAAA&#10;IgAAAGRycy9kb3ducmV2LnhtbFBLAQIUABQAAAAIAIdO4kAu1EY0RQIAAHQEAAAOAAAAAAAAAAEA&#10;IAAAACYBAABkcnMvZTJvRG9jLnhtbFBLBQYAAAAABgAGAFkBAADdBQAAAAA=&#10;">
                        <v:fill on="f" focussize="0,0"/>
                        <v:stroke on="f" weight="0.5pt"/>
                        <v:imagedata o:title=""/>
                        <o:lock v:ext="edit" aspectratio="f"/>
                        <v:textbox>
                          <w:txbxContent>
                            <w:p w14:paraId="7E5F12D5">
                              <w:r>
                                <w:rPr>
                                  <w:rFonts w:hint="eastAsia"/>
                                </w:rPr>
                                <w:t>W：废水  G：废气  N：噪声  S：固废</w:t>
                              </w:r>
                            </w:p>
                          </w:txbxContent>
                        </v:textbox>
                      </v:shape>
                      <v:shape id="直接箭头连接符 45" o:spid="_x0000_s1026" o:spt="32" type="#_x0000_t32" style="position:absolute;left:1682750;top:363855;flip:y;height:231775;width:8255;" filled="f" stroked="t" coordsize="21600,21600" o:gfxdata="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p9xe9cAAAAFAQAADwAAAAAAAAAB&#10;ACAAAAAiAAAAZHJzL2Rvd25yZXYueG1sUEsBAhQAFAAAAAgAh07iQCJ3y5IRAgAA4wMAAA4AAAAA&#10;AAAAAQAgAAAAJgEAAGRycy9lMm9Eb2MueG1sUEsFBgAAAAAGAAYAWQEAAKkFAAAAAA==&#10;">
                        <v:fill on="f" focussize="0,0"/>
                        <v:stroke weight="1pt" color="#000000 [3213]" joinstyle="round" dashstyle="dash" endarrow="block"/>
                        <v:imagedata o:title=""/>
                        <o:lock v:ext="edit" aspectratio="f"/>
                      </v:shape>
                      <v:shape id="文本框 61" o:spid="_x0000_s1026" o:spt="202" type="#_x0000_t202" style="position:absolute;left:2783840;top:113030;height:269875;width:998220;" fillcolor="#FFFFFF [3201]" filled="t" stroked="f" coordsize="21600,21600" o:gfxdata="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KoQHXrSAAAABQEA&#10;AA8AAAAAAAAAAQAgAAAAIgAAAGRycy9kb3ducmV2LnhtbFBLAQIUABQAAAAIAIdO4kDpHr3RWQIA&#10;AJsEAAAOAAAAAAAAAAEAIAAAACEBAABkcnMvZTJvRG9jLnhtbFBLBQYAAAAABgAGAFkBAADsBQAA&#10;AAA=&#10;">
                        <v:fill on="t" focussize="0,0"/>
                        <v:stroke on="f" weight="0.5pt"/>
                        <v:imagedata o:title=""/>
                        <o:lock v:ext="edit" aspectratio="f"/>
                        <v:textbox>
                          <w:txbxContent>
                            <w:p w14:paraId="5CB9348D">
                              <w:pPr>
                                <w:jc w:val="center"/>
                              </w:pPr>
                              <w:r>
                                <w:rPr>
                                  <w:rFonts w:hint="eastAsia"/>
                                </w:rPr>
                                <w:t>G、N</w:t>
                              </w:r>
                            </w:p>
                          </w:txbxContent>
                        </v:textbox>
                      </v:shape>
                      <v:shape id="直接箭头连接符 45" o:spid="_x0000_s1026" o:spt="32" type="#_x0000_t32" style="position:absolute;left:3303905;top:408305;flip:y;height:231775;width:8255;" filled="f" stroked="t" coordsize="21600,21600" o:gfxdata="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p9xe9cAAAAFAQAADwAAAAAAAAAB&#10;ACAAAAAiAAAAZHJzL2Rvd25yZXYueG1sUEsBAhQAFAAAAAgAh07iQBcqv9sRAgAA5AMAAA4AAAAA&#10;AAAAAQAgAAAAJgEAAGRycy9lMm9Eb2MueG1sUEsFBgAAAAAGAAYAWQEAAKkFAAAAAA==&#10;">
                        <v:fill on="f" focussize="0,0"/>
                        <v:stroke weight="1pt" color="#000000 [3213]" joinstyle="round" dashstyle="dash" endarrow="block"/>
                        <v:imagedata o:title=""/>
                        <o:lock v:ext="edit" aspectratio="f"/>
                      </v:shape>
                      <w10:wrap type="none"/>
                      <w10:anchorlock/>
                    </v:group>
                  </w:pict>
                </mc:Fallback>
              </mc:AlternateContent>
            </w:r>
          </w:p>
          <w:p w14:paraId="459E72D4">
            <w:pPr>
              <w:keepNext w:val="0"/>
              <w:keepLines w:val="0"/>
              <w:widowControl/>
              <w:suppressLineNumbers w:val="0"/>
              <w:jc w:val="center"/>
              <w:rPr>
                <w:b/>
                <w:bCs/>
                <w:color w:val="auto"/>
                <w:highlight w:val="none"/>
                <w:u w:val="none" w:color="auto"/>
              </w:rPr>
            </w:pPr>
            <w:r>
              <w:rPr>
                <w:rFonts w:hint="eastAsia" w:ascii="宋体" w:hAnsi="宋体" w:eastAsia="宋体" w:cs="宋体"/>
                <w:b/>
                <w:bCs/>
                <w:color w:val="auto"/>
                <w:kern w:val="0"/>
                <w:sz w:val="24"/>
                <w:szCs w:val="24"/>
                <w:highlight w:val="none"/>
                <w:u w:val="none" w:color="auto"/>
                <w:lang w:val="en-US" w:eastAsia="zh-CN" w:bidi="ar"/>
              </w:rPr>
              <w:t>图</w:t>
            </w:r>
            <w:r>
              <w:rPr>
                <w:rFonts w:hint="default" w:ascii="Times New Roman" w:hAnsi="Times New Roman" w:eastAsia="宋体" w:cs="Times New Roman"/>
                <w:b/>
                <w:bCs/>
                <w:color w:val="auto"/>
                <w:kern w:val="0"/>
                <w:sz w:val="24"/>
                <w:szCs w:val="24"/>
                <w:highlight w:val="none"/>
                <w:u w:val="none" w:color="auto"/>
                <w:lang w:val="en-US" w:eastAsia="zh-CN" w:bidi="ar"/>
              </w:rPr>
              <w:t>2</w:t>
            </w:r>
            <w:r>
              <w:rPr>
                <w:rFonts w:hint="eastAsia" w:ascii="Times New Roman" w:hAnsi="Times New Roman" w:eastAsia="宋体" w:cs="Times New Roman"/>
                <w:b/>
                <w:bCs/>
                <w:color w:val="auto"/>
                <w:kern w:val="0"/>
                <w:sz w:val="24"/>
                <w:szCs w:val="24"/>
                <w:highlight w:val="none"/>
                <w:u w:val="none" w:color="auto"/>
                <w:lang w:val="en-US" w:eastAsia="zh-CN" w:bidi="ar"/>
              </w:rPr>
              <w:t>-</w:t>
            </w:r>
            <w:r>
              <w:rPr>
                <w:rFonts w:hint="eastAsia" w:cs="Times New Roman"/>
                <w:b/>
                <w:bCs/>
                <w:color w:val="auto"/>
                <w:kern w:val="0"/>
                <w:sz w:val="24"/>
                <w:szCs w:val="24"/>
                <w:highlight w:val="none"/>
                <w:u w:val="none" w:color="auto"/>
                <w:lang w:val="en-US" w:eastAsia="zh-CN" w:bidi="ar"/>
              </w:rPr>
              <w:t>3</w:t>
            </w:r>
            <w:r>
              <w:rPr>
                <w:rFonts w:hint="eastAsia" w:ascii="Times New Roman" w:hAnsi="Times New Roman" w:cs="Times New Roman"/>
                <w:b/>
                <w:bCs/>
                <w:color w:val="auto"/>
                <w:kern w:val="0"/>
                <w:sz w:val="24"/>
                <w:szCs w:val="24"/>
                <w:highlight w:val="none"/>
                <w:u w:val="single" w:color="auto"/>
                <w:lang w:val="en-US" w:eastAsia="zh-CN" w:bidi="ar"/>
              </w:rPr>
              <w:t>未建工程</w:t>
            </w:r>
            <w:r>
              <w:rPr>
                <w:rFonts w:hint="eastAsia" w:ascii="宋体" w:hAnsi="宋体" w:eastAsia="宋体" w:cs="宋体"/>
                <w:b/>
                <w:bCs/>
                <w:color w:val="auto"/>
                <w:kern w:val="0"/>
                <w:sz w:val="24"/>
                <w:szCs w:val="24"/>
                <w:highlight w:val="none"/>
                <w:u w:val="single" w:color="auto"/>
                <w:lang w:val="en-US" w:eastAsia="zh-CN" w:bidi="ar"/>
              </w:rPr>
              <w:t>施工期工艺流程及产排污节点图</w:t>
            </w:r>
          </w:p>
          <w:p w14:paraId="5C50C402">
            <w:pPr>
              <w:adjustRightInd w:val="0"/>
              <w:snapToGrid w:val="0"/>
              <w:spacing w:line="360" w:lineRule="auto"/>
              <w:ind w:firstLine="506" w:firstLineChars="200"/>
              <w:rPr>
                <w:b/>
                <w:bCs/>
                <w:color w:val="auto"/>
                <w:spacing w:val="6"/>
                <w:sz w:val="24"/>
                <w:highlight w:val="none"/>
                <w:u w:val="none" w:color="auto"/>
              </w:rPr>
            </w:pPr>
            <w:r>
              <w:rPr>
                <w:rFonts w:hint="eastAsia"/>
                <w:b/>
                <w:bCs/>
                <w:color w:val="auto"/>
                <w:spacing w:val="6"/>
                <w:sz w:val="24"/>
                <w:highlight w:val="none"/>
                <w:u w:val="none" w:color="auto"/>
                <w:lang w:val="en-US" w:eastAsia="zh-CN"/>
              </w:rPr>
              <w:t>2.11</w:t>
            </w:r>
            <w:r>
              <w:rPr>
                <w:b/>
                <w:bCs/>
                <w:color w:val="auto"/>
                <w:spacing w:val="6"/>
                <w:sz w:val="24"/>
                <w:highlight w:val="none"/>
                <w:u w:val="none" w:color="auto"/>
              </w:rPr>
              <w:t>运营期</w:t>
            </w:r>
          </w:p>
          <w:p w14:paraId="0B436A22">
            <w:pPr>
              <w:adjustRightInd w:val="0"/>
              <w:snapToGrid w:val="0"/>
              <w:spacing w:line="360" w:lineRule="auto"/>
              <w:ind w:firstLine="504" w:firstLineChars="200"/>
              <w:rPr>
                <w:rFonts w:hint="eastAsia"/>
                <w:b w:val="0"/>
                <w:bCs w:val="0"/>
                <w:color w:val="auto"/>
                <w:spacing w:val="6"/>
                <w:sz w:val="24"/>
                <w:highlight w:val="none"/>
                <w:u w:val="none" w:color="auto"/>
              </w:rPr>
            </w:pPr>
            <w:r>
              <w:rPr>
                <w:rFonts w:hint="eastAsia"/>
                <w:b w:val="0"/>
                <w:bCs w:val="0"/>
                <w:color w:val="auto"/>
                <w:spacing w:val="6"/>
                <w:sz w:val="24"/>
                <w:highlight w:val="none"/>
                <w:u w:val="none" w:color="auto"/>
                <w:lang w:eastAsia="zh-CN"/>
              </w:rPr>
              <w:t>（</w:t>
            </w:r>
            <w:r>
              <w:rPr>
                <w:rFonts w:hint="eastAsia"/>
                <w:b w:val="0"/>
                <w:bCs w:val="0"/>
                <w:color w:val="auto"/>
                <w:spacing w:val="6"/>
                <w:sz w:val="24"/>
                <w:highlight w:val="none"/>
                <w:u w:val="none" w:color="auto"/>
                <w:lang w:val="en-US" w:eastAsia="zh-CN"/>
              </w:rPr>
              <w:t>1</w:t>
            </w:r>
            <w:r>
              <w:rPr>
                <w:rFonts w:hint="eastAsia"/>
                <w:b w:val="0"/>
                <w:bCs w:val="0"/>
                <w:color w:val="auto"/>
                <w:spacing w:val="6"/>
                <w:sz w:val="24"/>
                <w:highlight w:val="none"/>
                <w:u w:val="none" w:color="auto"/>
                <w:lang w:eastAsia="zh-CN"/>
              </w:rPr>
              <w:t>）</w:t>
            </w:r>
            <w:r>
              <w:rPr>
                <w:rFonts w:hint="eastAsia"/>
                <w:b w:val="0"/>
                <w:bCs w:val="0"/>
                <w:color w:val="auto"/>
                <w:spacing w:val="6"/>
                <w:sz w:val="24"/>
                <w:highlight w:val="none"/>
                <w:u w:val="none" w:color="auto"/>
              </w:rPr>
              <w:t>本项目生产工艺流程简述及产污节点如下：</w:t>
            </w:r>
          </w:p>
          <w:p w14:paraId="3A98DE82">
            <w:pPr>
              <w:adjustRightInd w:val="0"/>
              <w:snapToGrid w:val="0"/>
              <w:spacing w:line="360" w:lineRule="auto"/>
              <w:jc w:val="center"/>
              <w:rPr>
                <w:b/>
                <w:bCs/>
                <w:color w:val="auto"/>
                <w:spacing w:val="6"/>
                <w:sz w:val="24"/>
                <w:highlight w:val="none"/>
                <w:u w:val="none" w:color="auto"/>
              </w:rPr>
            </w:pPr>
            <w:r>
              <w:rPr>
                <w:color w:val="auto"/>
              </w:rPr>
              <mc:AlternateContent>
                <mc:Choice Requires="wps">
                  <w:drawing>
                    <wp:anchor distT="0" distB="0" distL="114300" distR="114300" simplePos="0" relativeHeight="251669504" behindDoc="0" locked="0" layoutInCell="1" allowOverlap="1">
                      <wp:simplePos x="0" y="0"/>
                      <wp:positionH relativeFrom="column">
                        <wp:posOffset>708660</wp:posOffset>
                      </wp:positionH>
                      <wp:positionV relativeFrom="paragraph">
                        <wp:posOffset>1884680</wp:posOffset>
                      </wp:positionV>
                      <wp:extent cx="906780" cy="287655"/>
                      <wp:effectExtent l="5080" t="5080" r="21590" b="12065"/>
                      <wp:wrapNone/>
                      <wp:docPr id="139" name="文本框 13"/>
                      <wp:cNvGraphicFramePr/>
                      <a:graphic xmlns:a="http://schemas.openxmlformats.org/drawingml/2006/main">
                        <a:graphicData uri="http://schemas.microsoft.com/office/word/2010/wordprocessingShape">
                          <wps:wsp>
                            <wps:cNvSpPr txBox="1"/>
                            <wps:spPr>
                              <a:xfrm>
                                <a:off x="0" y="0"/>
                                <a:ext cx="906780" cy="287655"/>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6397A60C">
                                  <w:pPr>
                                    <w:jc w:val="center"/>
                                    <w:rPr>
                                      <w:rFonts w:hint="default" w:eastAsia="宋体"/>
                                      <w:color w:val="auto"/>
                                      <w:u w:val="single"/>
                                      <w:lang w:val="en-US" w:eastAsia="zh-CN"/>
                                    </w:rPr>
                                  </w:pPr>
                                  <w:r>
                                    <w:rPr>
                                      <w:rFonts w:hint="eastAsia"/>
                                      <w:color w:val="auto"/>
                                      <w:u w:val="single"/>
                                      <w:lang w:val="en-US" w:eastAsia="zh-CN"/>
                                    </w:rPr>
                                    <w:t>18m烟囱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 o:spid="_x0000_s1026" o:spt="202" type="#_x0000_t202" style="position:absolute;left:0pt;margin-left:55.8pt;margin-top:148.4pt;height:22.65pt;width:71.4pt;z-index:251669504;mso-width-relative:page;mso-height-relative:page;" fillcolor="#FFFFFF [3201]" filled="t" stroked="t" coordsize="21600,21600" o:gfxdata="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FKf3WvYAAAACwEA&#10;AA8AAAAAAAAAAQAgAAAAIgAAAGRycy9kb3ducmV2LnhtbFBLAQIUABQAAAAIAIdO4kCLstCvUwIA&#10;ALoEAAAOAAAAAAAAAAEAIAAAACcBAABkcnMvZTJvRG9jLnhtbFBLBQYAAAAABgAGAFkBAADsBQAA&#10;AAA=&#10;">
                      <v:fill on="t" focussize="0,0"/>
                      <v:stroke weight="0.5pt" color="#FFFFFF [3212]" joinstyle="round"/>
                      <v:imagedata o:title=""/>
                      <o:lock v:ext="edit" aspectratio="f"/>
                      <v:textbox>
                        <w:txbxContent>
                          <w:p w14:paraId="6397A60C">
                            <w:pPr>
                              <w:jc w:val="center"/>
                              <w:rPr>
                                <w:rFonts w:hint="default" w:eastAsia="宋体"/>
                                <w:color w:val="auto"/>
                                <w:u w:val="single"/>
                                <w:lang w:val="en-US" w:eastAsia="zh-CN"/>
                              </w:rPr>
                            </w:pPr>
                            <w:r>
                              <w:rPr>
                                <w:rFonts w:hint="eastAsia"/>
                                <w:color w:val="auto"/>
                                <w:u w:val="single"/>
                                <w:lang w:val="en-US" w:eastAsia="zh-CN"/>
                              </w:rPr>
                              <w:t>18m烟囱</w:t>
                            </w:r>
                          </w:p>
                        </w:txbxContent>
                      </v:textbox>
                    </v:shape>
                  </w:pict>
                </mc:Fallback>
              </mc:AlternateContent>
            </w:r>
            <w:r>
              <w:rPr>
                <w:color w:val="auto"/>
              </w:rPr>
              <mc:AlternateContent>
                <mc:Choice Requires="wps">
                  <w:drawing>
                    <wp:anchor distT="0" distB="0" distL="114300" distR="114300" simplePos="0" relativeHeight="251668480" behindDoc="0" locked="0" layoutInCell="1" allowOverlap="1">
                      <wp:simplePos x="0" y="0"/>
                      <wp:positionH relativeFrom="column">
                        <wp:posOffset>1163320</wp:posOffset>
                      </wp:positionH>
                      <wp:positionV relativeFrom="paragraph">
                        <wp:posOffset>2153285</wp:posOffset>
                      </wp:positionV>
                      <wp:extent cx="6350" cy="187960"/>
                      <wp:effectExtent l="34290" t="0" r="35560" b="2540"/>
                      <wp:wrapNone/>
                      <wp:docPr id="131" name="直接箭头连接符 55"/>
                      <wp:cNvGraphicFramePr/>
                      <a:graphic xmlns:a="http://schemas.openxmlformats.org/drawingml/2006/main">
                        <a:graphicData uri="http://schemas.microsoft.com/office/word/2010/wordprocessingShape">
                          <wps:wsp>
                            <wps:cNvCnPr/>
                            <wps:spPr>
                              <a:xfrm flipV="1">
                                <a:off x="0" y="0"/>
                                <a:ext cx="6350" cy="187960"/>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直接箭头连接符 55" o:spid="_x0000_s1026" o:spt="32" type="#_x0000_t32" style="position:absolute;left:0pt;flip:y;margin-left:91.6pt;margin-top:169.55pt;height:14.8pt;width:0.5pt;z-index:251668480;mso-width-relative:page;mso-height-relative:page;" filled="f" stroked="t" coordsize="21600,21600" o:gfxdata="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x/rg2wAAAAsBAAAPAAAAAAAAAAEAIAAAACIA&#10;AABkcnMvZG93bnJldi54bWxQSwECFAAUAAAACACHTuJAj+yN7QYCAADZAwAADgAAAAAAAAABACAA&#10;AAAqAQAAZHJzL2Uyb0RvYy54bWxQSwUGAAAAAAYABgBZAQAAogUAAAAA&#10;">
                      <v:fill on="f" focussize="0,0"/>
                      <v:stroke weight="1pt" color="#000000 [3213]" joinstyle="round" dashstyle="dash" endarrow="block"/>
                      <v:imagedata o:title=""/>
                      <o:lock v:ext="edit" aspectratio="f"/>
                    </v:shape>
                  </w:pict>
                </mc:Fallback>
              </mc:AlternateContent>
            </w:r>
            <w:r>
              <w:rPr>
                <w:color w:val="auto"/>
              </w:rPr>
              <mc:AlternateContent>
                <mc:Choice Requires="wps">
                  <w:drawing>
                    <wp:anchor distT="0" distB="0" distL="114300" distR="114300" simplePos="0" relativeHeight="251667456" behindDoc="0" locked="0" layoutInCell="1" allowOverlap="1">
                      <wp:simplePos x="0" y="0"/>
                      <wp:positionH relativeFrom="column">
                        <wp:posOffset>755650</wp:posOffset>
                      </wp:positionH>
                      <wp:positionV relativeFrom="paragraph">
                        <wp:posOffset>2332355</wp:posOffset>
                      </wp:positionV>
                      <wp:extent cx="831850" cy="287655"/>
                      <wp:effectExtent l="5080" t="4445" r="20320" b="12700"/>
                      <wp:wrapNone/>
                      <wp:docPr id="127" name="文本框 13"/>
                      <wp:cNvGraphicFramePr/>
                      <a:graphic xmlns:a="http://schemas.openxmlformats.org/drawingml/2006/main">
                        <a:graphicData uri="http://schemas.microsoft.com/office/word/2010/wordprocessingShape">
                          <wps:wsp>
                            <wps:cNvSpPr txBox="1"/>
                            <wps:spPr>
                              <a:xfrm>
                                <a:off x="0" y="0"/>
                                <a:ext cx="831850" cy="28759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29982DC">
                                  <w:pPr>
                                    <w:jc w:val="center"/>
                                    <w:rPr>
                                      <w:rFonts w:hint="eastAsia" w:eastAsia="宋体"/>
                                      <w:color w:val="auto"/>
                                      <w:u w:val="single"/>
                                      <w:lang w:eastAsia="zh-CN"/>
                                    </w:rPr>
                                  </w:pPr>
                                  <w:r>
                                    <w:rPr>
                                      <w:rFonts w:hint="eastAsia"/>
                                      <w:color w:val="auto"/>
                                      <w:u w:val="single"/>
                                      <w:lang w:eastAsia="zh-CN"/>
                                    </w:rPr>
                                    <w:t>布袋除尘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 o:spid="_x0000_s1026" o:spt="202" type="#_x0000_t202" style="position:absolute;left:0pt;margin-left:59.5pt;margin-top:183.65pt;height:22.65pt;width:65.5pt;z-index:251667456;mso-width-relative:page;mso-height-relative:page;" fillcolor="#FFFFFF [3201]" filled="t" stroked="t" coordsize="21600,21600" o:gfxdata="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u2RQjXAAAA&#10;CwEAAA8AAAAAAAAAAQAgAAAAIgAAAGRycy9kb3ducmV2LnhtbFBLAQIUABQAAAAIAIdO4kBhNFWp&#10;VwIAALkEAAAOAAAAAAAAAAEAIAAAACYBAABkcnMvZTJvRG9jLnhtbFBLBQYAAAAABgAGAFkBAADv&#10;BQAAAAA=&#10;">
                      <v:fill on="t" focussize="0,0"/>
                      <v:stroke weight="0.5pt" color="#000000 [3204]" joinstyle="round"/>
                      <v:imagedata o:title=""/>
                      <o:lock v:ext="edit" aspectratio="f"/>
                      <v:textbox>
                        <w:txbxContent>
                          <w:p w14:paraId="629982DC">
                            <w:pPr>
                              <w:jc w:val="center"/>
                              <w:rPr>
                                <w:rFonts w:hint="eastAsia" w:eastAsia="宋体"/>
                                <w:color w:val="auto"/>
                                <w:u w:val="single"/>
                                <w:lang w:eastAsia="zh-CN"/>
                              </w:rPr>
                            </w:pPr>
                            <w:r>
                              <w:rPr>
                                <w:rFonts w:hint="eastAsia"/>
                                <w:color w:val="auto"/>
                                <w:u w:val="single"/>
                                <w:lang w:eastAsia="zh-CN"/>
                              </w:rPr>
                              <w:t>布袋除尘</w:t>
                            </w:r>
                          </w:p>
                        </w:txbxContent>
                      </v:textbox>
                    </v:shape>
                  </w:pict>
                </mc:Fallback>
              </mc:AlternateContent>
            </w:r>
            <w:r>
              <w:rPr>
                <w:color w:val="auto"/>
                <w:highlight w:val="none"/>
              </w:rPr>
              <mc:AlternateContent>
                <mc:Choice Requires="wpg">
                  <w:drawing>
                    <wp:inline distT="0" distB="0" distL="114300" distR="114300">
                      <wp:extent cx="3273425" cy="4721860"/>
                      <wp:effectExtent l="5080" t="4445" r="17145" b="17145"/>
                      <wp:docPr id="137" name="组合 137"/>
                      <wp:cNvGraphicFramePr/>
                      <a:graphic xmlns:a="http://schemas.openxmlformats.org/drawingml/2006/main">
                        <a:graphicData uri="http://schemas.microsoft.com/office/word/2010/wordprocessingGroup">
                          <wpg:wgp>
                            <wpg:cNvGrpSpPr/>
                            <wpg:grpSpPr>
                              <a:xfrm>
                                <a:off x="0" y="0"/>
                                <a:ext cx="3273425" cy="4721913"/>
                                <a:chOff x="1325" y="-1763"/>
                                <a:chExt cx="5155" cy="7651"/>
                              </a:xfrm>
                            </wpg:grpSpPr>
                            <wps:wsp>
                              <wps:cNvPr id="67" name="文本框 6"/>
                              <wps:cNvSpPr txBox="1"/>
                              <wps:spPr>
                                <a:xfrm>
                                  <a:off x="3083" y="-1763"/>
                                  <a:ext cx="1587" cy="71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68FA710">
                                    <w:pPr>
                                      <w:jc w:val="center"/>
                                      <w:rPr>
                                        <w:rFonts w:hint="eastAsia" w:eastAsia="宋体"/>
                                        <w:lang w:eastAsia="zh-CN"/>
                                      </w:rPr>
                                    </w:pPr>
                                    <w:r>
                                      <w:rPr>
                                        <w:rFonts w:hint="eastAsia"/>
                                      </w:rPr>
                                      <w:t>潮粮进场</w:t>
                                    </w:r>
                                    <w:r>
                                      <w:rPr>
                                        <w:rFonts w:hint="eastAsia"/>
                                        <w:lang w:eastAsia="zh-CN"/>
                                      </w:rPr>
                                      <w:t>、</w:t>
                                    </w:r>
                                    <w:r>
                                      <w:rPr>
                                        <w:rFonts w:hint="eastAsia"/>
                                      </w:rPr>
                                      <w:t>卸料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3" name="文本框 13"/>
                              <wps:cNvSpPr txBox="1"/>
                              <wps:spPr>
                                <a:xfrm>
                                  <a:off x="1360" y="2920"/>
                                  <a:ext cx="1042" cy="46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9458418">
                                    <w:pPr>
                                      <w:jc w:val="center"/>
                                    </w:pPr>
                                    <w:r>
                                      <w:rPr>
                                        <w:rFonts w:hint="eastAsia"/>
                                      </w:rPr>
                                      <w:t>热风炉</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8" name="文本框 67"/>
                              <wps:cNvSpPr txBox="1"/>
                              <wps:spPr>
                                <a:xfrm>
                                  <a:off x="3201" y="2925"/>
                                  <a:ext cx="1317" cy="412"/>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11B3503">
                                    <w:pPr>
                                      <w:jc w:val="center"/>
                                    </w:pPr>
                                    <w:r>
                                      <w:rPr>
                                        <w:rFonts w:hint="eastAsia"/>
                                      </w:rPr>
                                      <w:t>烘干塔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9" name="文本框 68"/>
                              <wps:cNvSpPr txBox="1"/>
                              <wps:spPr>
                                <a:xfrm>
                                  <a:off x="3161" y="1181"/>
                                  <a:ext cx="1382" cy="44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D6B582F">
                                    <w:pPr>
                                      <w:jc w:val="center"/>
                                      <w:rPr>
                                        <w:rFonts w:hint="default" w:eastAsia="宋体"/>
                                        <w:lang w:val="en-US" w:eastAsia="zh-CN"/>
                                      </w:rPr>
                                    </w:pPr>
                                    <w:r>
                                      <w:rPr>
                                        <w:rFonts w:hint="eastAsia"/>
                                        <w:lang w:val="en-US" w:eastAsia="zh-CN"/>
                                      </w:rPr>
                                      <w:t>潮粮仓</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8" name="文本框 69"/>
                              <wps:cNvSpPr txBox="1"/>
                              <wps:spPr>
                                <a:xfrm>
                                  <a:off x="3166" y="2044"/>
                                  <a:ext cx="1394" cy="4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FE65EBB">
                                    <w:pPr>
                                      <w:jc w:val="center"/>
                                    </w:pPr>
                                    <w:r>
                                      <w:rPr>
                                        <w:rFonts w:hint="eastAsia"/>
                                      </w:rPr>
                                      <w:t>提升机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9" name="直接箭头连接符 71"/>
                              <wps:cNvCnPr>
                                <a:stCxn id="13" idx="3"/>
                              </wps:cNvCnPr>
                              <wps:spPr>
                                <a:xfrm>
                                  <a:off x="2402" y="3153"/>
                                  <a:ext cx="747" cy="1"/>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82" name="直接箭头连接符 72"/>
                              <wps:cNvCnPr/>
                              <wps:spPr>
                                <a:xfrm>
                                  <a:off x="4547" y="3927"/>
                                  <a:ext cx="513" cy="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13" name="直接箭头连接符 27"/>
                              <wps:cNvCnPr/>
                              <wps:spPr>
                                <a:xfrm>
                                  <a:off x="3895" y="3359"/>
                                  <a:ext cx="1" cy="387"/>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18" name="直接箭头连接符 37"/>
                              <wps:cNvCnPr/>
                              <wps:spPr>
                                <a:xfrm>
                                  <a:off x="3889" y="1642"/>
                                  <a:ext cx="0" cy="413"/>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19" name="文本框 157"/>
                              <wps:cNvSpPr txBox="1"/>
                              <wps:spPr>
                                <a:xfrm>
                                  <a:off x="3188" y="3727"/>
                                  <a:ext cx="1317" cy="46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151B4E0">
                                    <w:pPr>
                                      <w:jc w:val="center"/>
                                    </w:pPr>
                                    <w:r>
                                      <w:rPr>
                                        <w:rFonts w:hint="eastAsia"/>
                                      </w:rPr>
                                      <w:t>输送带</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1" name="直接箭头连接符 47"/>
                              <wps:cNvCnPr/>
                              <wps:spPr>
                                <a:xfrm>
                                  <a:off x="4598" y="2261"/>
                                  <a:ext cx="513" cy="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22" name="文本框 48"/>
                              <wps:cNvSpPr txBox="1"/>
                              <wps:spPr>
                                <a:xfrm>
                                  <a:off x="5098" y="2023"/>
                                  <a:ext cx="1192" cy="458"/>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1FDD276B">
                                    <w:pPr>
                                      <w:rPr>
                                        <w:rFonts w:hint="eastAsia" w:eastAsia="宋体"/>
                                        <w:lang w:val="en-US" w:eastAsia="zh-CN"/>
                                      </w:rPr>
                                    </w:pPr>
                                    <w:r>
                                      <w:rPr>
                                        <w:rFonts w:hint="eastAsia"/>
                                        <w:lang w:val="en-US" w:eastAsia="zh-CN"/>
                                      </w:rPr>
                                      <w:t>N</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0" name="直接箭头连接符 49"/>
                              <wps:cNvCnPr/>
                              <wps:spPr>
                                <a:xfrm>
                                  <a:off x="3900" y="2506"/>
                                  <a:ext cx="0" cy="413"/>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23" name="直接箭头连接符 50"/>
                              <wps:cNvCnPr/>
                              <wps:spPr>
                                <a:xfrm>
                                  <a:off x="4545" y="3156"/>
                                  <a:ext cx="513" cy="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24" name="文本框 53"/>
                              <wps:cNvSpPr txBox="1"/>
                              <wps:spPr>
                                <a:xfrm>
                                  <a:off x="5130" y="2912"/>
                                  <a:ext cx="1327" cy="480"/>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1BCDB9F6">
                                    <w:pPr>
                                      <w:rPr>
                                        <w:rFonts w:hint="default" w:eastAsia="宋体"/>
                                        <w:lang w:val="en-US" w:eastAsia="zh-CN"/>
                                      </w:rPr>
                                    </w:pPr>
                                    <w:r>
                                      <w:t>G</w:t>
                                    </w:r>
                                    <w:r>
                                      <w:rPr>
                                        <w:rFonts w:hint="eastAsia"/>
                                        <w:lang w:val="en-US" w:eastAsia="zh-CN"/>
                                      </w:rPr>
                                      <w:t>5、S5、N</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5" name="文本框 54"/>
                              <wps:cNvSpPr txBox="1"/>
                              <wps:spPr>
                                <a:xfrm>
                                  <a:off x="1966" y="2515"/>
                                  <a:ext cx="595" cy="370"/>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5CB49061">
                                    <w:pPr>
                                      <w:jc w:val="center"/>
                                      <w:rPr>
                                        <w:rFonts w:hint="default" w:eastAsia="宋体"/>
                                        <w:lang w:val="en-US" w:eastAsia="zh-CN"/>
                                      </w:rPr>
                                    </w:pPr>
                                    <w:r>
                                      <w:t>G</w:t>
                                    </w:r>
                                    <w:r>
                                      <w:rPr>
                                        <w:rFonts w:hint="eastAsia"/>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6" name="直接箭头连接符 55"/>
                              <wps:cNvCnPr>
                                <a:stCxn id="73" idx="0"/>
                              </wps:cNvCnPr>
                              <wps:spPr>
                                <a:xfrm flipV="1">
                                  <a:off x="1881" y="2486"/>
                                  <a:ext cx="5" cy="433"/>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29" name="文本框 56"/>
                              <wps:cNvSpPr txBox="1"/>
                              <wps:spPr>
                                <a:xfrm>
                                  <a:off x="5095" y="3718"/>
                                  <a:ext cx="1163" cy="458"/>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2ADEEBFD">
                                    <w:pPr>
                                      <w:rPr>
                                        <w:rFonts w:hint="eastAsia" w:eastAsia="宋体"/>
                                        <w:lang w:val="en-US" w:eastAsia="zh-CN"/>
                                      </w:rPr>
                                    </w:pPr>
                                    <w:r>
                                      <w:rPr>
                                        <w:rFonts w:hint="eastAsia"/>
                                        <w:lang w:val="en-US" w:eastAsia="zh-CN"/>
                                      </w:rPr>
                                      <w:t>G1、N</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8" name="直接箭头连接符 188"/>
                              <wps:cNvCnPr/>
                              <wps:spPr>
                                <a:xfrm>
                                  <a:off x="3871" y="4191"/>
                                  <a:ext cx="1" cy="387"/>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191" name="直接箭头连接符 191"/>
                              <wps:cNvCnPr/>
                              <wps:spPr>
                                <a:xfrm>
                                  <a:off x="4647" y="-1444"/>
                                  <a:ext cx="513" cy="4"/>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192" name="文本框 192"/>
                              <wps:cNvSpPr txBox="1"/>
                              <wps:spPr>
                                <a:xfrm>
                                  <a:off x="5127" y="-1681"/>
                                  <a:ext cx="1353" cy="466"/>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10544ED2">
                                    <w:pPr>
                                      <w:rPr>
                                        <w:rFonts w:hint="default"/>
                                        <w:lang w:val="en-US"/>
                                      </w:rPr>
                                    </w:pPr>
                                    <w:r>
                                      <w:t>G</w:t>
                                    </w:r>
                                    <w:r>
                                      <w:rPr>
                                        <w:rFonts w:hint="eastAsia"/>
                                        <w:lang w:val="en-US" w:eastAsia="zh-CN"/>
                                      </w:rPr>
                                      <w:t>1、N、S1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5" name="文本框 215"/>
                              <wps:cNvSpPr txBox="1"/>
                              <wps:spPr>
                                <a:xfrm>
                                  <a:off x="3210" y="5421"/>
                                  <a:ext cx="1317" cy="4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361FE07">
                                    <w:pPr>
                                      <w:jc w:val="center"/>
                                      <w:rPr>
                                        <w:rFonts w:hint="eastAsia"/>
                                        <w:lang w:val="en-US" w:eastAsia="zh-CN"/>
                                      </w:rPr>
                                    </w:pPr>
                                    <w:r>
                                      <w:rPr>
                                        <w:rFonts w:hint="eastAsia"/>
                                        <w:lang w:eastAsia="zh-CN"/>
                                      </w:rPr>
                                      <w:t>装车外售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2" name="直接箭头连接符 242"/>
                              <wps:cNvCnPr/>
                              <wps:spPr>
                                <a:xfrm>
                                  <a:off x="1901" y="3397"/>
                                  <a:ext cx="13" cy="538"/>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wps:wsp>
                              <wps:cNvPr id="243" name="文本框 243"/>
                              <wps:cNvSpPr txBox="1"/>
                              <wps:spPr>
                                <a:xfrm>
                                  <a:off x="1325" y="3921"/>
                                  <a:ext cx="1386" cy="896"/>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0F278C85">
                                    <w:pPr>
                                      <w:rPr>
                                        <w:rFonts w:hint="default" w:eastAsia="宋体"/>
                                        <w:lang w:val="en-US" w:eastAsia="zh-CN"/>
                                      </w:rPr>
                                    </w:pPr>
                                    <w:r>
                                      <w:t>G</w:t>
                                    </w:r>
                                    <w:r>
                                      <w:rPr>
                                        <w:rFonts w:hint="eastAsia"/>
                                        <w:lang w:val="en-US" w:eastAsia="zh-CN"/>
                                      </w:rPr>
                                      <w:t>4、S3、S4、</w:t>
                                    </w:r>
                                    <w:r>
                                      <w:rPr>
                                        <w:rFonts w:hint="eastAsia"/>
                                      </w:rPr>
                                      <w:t>S</w:t>
                                    </w:r>
                                    <w:r>
                                      <w:rPr>
                                        <w:rFonts w:hint="eastAsia"/>
                                        <w:lang w:val="en-US" w:eastAsia="zh-CN"/>
                                      </w:rPr>
                                      <w:t>2</w:t>
                                    </w:r>
                                    <w:r>
                                      <w:rPr>
                                        <w:rFonts w:hint="eastAsia"/>
                                        <w:lang w:eastAsia="zh-CN"/>
                                      </w:rPr>
                                      <w:t>、</w:t>
                                    </w:r>
                                    <w:r>
                                      <w:rPr>
                                        <w:rFonts w:hint="eastAsia"/>
                                        <w:lang w:val="en-US" w:eastAsia="zh-CN"/>
                                      </w:rPr>
                                      <w:t>N</w:t>
                                    </w:r>
                                  </w:p>
                                  <w:p w14:paraId="44113D7B">
                                    <w:pPr>
                                      <w:rPr>
                                        <w:rFonts w:hint="default"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inline>
                  </w:drawing>
                </mc:Choice>
                <mc:Fallback>
                  <w:pict>
                    <v:group id="_x0000_s1026" o:spid="_x0000_s1026" o:spt="203" style="height:371.8pt;width:257.75pt;" coordorigin="1325,-1763" coordsize="5155,7651" o:gfxdata="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">
                      <o:lock v:ext="edit" aspectratio="f"/>
                      <v:shape id="文本框 6" o:spid="_x0000_s1026" o:spt="202" type="#_x0000_t202" style="position:absolute;left:3083;top:-1763;height:717;width:1587;" fillcolor="#FFFFFF [3201]" filled="t" stroked="t" coordsize="21600,21600" o:gfxdata="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rG2kv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468FA710">
                              <w:pPr>
                                <w:jc w:val="center"/>
                                <w:rPr>
                                  <w:rFonts w:hint="eastAsia" w:eastAsia="宋体"/>
                                  <w:lang w:eastAsia="zh-CN"/>
                                </w:rPr>
                              </w:pPr>
                              <w:r>
                                <w:rPr>
                                  <w:rFonts w:hint="eastAsia"/>
                                </w:rPr>
                                <w:t>潮粮进场</w:t>
                              </w:r>
                              <w:r>
                                <w:rPr>
                                  <w:rFonts w:hint="eastAsia"/>
                                  <w:lang w:eastAsia="zh-CN"/>
                                </w:rPr>
                                <w:t>、</w:t>
                              </w:r>
                              <w:r>
                                <w:rPr>
                                  <w:rFonts w:hint="eastAsia"/>
                                </w:rPr>
                                <w:t>卸料</w:t>
                              </w:r>
                            </w:p>
                          </w:txbxContent>
                        </v:textbox>
                      </v:shape>
                      <v:shape id="文本框 13" o:spid="_x0000_s1026" o:spt="202" type="#_x0000_t202" style="position:absolute;left:1360;top:2920;height:466;width:1042;" fillcolor="#FFFFFF [3201]" filled="t" stroked="t" coordsize="21600,21600" o:gfxdata="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R+fnx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09458418">
                              <w:pPr>
                                <w:jc w:val="center"/>
                              </w:pPr>
                              <w:r>
                                <w:rPr>
                                  <w:rFonts w:hint="eastAsia"/>
                                </w:rPr>
                                <w:t>热风炉</w:t>
                              </w:r>
                            </w:p>
                          </w:txbxContent>
                        </v:textbox>
                      </v:shape>
                      <v:shape id="文本框 67" o:spid="_x0000_s1026" o:spt="202" type="#_x0000_t202" style="position:absolute;left:3201;top:2925;height:412;width:1317;" fillcolor="#FFFFFF [3201]" filled="t" stroked="t" coordsize="21600,21600" o:gfxdata="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U6Dfg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011B3503">
                              <w:pPr>
                                <w:jc w:val="center"/>
                              </w:pPr>
                              <w:r>
                                <w:rPr>
                                  <w:rFonts w:hint="eastAsia"/>
                                </w:rPr>
                                <w:t>烘干塔</w:t>
                              </w:r>
                            </w:p>
                          </w:txbxContent>
                        </v:textbox>
                      </v:shape>
                      <v:shape id="文本框 68" o:spid="_x0000_s1026" o:spt="202" type="#_x0000_t202" style="position:absolute;left:3161;top:1181;height:445;width:1382;" fillcolor="#FFFFFF [3201]" filled="t" stroked="t" coordsize="21600,21600" o:gfxdata="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7pJJ7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5D6B582F">
                              <w:pPr>
                                <w:jc w:val="center"/>
                                <w:rPr>
                                  <w:rFonts w:hint="default" w:eastAsia="宋体"/>
                                  <w:lang w:val="en-US" w:eastAsia="zh-CN"/>
                                </w:rPr>
                              </w:pPr>
                              <w:r>
                                <w:rPr>
                                  <w:rFonts w:hint="eastAsia"/>
                                  <w:lang w:val="en-US" w:eastAsia="zh-CN"/>
                                </w:rPr>
                                <w:t>潮粮仓</w:t>
                              </w:r>
                            </w:p>
                          </w:txbxContent>
                        </v:textbox>
                      </v:shape>
                      <v:shape id="文本框 69" o:spid="_x0000_s1026" o:spt="202" type="#_x0000_t202" style="position:absolute;left:3166;top:2044;height:467;width:1394;" fillcolor="#FFFFFF [3201]" filled="t" stroked="t" coordsize="21600,21600" o:gfxdata="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fXWuA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1FE65EBB">
                              <w:pPr>
                                <w:jc w:val="center"/>
                              </w:pPr>
                              <w:r>
                                <w:rPr>
                                  <w:rFonts w:hint="eastAsia"/>
                                </w:rPr>
                                <w:t>提升机</w:t>
                              </w:r>
                            </w:p>
                          </w:txbxContent>
                        </v:textbox>
                      </v:shape>
                      <v:shape id="直接箭头连接符 71" o:spid="_x0000_s1026" o:spt="32" type="#_x0000_t32" style="position:absolute;left:2402;top:3153;height:1;width:747;" filled="f" stroked="t" coordsize="21600,21600" o:gfxdata="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fsJ3W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直接箭头连接符 72" o:spid="_x0000_s1026" o:spt="32" type="#_x0000_t32" style="position:absolute;left:4547;top:3927;height:5;width:513;" filled="f" stroked="t" coordsize="21600,21600" o:gfxdata="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W0zj&#10;wAAAANs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shape id="直接箭头连接符 27" o:spid="_x0000_s1026" o:spt="32" type="#_x0000_t32" style="position:absolute;left:3895;top:3359;height:387;width:1;" filled="f" stroked="t" coordsize="21600,21600" o:gfxdata="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vTFAK5AAAA3AAA&#10;AA8AAAAAAAAAAQAgAAAAIgAAAGRycy9kb3ducmV2LnhtbFBLAQIUABQAAAAIAIdO4kAzLwWeOwAA&#10;ADkAAAAQAAAAAAAAAAEAIAAAAAgBAABkcnMvc2hhcGV4bWwueG1sUEsFBgAAAAAGAAYAWwEAALID&#10;AAAAAA==&#10;">
                        <v:fill on="f" focussize="0,0"/>
                        <v:stroke weight="1pt" color="#000000 [3213]" joinstyle="round" endarrow="block"/>
                        <v:imagedata o:title=""/>
                        <o:lock v:ext="edit" aspectratio="f"/>
                      </v:shape>
                      <v:shape id="直接箭头连接符 37" o:spid="_x0000_s1026" o:spt="32" type="#_x0000_t32" style="position:absolute;left:3889;top:1642;height:413;width:0;" filled="f" stroked="t" coordsize="21600,21600" o:gfxdata="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3hnO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文本框 157" o:spid="_x0000_s1026" o:spt="202" type="#_x0000_t202" style="position:absolute;left:3188;top:3727;height:466;width:1317;" fillcolor="#FFFFFF [3201]" filled="t" stroked="t" coordsize="21600,21600" o:gfxdata="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ZEcpdrUAAADc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14:paraId="0151B4E0">
                              <w:pPr>
                                <w:jc w:val="center"/>
                              </w:pPr>
                              <w:r>
                                <w:rPr>
                                  <w:rFonts w:hint="eastAsia"/>
                                </w:rPr>
                                <w:t>输送带</w:t>
                              </w:r>
                            </w:p>
                          </w:txbxContent>
                        </v:textbox>
                      </v:shape>
                      <v:shape id="直接箭头连接符 47" o:spid="_x0000_s1026" o:spt="32" type="#_x0000_t32" style="position:absolute;left:4598;top:2261;height:5;width:513;" filled="f" stroked="t" coordsize="21600,21600" o:gfxdata="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ph&#10;nojCAAAA3AAAAA8AAAAAAAAAAQAgAAAAIgAAAGRycy9kb3ducmV2LnhtbFBLAQIUABQAAAAIAIdO&#10;4kAzLwWeOwAAADkAAAAQAAAAAAAAAAEAIAAAABEBAABkcnMvc2hhcGV4bWwueG1sUEsFBgAAAAAG&#10;AAYAWwEAALsDAAAAAA==&#10;">
                        <v:fill on="f" focussize="0,0"/>
                        <v:stroke weight="1pt" color="#000000 [3213]" joinstyle="round" dashstyle="dash" endarrow="block"/>
                        <v:imagedata o:title=""/>
                        <o:lock v:ext="edit" aspectratio="f"/>
                      </v:shape>
                      <v:shape id="文本框 48" o:spid="_x0000_s1026" o:spt="202" type="#_x0000_t202" style="position:absolute;left:5098;top:2023;height:458;width:1192;" filled="f" stroked="t" coordsize="21600,21600" o:gfxdata="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EgWqXugAAANwA&#10;AAAPAAAAAAAAAAEAIAAAACIAAABkcnMvZG93bnJldi54bWxQSwECFAAUAAAACACHTuJAMy8FnjsA&#10;AAA5AAAAEAAAAAAAAAABACAAAAAJAQAAZHJzL3NoYXBleG1sLnhtbFBLBQYAAAAABgAGAFsBAACz&#10;AwAAAAA=&#10;">
                        <v:fill on="f" focussize="0,0"/>
                        <v:stroke weight="0.5pt" color="#000000 [3213]" joinstyle="round" dashstyle="dash"/>
                        <v:imagedata o:title=""/>
                        <o:lock v:ext="edit" aspectratio="f"/>
                        <v:textbox>
                          <w:txbxContent>
                            <w:p w14:paraId="1FDD276B">
                              <w:pPr>
                                <w:rPr>
                                  <w:rFonts w:hint="eastAsia" w:eastAsia="宋体"/>
                                  <w:lang w:val="en-US" w:eastAsia="zh-CN"/>
                                </w:rPr>
                              </w:pPr>
                              <w:r>
                                <w:rPr>
                                  <w:rFonts w:hint="eastAsia"/>
                                  <w:lang w:val="en-US" w:eastAsia="zh-CN"/>
                                </w:rPr>
                                <w:t>N</w:t>
                              </w:r>
                            </w:p>
                          </w:txbxContent>
                        </v:textbox>
                      </v:shape>
                      <v:shape id="直接箭头连接符 49" o:spid="_x0000_s1026" o:spt="32" type="#_x0000_t32" style="position:absolute;left:3900;top:2506;height:413;width:0;" filled="f" stroked="t" coordsize="21600,21600" o:gfxdata="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jDxg1tAAAANsAAAAPAAAA&#10;AAAAAAEAIAAAACIAAABkcnMvZG93bnJldi54bWxQSwECFAAUAAAACACHTuJAMy8FnjsAAAA5AAAA&#10;EAAAAAAAAAABACAAAAADAQAAZHJzL3NoYXBleG1sLnhtbFBLBQYAAAAABgAGAFsBAACtAwAAAAA=&#10;">
                        <v:fill on="f" focussize="0,0"/>
                        <v:stroke weight="1pt" color="#000000 [3213]" joinstyle="round" endarrow="block"/>
                        <v:imagedata o:title=""/>
                        <o:lock v:ext="edit" aspectratio="f"/>
                      </v:shape>
                      <v:shape id="直接箭头连接符 50" o:spid="_x0000_s1026" o:spt="32" type="#_x0000_t32" style="position:absolute;left:4545;top:3156;height:5;width:513;" filled="f" stroked="t" coordsize="21600,21600" o:gfxdata="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X/&#10;pWTCAAAA3AAAAA8AAAAAAAAAAQAgAAAAIgAAAGRycy9kb3ducmV2LnhtbFBLAQIUABQAAAAIAIdO&#10;4kAzLwWeOwAAADkAAAAQAAAAAAAAAAEAIAAAABEBAABkcnMvc2hhcGV4bWwueG1sUEsFBgAAAAAG&#10;AAYAWwEAALsDAAAAAA==&#10;">
                        <v:fill on="f" focussize="0,0"/>
                        <v:stroke weight="1pt" color="#000000 [3213]" joinstyle="round" dashstyle="dash" endarrow="block"/>
                        <v:imagedata o:title=""/>
                        <o:lock v:ext="edit" aspectratio="f"/>
                      </v:shape>
                      <v:shape id="文本框 53" o:spid="_x0000_s1026" o:spt="202" type="#_x0000_t202" style="position:absolute;left:5130;top:2912;height:480;width:1327;" filled="f" stroked="t" coordsize="21600,21600" o:gfxdata="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QkV3i5AAAA3AAA&#10;AA8AAAAAAAAAAQAgAAAAIgAAAGRycy9kb3ducmV2LnhtbFBLAQIUABQAAAAIAIdO4kAzLwWeOwAA&#10;ADkAAAAQAAAAAAAAAAEAIAAAAAgBAABkcnMvc2hhcGV4bWwueG1sUEsFBgAAAAAGAAYAWwEAALID&#10;AAAAAA==&#10;">
                        <v:fill on="f" focussize="0,0"/>
                        <v:stroke weight="0.5pt" color="#000000 [3213]" joinstyle="round" dashstyle="dash"/>
                        <v:imagedata o:title=""/>
                        <o:lock v:ext="edit" aspectratio="f"/>
                        <v:textbox>
                          <w:txbxContent>
                            <w:p w14:paraId="1BCDB9F6">
                              <w:pPr>
                                <w:rPr>
                                  <w:rFonts w:hint="default" w:eastAsia="宋体"/>
                                  <w:lang w:val="en-US" w:eastAsia="zh-CN"/>
                                </w:rPr>
                              </w:pPr>
                              <w:r>
                                <w:t>G</w:t>
                              </w:r>
                              <w:r>
                                <w:rPr>
                                  <w:rFonts w:hint="eastAsia"/>
                                  <w:lang w:val="en-US" w:eastAsia="zh-CN"/>
                                </w:rPr>
                                <w:t>5、S5、N</w:t>
                              </w:r>
                            </w:p>
                          </w:txbxContent>
                        </v:textbox>
                      </v:shape>
                      <v:shape id="文本框 54" o:spid="_x0000_s1026" o:spt="202" type="#_x0000_t202" style="position:absolute;left:1966;top:2515;height:370;width:595;" filled="f" stroked="t" coordsize="21600,21600" o:gfxdata="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to8uO5AAAA3AAA&#10;AA8AAAAAAAAAAQAgAAAAIgAAAGRycy9kb3ducmV2LnhtbFBLAQIUABQAAAAIAIdO4kAzLwWeOwAA&#10;ADkAAAAQAAAAAAAAAAEAIAAAAAgBAABkcnMvc2hhcGV4bWwueG1sUEsFBgAAAAAGAAYAWwEAALID&#10;AAAAAA==&#10;">
                        <v:fill on="f" focussize="0,0"/>
                        <v:stroke weight="0.5pt" color="#000000 [3213]" joinstyle="round" dashstyle="dash"/>
                        <v:imagedata o:title=""/>
                        <o:lock v:ext="edit" aspectratio="f"/>
                        <v:textbox>
                          <w:txbxContent>
                            <w:p w14:paraId="5CB49061">
                              <w:pPr>
                                <w:jc w:val="center"/>
                                <w:rPr>
                                  <w:rFonts w:hint="default" w:eastAsia="宋体"/>
                                  <w:lang w:val="en-US" w:eastAsia="zh-CN"/>
                                </w:rPr>
                              </w:pPr>
                              <w:r>
                                <w:t>G</w:t>
                              </w:r>
                              <w:r>
                                <w:rPr>
                                  <w:rFonts w:hint="eastAsia"/>
                                </w:rPr>
                                <w:t>3</w:t>
                              </w:r>
                            </w:p>
                          </w:txbxContent>
                        </v:textbox>
                      </v:shape>
                      <v:shape id="直接箭头连接符 55" o:spid="_x0000_s1026" o:spt="32" type="#_x0000_t32" style="position:absolute;left:1881;top:2486;flip:y;height:433;width:5;" filled="f" stroked="t" coordsize="21600,21600" o:gfxdata="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sMXE&#10;wAAAANw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shape id="文本框 56" o:spid="_x0000_s1026" o:spt="202" type="#_x0000_t202" style="position:absolute;left:5095;top:3718;height:458;width:1163;" filled="f" stroked="t" coordsize="21600,21600" o:gfxdata="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ol+Oa5AAAA3AAA&#10;AA8AAAAAAAAAAQAgAAAAIgAAAGRycy9kb3ducmV2LnhtbFBLAQIUABQAAAAIAIdO4kAzLwWeOwAA&#10;ADkAAAAQAAAAAAAAAAEAIAAAAAgBAABkcnMvc2hhcGV4bWwueG1sUEsFBgAAAAAGAAYAWwEAALID&#10;AAAAAA==&#10;">
                        <v:fill on="f" focussize="0,0"/>
                        <v:stroke weight="0.5pt" color="#000000 [3213]" joinstyle="round" dashstyle="dash"/>
                        <v:imagedata o:title=""/>
                        <o:lock v:ext="edit" aspectratio="f"/>
                        <v:textbox>
                          <w:txbxContent>
                            <w:p w14:paraId="2ADEEBFD">
                              <w:pPr>
                                <w:rPr>
                                  <w:rFonts w:hint="eastAsia" w:eastAsia="宋体"/>
                                  <w:lang w:val="en-US" w:eastAsia="zh-CN"/>
                                </w:rPr>
                              </w:pPr>
                              <w:r>
                                <w:rPr>
                                  <w:rFonts w:hint="eastAsia"/>
                                  <w:lang w:val="en-US" w:eastAsia="zh-CN"/>
                                </w:rPr>
                                <w:t>G1、N</w:t>
                              </w:r>
                            </w:p>
                          </w:txbxContent>
                        </v:textbox>
                      </v:shape>
                      <v:shape id="_x0000_s1026" o:spid="_x0000_s1026" o:spt="32" type="#_x0000_t32" style="position:absolute;left:3871;top:4191;height:387;width:1;" filled="f" stroked="t" coordsize="21600,21600" o:gfxdata="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19E/S8AAAA&#10;3A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_x0000_s1026" o:spid="_x0000_s1026" o:spt="32" type="#_x0000_t32" style="position:absolute;left:4647;top:-1444;height:4;width:513;" filled="f" stroked="t" coordsize="21600,21600" o:gfxdata="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ne&#10;V2/CAAAA3AAAAA8AAAAAAAAAAQAgAAAAIgAAAGRycy9kb3ducmV2LnhtbFBLAQIUABQAAAAIAIdO&#10;4kAzLwWeOwAAADkAAAAQAAAAAAAAAAEAIAAAABEBAABkcnMvc2hhcGV4bWwueG1sUEsFBgAAAAAG&#10;AAYAWwEAALsDAAAAAA==&#10;">
                        <v:fill on="f" focussize="0,0"/>
                        <v:stroke weight="1pt" color="#000000 [3213]" joinstyle="round" dashstyle="dash" endarrow="block"/>
                        <v:imagedata o:title=""/>
                        <o:lock v:ext="edit" aspectratio="f"/>
                      </v:shape>
                      <v:shape id="_x0000_s1026" o:spid="_x0000_s1026" o:spt="202" type="#_x0000_t202" style="position:absolute;left:5127;top:-1681;height:466;width:1353;" filled="f" stroked="t" coordsize="21600,21600" o:gfxdata="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c+o3C5AAAA3AAA&#10;AA8AAAAAAAAAAQAgAAAAIgAAAGRycy9kb3ducmV2LnhtbFBLAQIUABQAAAAIAIdO4kAzLwWeOwAA&#10;ADkAAAAQAAAAAAAAAAEAIAAAAAgBAABkcnMvc2hhcGV4bWwueG1sUEsFBgAAAAAGAAYAWwEAALID&#10;AAAAAA==&#10;">
                        <v:fill on="f" focussize="0,0"/>
                        <v:stroke weight="0.5pt" color="#000000 [3213]" joinstyle="round" dashstyle="dash"/>
                        <v:imagedata o:title=""/>
                        <o:lock v:ext="edit" aspectratio="f"/>
                        <v:textbox>
                          <w:txbxContent>
                            <w:p w14:paraId="10544ED2">
                              <w:pPr>
                                <w:rPr>
                                  <w:rFonts w:hint="default"/>
                                  <w:lang w:val="en-US"/>
                                </w:rPr>
                              </w:pPr>
                              <w:r>
                                <w:t>G</w:t>
                              </w:r>
                              <w:r>
                                <w:rPr>
                                  <w:rFonts w:hint="eastAsia"/>
                                  <w:lang w:val="en-US" w:eastAsia="zh-CN"/>
                                </w:rPr>
                                <w:t>1、N、S1</w:t>
                              </w:r>
                            </w:p>
                          </w:txbxContent>
                        </v:textbox>
                      </v:shape>
                      <v:shape id="_x0000_s1026" o:spid="_x0000_s1026" o:spt="202" type="#_x0000_t202" style="position:absolute;left:3210;top:5421;height:467;width:1317;" fillcolor="#FFFFFF [3201]" filled="t" stroked="t" coordsize="21600,21600" o:gfxdata="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4vQg+8AAAA&#10;3AAAAA8AAAAAAAAAAQAgAAAAIgAAAGRycy9kb3ducmV2LnhtbFBLAQIUABQAAAAIAIdO4kAzLwWe&#10;OwAAADkAAAAQAAAAAAAAAAEAIAAAAAsBAABkcnMvc2hhcGV4bWwueG1sUEsFBgAAAAAGAAYAWwEA&#10;ALUDAAAAAA==&#10;">
                        <v:fill on="t" focussize="0,0"/>
                        <v:stroke weight="0.5pt" color="#000000 [3204]" joinstyle="round"/>
                        <v:imagedata o:title=""/>
                        <o:lock v:ext="edit" aspectratio="f"/>
                        <v:textbox>
                          <w:txbxContent>
                            <w:p w14:paraId="4361FE07">
                              <w:pPr>
                                <w:jc w:val="center"/>
                                <w:rPr>
                                  <w:rFonts w:hint="eastAsia"/>
                                  <w:lang w:val="en-US" w:eastAsia="zh-CN"/>
                                </w:rPr>
                              </w:pPr>
                              <w:r>
                                <w:rPr>
                                  <w:rFonts w:hint="eastAsia"/>
                                  <w:lang w:eastAsia="zh-CN"/>
                                </w:rPr>
                                <w:t>装车外售</w:t>
                              </w:r>
                            </w:p>
                          </w:txbxContent>
                        </v:textbox>
                      </v:shape>
                      <v:shape id="_x0000_s1026" o:spid="_x0000_s1026" o:spt="32" type="#_x0000_t32" style="position:absolute;left:1901;top:3397;height:538;width:13;" filled="f" stroked="t" coordsize="21600,21600" o:gfxdata="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sSYQj&#10;wAAAANwAAAAPAAAAAAAAAAEAIAAAACIAAABkcnMvZG93bnJldi54bWxQSwECFAAUAAAACACHTuJA&#10;My8FnjsAAAA5AAAAEAAAAAAAAAABACAAAAAPAQAAZHJzL3NoYXBleG1sLnhtbFBLBQYAAAAABgAG&#10;AFsBAAC5AwAAAAA=&#10;">
                        <v:fill on="f" focussize="0,0"/>
                        <v:stroke weight="1pt" color="#000000 [3213]" joinstyle="round" dashstyle="dash" endarrow="block"/>
                        <v:imagedata o:title=""/>
                        <o:lock v:ext="edit" aspectratio="f"/>
                      </v:shape>
                      <v:shape id="_x0000_s1026" o:spid="_x0000_s1026" o:spt="202" type="#_x0000_t202" style="position:absolute;left:1325;top:3921;height:896;width:1386;" filled="f" stroked="t" coordsize="21600,21600" o:gfxdata="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TdL0L4A&#10;AADcAAAADwAAAAAAAAABACAAAAAiAAAAZHJzL2Rvd25yZXYueG1sUEsBAhQAFAAAAAgAh07iQDMv&#10;BZ47AAAAOQAAABAAAAAAAAAAAQAgAAAADQEAAGRycy9zaGFwZXhtbC54bWxQSwUGAAAAAAYABgBb&#10;AQAAtwMAAAAA&#10;">
                        <v:fill on="f" focussize="0,0"/>
                        <v:stroke weight="0.5pt" color="#000000 [3213]" joinstyle="round" dashstyle="dash"/>
                        <v:imagedata o:title=""/>
                        <o:lock v:ext="edit" aspectratio="f"/>
                        <v:textbox>
                          <w:txbxContent>
                            <w:p w14:paraId="0F278C85">
                              <w:pPr>
                                <w:rPr>
                                  <w:rFonts w:hint="default" w:eastAsia="宋体"/>
                                  <w:lang w:val="en-US" w:eastAsia="zh-CN"/>
                                </w:rPr>
                              </w:pPr>
                              <w:r>
                                <w:t>G</w:t>
                              </w:r>
                              <w:r>
                                <w:rPr>
                                  <w:rFonts w:hint="eastAsia"/>
                                  <w:lang w:val="en-US" w:eastAsia="zh-CN"/>
                                </w:rPr>
                                <w:t>4、S3、S4、</w:t>
                              </w:r>
                              <w:r>
                                <w:rPr>
                                  <w:rFonts w:hint="eastAsia"/>
                                </w:rPr>
                                <w:t>S</w:t>
                              </w:r>
                              <w:r>
                                <w:rPr>
                                  <w:rFonts w:hint="eastAsia"/>
                                  <w:lang w:val="en-US" w:eastAsia="zh-CN"/>
                                </w:rPr>
                                <w:t>2</w:t>
                              </w:r>
                              <w:r>
                                <w:rPr>
                                  <w:rFonts w:hint="eastAsia"/>
                                  <w:lang w:eastAsia="zh-CN"/>
                                </w:rPr>
                                <w:t>、</w:t>
                              </w:r>
                              <w:r>
                                <w:rPr>
                                  <w:rFonts w:hint="eastAsia"/>
                                  <w:lang w:val="en-US" w:eastAsia="zh-CN"/>
                                </w:rPr>
                                <w:t>N</w:t>
                              </w:r>
                            </w:p>
                            <w:p w14:paraId="44113D7B">
                              <w:pPr>
                                <w:rPr>
                                  <w:rFonts w:hint="default" w:eastAsia="宋体"/>
                                  <w:lang w:val="en-US" w:eastAsia="zh-CN"/>
                                </w:rPr>
                              </w:pPr>
                            </w:p>
                          </w:txbxContent>
                        </v:textbox>
                      </v:shape>
                      <w10:wrap type="none"/>
                      <w10:anchorlock/>
                    </v:group>
                  </w:pict>
                </mc:Fallback>
              </mc:AlternateContent>
            </w:r>
            <w:r>
              <w:rPr>
                <w:color w:val="auto"/>
              </w:rPr>
              <mc:AlternateContent>
                <mc:Choice Requires="wps">
                  <w:drawing>
                    <wp:anchor distT="0" distB="0" distL="114300" distR="114300" simplePos="0" relativeHeight="251665408" behindDoc="0" locked="0" layoutInCell="1" allowOverlap="1">
                      <wp:simplePos x="0" y="0"/>
                      <wp:positionH relativeFrom="column">
                        <wp:posOffset>2880360</wp:posOffset>
                      </wp:positionH>
                      <wp:positionV relativeFrom="paragraph">
                        <wp:posOffset>4555490</wp:posOffset>
                      </wp:positionV>
                      <wp:extent cx="325755" cy="3175"/>
                      <wp:effectExtent l="0" t="35560" r="17145" b="37465"/>
                      <wp:wrapNone/>
                      <wp:docPr id="114" name="直接箭头连接符 114"/>
                      <wp:cNvGraphicFramePr/>
                      <a:graphic xmlns:a="http://schemas.openxmlformats.org/drawingml/2006/main">
                        <a:graphicData uri="http://schemas.microsoft.com/office/word/2010/wordprocessingShape">
                          <wps:wsp>
                            <wps:cNvCnPr/>
                            <wps:spPr>
                              <a:xfrm>
                                <a:off x="0" y="0"/>
                                <a:ext cx="325755" cy="308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26.8pt;margin-top:358.7pt;height:0.25pt;width:25.65pt;z-index:251665408;mso-width-relative:page;mso-height-relative:page;" filled="f" stroked="t" coordsize="21600,21600" o:gfxdata="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xw2k73AAAAAsBAAAPAAAAAAAAAAEAIAAAACIAAABkcnMv&#10;ZG93bnJldi54bWxQSwECFAAUAAAACACHTuJAOvxZU/8BAADQAwAADgAAAAAAAAABACAAAAArAQAA&#10;ZHJzL2Uyb0RvYy54bWxQSwUGAAAAAAYABgBZAQAAnAUAAAAA&#10;">
                      <v:fill on="f" focussize="0,0"/>
                      <v:stroke weight="1pt" color="#000000 [3213]" joinstyle="round" dashstyle="dash" endarrow="block"/>
                      <v:imagedata o:title=""/>
                      <o:lock v:ext="edit" aspectratio="f"/>
                    </v:shape>
                  </w:pict>
                </mc:Fallback>
              </mc:AlternateContent>
            </w:r>
            <w:r>
              <w:rPr>
                <w:color w:val="auto"/>
              </w:rPr>
              <mc:AlternateContent>
                <mc:Choice Requires="wps">
                  <w:drawing>
                    <wp:anchor distT="0" distB="0" distL="114300" distR="114300" simplePos="0" relativeHeight="251665408" behindDoc="0" locked="0" layoutInCell="1" allowOverlap="1">
                      <wp:simplePos x="0" y="0"/>
                      <wp:positionH relativeFrom="column">
                        <wp:posOffset>3215005</wp:posOffset>
                      </wp:positionH>
                      <wp:positionV relativeFrom="paragraph">
                        <wp:posOffset>4438650</wp:posOffset>
                      </wp:positionV>
                      <wp:extent cx="734695" cy="288925"/>
                      <wp:effectExtent l="4445" t="4445" r="22860" b="11430"/>
                      <wp:wrapNone/>
                      <wp:docPr id="115" name="文本框 115"/>
                      <wp:cNvGraphicFramePr/>
                      <a:graphic xmlns:a="http://schemas.openxmlformats.org/drawingml/2006/main">
                        <a:graphicData uri="http://schemas.microsoft.com/office/word/2010/wordprocessingShape">
                          <wps:wsp>
                            <wps:cNvSpPr txBox="1"/>
                            <wps:spPr>
                              <a:xfrm>
                                <a:off x="0" y="0"/>
                                <a:ext cx="734695" cy="288825"/>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73121DD4">
                                  <w:pPr>
                                    <w:rPr>
                                      <w:rFonts w:hint="default" w:eastAsia="宋体"/>
                                      <w:color w:val="auto"/>
                                      <w:u w:val="single"/>
                                      <w:lang w:val="en-US" w:eastAsia="zh-CN"/>
                                    </w:rPr>
                                  </w:pPr>
                                  <w:r>
                                    <w:rPr>
                                      <w:color w:val="auto"/>
                                      <w:u w:val="single"/>
                                    </w:rPr>
                                    <w:t>G</w:t>
                                  </w:r>
                                  <w:r>
                                    <w:rPr>
                                      <w:rFonts w:hint="eastAsia"/>
                                      <w:color w:val="auto"/>
                                      <w:u w:val="single"/>
                                      <w:lang w:val="en-US" w:eastAsia="zh-CN"/>
                                    </w:rPr>
                                    <w:t>1、N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3.15pt;margin-top:349.5pt;height:22.75pt;width:57.85pt;z-index:251665408;mso-width-relative:page;mso-height-relative:page;" filled="f" stroked="t" coordsize="21600,21600" o:gfxdata="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JfDgXDbAAAACwEAAA8AAAAAAAAAAQAgAAAAIgAAAGRycy9kb3ducmV2LnhtbFBLAQIUABQAAAAI&#10;AIdO4kDxKe0/XAIAAKoEAAAOAAAAAAAAAAEAIAAAACoBAABkcnMvZTJvRG9jLnhtbFBLBQYAAAAA&#10;BgAGAFkBAAD4BQAAAAA=&#10;">
                      <v:fill on="f" focussize="0,0"/>
                      <v:stroke weight="0.5pt" color="#000000 [3213]" joinstyle="round" dashstyle="dash"/>
                      <v:imagedata o:title=""/>
                      <o:lock v:ext="edit" aspectratio="f"/>
                      <v:textbox>
                        <w:txbxContent>
                          <w:p w14:paraId="73121DD4">
                            <w:pPr>
                              <w:rPr>
                                <w:rFonts w:hint="default" w:eastAsia="宋体"/>
                                <w:color w:val="auto"/>
                                <w:u w:val="single"/>
                                <w:lang w:val="en-US" w:eastAsia="zh-CN"/>
                              </w:rPr>
                            </w:pPr>
                            <w:r>
                              <w:rPr>
                                <w:color w:val="auto"/>
                                <w:u w:val="single"/>
                              </w:rPr>
                              <w:t>G</w:t>
                            </w:r>
                            <w:r>
                              <w:rPr>
                                <w:rFonts w:hint="eastAsia"/>
                                <w:color w:val="auto"/>
                                <w:u w:val="single"/>
                                <w:lang w:val="en-US" w:eastAsia="zh-CN"/>
                              </w:rPr>
                              <w:t>1、N</w:t>
                            </w:r>
                          </w:p>
                        </w:txbxContent>
                      </v:textbox>
                    </v:shape>
                  </w:pict>
                </mc:Fallback>
              </mc:AlternateContent>
            </w:r>
            <w:r>
              <w:rPr>
                <w:color w:val="auto"/>
              </w:rPr>
              <mc:AlternateContent>
                <mc:Choice Requires="wps">
                  <w:drawing>
                    <wp:anchor distT="0" distB="0" distL="114300" distR="114300" simplePos="0" relativeHeight="251664384" behindDoc="0" locked="0" layoutInCell="1" allowOverlap="1">
                      <wp:simplePos x="0" y="0"/>
                      <wp:positionH relativeFrom="column">
                        <wp:posOffset>2015490</wp:posOffset>
                      </wp:positionH>
                      <wp:positionV relativeFrom="paragraph">
                        <wp:posOffset>3914775</wp:posOffset>
                      </wp:positionV>
                      <wp:extent cx="836295" cy="288290"/>
                      <wp:effectExtent l="4445" t="5080" r="16510" b="11430"/>
                      <wp:wrapNone/>
                      <wp:docPr id="104" name="文本框 104"/>
                      <wp:cNvGraphicFramePr/>
                      <a:graphic xmlns:a="http://schemas.openxmlformats.org/drawingml/2006/main">
                        <a:graphicData uri="http://schemas.microsoft.com/office/word/2010/wordprocessingShape">
                          <wps:wsp>
                            <wps:cNvSpPr txBox="1"/>
                            <wps:spPr>
                              <a:xfrm>
                                <a:off x="0" y="0"/>
                                <a:ext cx="836295" cy="28820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AEB58E3">
                                  <w:pPr>
                                    <w:jc w:val="center"/>
                                    <w:rPr>
                                      <w:rFonts w:hint="eastAsia"/>
                                      <w:color w:val="auto"/>
                                      <w:u w:val="single"/>
                                      <w:lang w:val="en-US" w:eastAsia="zh-CN"/>
                                    </w:rPr>
                                  </w:pPr>
                                  <w:r>
                                    <w:rPr>
                                      <w:rFonts w:hint="eastAsia"/>
                                      <w:color w:val="auto"/>
                                      <w:u w:val="single"/>
                                      <w:lang w:eastAsia="zh-CN"/>
                                    </w:rPr>
                                    <w:t>干粮仓</w:t>
                                  </w:r>
                                </w:p>
                                <w:p w14:paraId="447C52AF">
                                  <w:pPr>
                                    <w:rPr>
                                      <w:rFonts w:hint="eastAsia"/>
                                      <w:color w:val="auto"/>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8.7pt;margin-top:308.25pt;height:22.7pt;width:65.85pt;z-index:251664384;mso-width-relative:page;mso-height-relative:page;" fillcolor="#FFFFFF [3201]" filled="t" stroked="t" coordsize="21600,21600" o:gfxdata="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luALHY&#10;AAAACwEAAA8AAAAAAAAAAQAgAAAAIgAAAGRycy9kb3ducmV2LnhtbFBLAQIUABQAAAAIAIdO4kBN&#10;ty46WQIAALoEAAAOAAAAAAAAAAEAIAAAACcBAABkcnMvZTJvRG9jLnhtbFBLBQYAAAAABgAGAFkB&#10;AADyBQAAAAA=&#10;">
                      <v:fill on="t" focussize="0,0"/>
                      <v:stroke weight="0.5pt" color="#000000 [3204]" joinstyle="round"/>
                      <v:imagedata o:title=""/>
                      <o:lock v:ext="edit" aspectratio="f"/>
                      <v:textbox>
                        <w:txbxContent>
                          <w:p w14:paraId="6AEB58E3">
                            <w:pPr>
                              <w:jc w:val="center"/>
                              <w:rPr>
                                <w:rFonts w:hint="eastAsia"/>
                                <w:color w:val="auto"/>
                                <w:u w:val="single"/>
                                <w:lang w:val="en-US" w:eastAsia="zh-CN"/>
                              </w:rPr>
                            </w:pPr>
                            <w:r>
                              <w:rPr>
                                <w:rFonts w:hint="eastAsia"/>
                                <w:color w:val="auto"/>
                                <w:u w:val="single"/>
                                <w:lang w:eastAsia="zh-CN"/>
                              </w:rPr>
                              <w:t>干粮仓</w:t>
                            </w:r>
                          </w:p>
                          <w:p w14:paraId="447C52AF">
                            <w:pPr>
                              <w:rPr>
                                <w:rFonts w:hint="eastAsia"/>
                                <w:color w:val="auto"/>
                                <w:lang w:val="en-US" w:eastAsia="zh-CN"/>
                              </w:rPr>
                            </w:pPr>
                          </w:p>
                        </w:txbxContent>
                      </v:textbox>
                    </v:shape>
                  </w:pict>
                </mc:Fallback>
              </mc:AlternateContent>
            </w:r>
            <w:r>
              <w:rPr>
                <w:color w:val="auto"/>
              </w:rPr>
              <mc:AlternateContent>
                <mc:Choice Requires="wps">
                  <w:drawing>
                    <wp:anchor distT="0" distB="0" distL="114300" distR="114300" simplePos="0" relativeHeight="251666432" behindDoc="0" locked="0" layoutInCell="1" allowOverlap="1">
                      <wp:simplePos x="0" y="0"/>
                      <wp:positionH relativeFrom="column">
                        <wp:posOffset>2444750</wp:posOffset>
                      </wp:positionH>
                      <wp:positionV relativeFrom="paragraph">
                        <wp:posOffset>4202430</wp:posOffset>
                      </wp:positionV>
                      <wp:extent cx="635" cy="238760"/>
                      <wp:effectExtent l="37465" t="0" r="38100" b="8890"/>
                      <wp:wrapNone/>
                      <wp:docPr id="117" name="直接箭头连接符 117"/>
                      <wp:cNvGraphicFramePr/>
                      <a:graphic xmlns:a="http://schemas.openxmlformats.org/drawingml/2006/main">
                        <a:graphicData uri="http://schemas.microsoft.com/office/word/2010/wordprocessingShape">
                          <wps:wsp>
                            <wps:cNvCnPr/>
                            <wps:spPr>
                              <a:xfrm>
                                <a:off x="0" y="0"/>
                                <a:ext cx="635" cy="238824"/>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92.5pt;margin-top:330.9pt;height:18.8pt;width:0.05pt;z-index:251666432;mso-width-relative:page;mso-height-relative:page;" filled="f" stroked="t" coordsize="21600,21600" o:gfxdata="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ctDi9gAAAALAQAADwAAAAAAAAABACAAAAAiAAAAZHJzL2Rvd25y&#10;ZXYueG1sUEsBAhQAFAAAAAgAh07iQFLUw0r+AQAA0AMAAA4AAAAAAAAAAQAgAAAAJwEAAGRycy9l&#10;Mm9Eb2MueG1sUEsFBgAAAAAGAAYAWQEAAJcFAAAAAA==&#10;">
                      <v:fill on="f" focussize="0,0"/>
                      <v:stroke weight="1pt" color="#000000 [3213]" joinstyle="round" endarrow="block"/>
                      <v:imagedata o:title=""/>
                      <o:lock v:ext="edit" aspectratio="f"/>
                    </v:shape>
                  </w:pict>
                </mc:Fallback>
              </mc:AlternateContent>
            </w:r>
            <w:r>
              <w:rPr>
                <w:color w:val="auto"/>
              </w:rPr>
              <mc:AlternateContent>
                <mc:Choice Requires="wps">
                  <w:drawing>
                    <wp:anchor distT="0" distB="0" distL="114300" distR="114300" simplePos="0" relativeHeight="251662336" behindDoc="0" locked="0" layoutInCell="1" allowOverlap="1">
                      <wp:simplePos x="0" y="0"/>
                      <wp:positionH relativeFrom="column">
                        <wp:posOffset>2444115</wp:posOffset>
                      </wp:positionH>
                      <wp:positionV relativeFrom="paragraph">
                        <wp:posOffset>497205</wp:posOffset>
                      </wp:positionV>
                      <wp:extent cx="635" cy="215265"/>
                      <wp:effectExtent l="38100" t="0" r="37465" b="13335"/>
                      <wp:wrapNone/>
                      <wp:docPr id="77" name="直接箭头连接符 37"/>
                      <wp:cNvGraphicFramePr/>
                      <a:graphic xmlns:a="http://schemas.openxmlformats.org/drawingml/2006/main">
                        <a:graphicData uri="http://schemas.microsoft.com/office/word/2010/wordprocessingShape">
                          <wps:wsp>
                            <wps:cNvCnPr/>
                            <wps:spPr>
                              <a:xfrm flipH="1">
                                <a:off x="0" y="0"/>
                                <a:ext cx="635" cy="215265"/>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直接箭头连接符 37" o:spid="_x0000_s1026" o:spt="32" type="#_x0000_t32" style="position:absolute;left:0pt;flip:x;margin-left:192.45pt;margin-top:39.15pt;height:16.95pt;width:0.05pt;z-index:251662336;mso-width-relative:page;mso-height-relative:page;" filled="f" stroked="t" coordsize="21600,21600" o:gfxdata="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uZTWr3AAAAAoBAAAPAAAAAAAAAAEAIAAAACIA&#10;AABkcnMvZG93bnJldi54bWxQSwECFAAUAAAACACHTuJAp6mF4AUCAADYAwAADgAAAAAAAAABACAA&#10;AAArAQAAZHJzL2Uyb0RvYy54bWxQSwUGAAAAAAYABgBZAQAAogUAAAAA&#10;">
                      <v:fill on="f" focussize="0,0"/>
                      <v:stroke weight="1pt" color="#000000 [3213]"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1981835</wp:posOffset>
                      </wp:positionH>
                      <wp:positionV relativeFrom="paragraph">
                        <wp:posOffset>765810</wp:posOffset>
                      </wp:positionV>
                      <wp:extent cx="855980" cy="306705"/>
                      <wp:effectExtent l="4445" t="5080" r="15875" b="12065"/>
                      <wp:wrapNone/>
                      <wp:docPr id="241" name="文本框 241"/>
                      <wp:cNvGraphicFramePr/>
                      <a:graphic xmlns:a="http://schemas.openxmlformats.org/drawingml/2006/main">
                        <a:graphicData uri="http://schemas.microsoft.com/office/word/2010/wordprocessingShape">
                          <wps:wsp>
                            <wps:cNvSpPr txBox="1"/>
                            <wps:spPr>
                              <a:xfrm>
                                <a:off x="0" y="0"/>
                                <a:ext cx="855980" cy="3067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F666C79">
                                  <w:pPr>
                                    <w:jc w:val="center"/>
                                    <w:rPr>
                                      <w:rFonts w:hint="eastAsia" w:eastAsia="宋体"/>
                                      <w:lang w:val="en-US" w:eastAsia="zh-CN"/>
                                    </w:rPr>
                                  </w:pPr>
                                  <w:r>
                                    <w:rPr>
                                      <w:rFonts w:hint="eastAsia"/>
                                      <w:lang w:val="en-US" w:eastAsia="zh-CN"/>
                                    </w:rPr>
                                    <w:t>筛分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05pt;margin-top:60.3pt;height:24.15pt;width:67.4pt;z-index:251663360;mso-width-relative:page;mso-height-relative:page;" fillcolor="#FFFFFF [3201]" filled="t" stroked="t" coordsize="21600,21600" o:gfxdata="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tpoV2dcA&#10;AAALAQAADwAAAAAAAAABACAAAAAiAAAAZHJzL2Rvd25yZXYueG1sUEsBAhQAFAAAAAgAh07iQA46&#10;J/dZAgAAugQAAA4AAAAAAAAAAQAgAAAAJgEAAGRycy9lMm9Eb2MueG1sUEsFBgAAAAAGAAYAWQEA&#10;APEFAAAAAA==&#10;">
                      <v:fill on="t" focussize="0,0"/>
                      <v:stroke weight="0.5pt" color="#000000 [3204]" joinstyle="round"/>
                      <v:imagedata o:title=""/>
                      <o:lock v:ext="edit" aspectratio="f"/>
                      <v:textbox>
                        <w:txbxContent>
                          <w:p w14:paraId="0F666C79">
                            <w:pPr>
                              <w:jc w:val="center"/>
                              <w:rPr>
                                <w:rFonts w:hint="eastAsia" w:eastAsia="宋体"/>
                                <w:lang w:val="en-US" w:eastAsia="zh-CN"/>
                              </w:rPr>
                            </w:pPr>
                            <w:r>
                              <w:rPr>
                                <w:rFonts w:hint="eastAsia"/>
                                <w:lang w:val="en-US" w:eastAsia="zh-CN"/>
                              </w:rPr>
                              <w:t>筛分</w:t>
                            </w:r>
                          </w:p>
                        </w:txbxContent>
                      </v:textbox>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1981835</wp:posOffset>
                      </wp:positionH>
                      <wp:positionV relativeFrom="paragraph">
                        <wp:posOffset>1272540</wp:posOffset>
                      </wp:positionV>
                      <wp:extent cx="855980" cy="306705"/>
                      <wp:effectExtent l="4445" t="5080" r="15875" b="12065"/>
                      <wp:wrapNone/>
                      <wp:docPr id="132" name="文本框 132"/>
                      <wp:cNvGraphicFramePr/>
                      <a:graphic xmlns:a="http://schemas.openxmlformats.org/drawingml/2006/main">
                        <a:graphicData uri="http://schemas.microsoft.com/office/word/2010/wordprocessingShape">
                          <wps:wsp>
                            <wps:cNvSpPr txBox="1"/>
                            <wps:spPr>
                              <a:xfrm>
                                <a:off x="0" y="0"/>
                                <a:ext cx="855980" cy="3067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3455D38">
                                  <w:pPr>
                                    <w:jc w:val="center"/>
                                    <w:rPr>
                                      <w:rFonts w:hint="default" w:eastAsia="宋体"/>
                                      <w:lang w:val="en-US" w:eastAsia="zh-CN"/>
                                    </w:rPr>
                                  </w:pPr>
                                  <w:r>
                                    <w:rPr>
                                      <w:rFonts w:hint="eastAsia"/>
                                      <w:lang w:val="en-US" w:eastAsia="zh-CN"/>
                                    </w:rPr>
                                    <w:t>输送带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05pt;margin-top:100.2pt;height:24.15pt;width:67.4pt;z-index:251663360;mso-width-relative:page;mso-height-relative:page;" fillcolor="#FFFFFF [3201]" filled="t" stroked="t" coordsize="21600,21600" o:gfxdata="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iv6/3WAAAA&#10;CwEAAA8AAAAAAAAAAQAgAAAAIgAAAGRycy9kb3ducmV2LnhtbFBLAQIUABQAAAAIAIdO4kAFmeS1&#10;WAIAALoEAAAOAAAAAAAAAAEAIAAAACUBAABkcnMvZTJvRG9jLnhtbFBLBQYAAAAABgAGAFkBAADv&#10;BQAAAAA=&#10;">
                      <v:fill on="t" focussize="0,0"/>
                      <v:stroke weight="0.5pt" color="#000000 [3204]" joinstyle="round"/>
                      <v:imagedata o:title=""/>
                      <o:lock v:ext="edit" aspectratio="f"/>
                      <v:textbox>
                        <w:txbxContent>
                          <w:p w14:paraId="03455D38">
                            <w:pPr>
                              <w:jc w:val="center"/>
                              <w:rPr>
                                <w:rFonts w:hint="default" w:eastAsia="宋体"/>
                                <w:lang w:val="en-US" w:eastAsia="zh-CN"/>
                              </w:rPr>
                            </w:pPr>
                            <w:r>
                              <w:rPr>
                                <w:rFonts w:hint="eastAsia"/>
                                <w:lang w:val="en-US" w:eastAsia="zh-CN"/>
                              </w:rPr>
                              <w:t>输送带</w:t>
                            </w:r>
                          </w:p>
                        </w:txbxContent>
                      </v:textbox>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2839085</wp:posOffset>
                      </wp:positionH>
                      <wp:positionV relativeFrom="paragraph">
                        <wp:posOffset>1415415</wp:posOffset>
                      </wp:positionV>
                      <wp:extent cx="325755" cy="3175"/>
                      <wp:effectExtent l="0" t="35560" r="17145" b="37465"/>
                      <wp:wrapNone/>
                      <wp:docPr id="236" name="直接箭头连接符 236"/>
                      <wp:cNvGraphicFramePr/>
                      <a:graphic xmlns:a="http://schemas.openxmlformats.org/drawingml/2006/main">
                        <a:graphicData uri="http://schemas.microsoft.com/office/word/2010/wordprocessingShape">
                          <wps:wsp>
                            <wps:cNvCnPr/>
                            <wps:spPr>
                              <a:xfrm>
                                <a:off x="0" y="0"/>
                                <a:ext cx="325755" cy="317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23.55pt;margin-top:111.45pt;height:0.25pt;width:25.65pt;z-index:251663360;mso-width-relative:page;mso-height-relative:page;" filled="f" stroked="t" coordsize="21600,21600" o:gfxdata="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7z8JNwAAAALAQAADwAAAAAAAAABACAAAAAiAAAAZHJz&#10;L2Rvd25yZXYueG1sUEsBAhQAFAAAAAgAh07iQOGcTWoAAgAA0AMAAA4AAAAAAAAAAQAgAAAAKwEA&#10;AGRycy9lMm9Eb2MueG1sUEsFBgAAAAAGAAYAWQEAAJ0FAAAAAA==&#10;">
                      <v:fill on="f" focussize="0,0"/>
                      <v:stroke weight="1pt" color="#000000 [3213]"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3211195</wp:posOffset>
                      </wp:positionH>
                      <wp:positionV relativeFrom="paragraph">
                        <wp:posOffset>1266825</wp:posOffset>
                      </wp:positionV>
                      <wp:extent cx="797560" cy="297180"/>
                      <wp:effectExtent l="4445" t="5080" r="17145" b="21590"/>
                      <wp:wrapNone/>
                      <wp:docPr id="237" name="文本框 237"/>
                      <wp:cNvGraphicFramePr/>
                      <a:graphic xmlns:a="http://schemas.openxmlformats.org/drawingml/2006/main">
                        <a:graphicData uri="http://schemas.microsoft.com/office/word/2010/wordprocessingShape">
                          <wps:wsp>
                            <wps:cNvSpPr txBox="1"/>
                            <wps:spPr>
                              <a:xfrm>
                                <a:off x="0" y="0"/>
                                <a:ext cx="797560" cy="297180"/>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1A7F986C">
                                  <w:pPr>
                                    <w:rPr>
                                      <w:rFonts w:hint="default" w:eastAsia="宋体"/>
                                      <w:lang w:val="en-US" w:eastAsia="zh-CN"/>
                                    </w:rPr>
                                  </w:pPr>
                                  <w:r>
                                    <w:t>G</w:t>
                                  </w:r>
                                  <w:r>
                                    <w:rPr>
                                      <w:rFonts w:hint="eastAsia"/>
                                      <w:lang w:val="en-US" w:eastAsia="zh-CN"/>
                                    </w:rPr>
                                    <w:t>1</w:t>
                                  </w:r>
                                  <w:r>
                                    <w:rPr>
                                      <w:rFonts w:hint="eastAsia"/>
                                    </w:rPr>
                                    <w:t>、</w:t>
                                  </w:r>
                                  <w:r>
                                    <w:rPr>
                                      <w:rFonts w:hint="eastAsia"/>
                                      <w:u w:val="none"/>
                                    </w:rPr>
                                    <w:t>S1</w:t>
                                  </w:r>
                                  <w:r>
                                    <w:rPr>
                                      <w:rFonts w:hint="eastAsia"/>
                                      <w:color w:val="auto"/>
                                      <w:u w:val="none"/>
                                      <w:lang w:eastAsia="zh-CN"/>
                                    </w:rPr>
                                    <w:t>、</w:t>
                                  </w:r>
                                  <w:r>
                                    <w:rPr>
                                      <w:rFonts w:hint="eastAsia"/>
                                      <w:color w:val="auto"/>
                                      <w:u w:val="none"/>
                                      <w:lang w:val="en-US" w:eastAsia="zh-CN"/>
                                    </w:rPr>
                                    <w:t>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2.85pt;margin-top:99.75pt;height:23.4pt;width:62.8pt;z-index:251663360;mso-width-relative:page;mso-height-relative:page;" filled="f" stroked="t" coordsize="21600,21600" o:gfxdata="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eAe582wAAAAsBAAAPAAAAAAAAAAEAIAAAACIAAABkcnMvZG93bnJldi54bWxQSwECFAAUAAAA&#10;CACHTuJA7d2y5V0CAACqBAAADgAAAAAAAAABACAAAAAqAQAAZHJzL2Uyb0RvYy54bWxQSwUGAAAA&#10;AAYABgBZAQAA+QUAAAAA&#10;">
                      <v:fill on="f" focussize="0,0"/>
                      <v:stroke weight="0.5pt" color="#000000 [3213]" joinstyle="round" dashstyle="dash"/>
                      <v:imagedata o:title=""/>
                      <o:lock v:ext="edit" aspectratio="f"/>
                      <v:textbox>
                        <w:txbxContent>
                          <w:p w14:paraId="1A7F986C">
                            <w:pPr>
                              <w:rPr>
                                <w:rFonts w:hint="default" w:eastAsia="宋体"/>
                                <w:lang w:val="en-US" w:eastAsia="zh-CN"/>
                              </w:rPr>
                            </w:pPr>
                            <w:r>
                              <w:t>G</w:t>
                            </w:r>
                            <w:r>
                              <w:rPr>
                                <w:rFonts w:hint="eastAsia"/>
                                <w:lang w:val="en-US" w:eastAsia="zh-CN"/>
                              </w:rPr>
                              <w:t>1</w:t>
                            </w:r>
                            <w:r>
                              <w:rPr>
                                <w:rFonts w:hint="eastAsia"/>
                              </w:rPr>
                              <w:t>、</w:t>
                            </w:r>
                            <w:r>
                              <w:rPr>
                                <w:rFonts w:hint="eastAsia"/>
                                <w:u w:val="none"/>
                              </w:rPr>
                              <w:t>S1</w:t>
                            </w:r>
                            <w:r>
                              <w:rPr>
                                <w:rFonts w:hint="eastAsia"/>
                                <w:color w:val="auto"/>
                                <w:u w:val="none"/>
                                <w:lang w:eastAsia="zh-CN"/>
                              </w:rPr>
                              <w:t>、</w:t>
                            </w:r>
                            <w:r>
                              <w:rPr>
                                <w:rFonts w:hint="eastAsia"/>
                                <w:color w:val="auto"/>
                                <w:u w:val="none"/>
                                <w:lang w:val="en-US" w:eastAsia="zh-CN"/>
                              </w:rPr>
                              <w:t>N</w:t>
                            </w:r>
                          </w:p>
                        </w:txbxContent>
                      </v:textbox>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2440305</wp:posOffset>
                      </wp:positionH>
                      <wp:positionV relativeFrom="paragraph">
                        <wp:posOffset>1594485</wp:posOffset>
                      </wp:positionV>
                      <wp:extent cx="0" cy="262255"/>
                      <wp:effectExtent l="38100" t="0" r="38100" b="4445"/>
                      <wp:wrapNone/>
                      <wp:docPr id="239" name="直接箭头连接符 239"/>
                      <wp:cNvGraphicFramePr/>
                      <a:graphic xmlns:a="http://schemas.openxmlformats.org/drawingml/2006/main">
                        <a:graphicData uri="http://schemas.microsoft.com/office/word/2010/wordprocessingShape">
                          <wps:wsp>
                            <wps:cNvCnPr/>
                            <wps:spPr>
                              <a:xfrm>
                                <a:off x="0" y="0"/>
                                <a:ext cx="0" cy="262255"/>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192.15pt;margin-top:125.55pt;height:20.65pt;width:0pt;z-index:251663360;mso-width-relative:page;mso-height-relative:page;" filled="f" stroked="t" coordsize="21600,21600" o:gfxdata="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qikzPXAAAACwEAAA8AAAAAAAAAAQAgAAAAIgAAAGRycy9kb3ducmV2Lnht&#10;bFBLAQIUABQAAAAIAIdO4kBeQTB3+gEAAM4DAAAOAAAAAAAAAAEAIAAAACYBAABkcnMvZTJvRG9j&#10;LnhtbFBLBQYAAAAABgAGAFkBAACSBQAAAAA=&#10;">
                      <v:fill on="f" focussize="0,0"/>
                      <v:stroke weight="1pt" color="#000000 [3213]" joinstyle="round"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2839085</wp:posOffset>
                      </wp:positionH>
                      <wp:positionV relativeFrom="paragraph">
                        <wp:posOffset>927735</wp:posOffset>
                      </wp:positionV>
                      <wp:extent cx="325755" cy="3175"/>
                      <wp:effectExtent l="0" t="35560" r="17145" b="37465"/>
                      <wp:wrapNone/>
                      <wp:docPr id="244" name="直接箭头连接符 244"/>
                      <wp:cNvGraphicFramePr/>
                      <a:graphic xmlns:a="http://schemas.openxmlformats.org/drawingml/2006/main">
                        <a:graphicData uri="http://schemas.microsoft.com/office/word/2010/wordprocessingShape">
                          <wps:wsp>
                            <wps:cNvCnPr/>
                            <wps:spPr>
                              <a:xfrm>
                                <a:off x="0" y="0"/>
                                <a:ext cx="325755" cy="3175"/>
                              </a:xfrm>
                              <a:prstGeom prst="straightConnector1">
                                <a:avLst/>
                              </a:prstGeom>
                              <a:ln w="12700" cmpd="sng">
                                <a:solidFill>
                                  <a:schemeClr val="tx1"/>
                                </a:solidFill>
                                <a:prstDash val="dash"/>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23.55pt;margin-top:73.05pt;height:0.25pt;width:25.65pt;z-index:251663360;mso-width-relative:page;mso-height-relative:page;" filled="f" stroked="t" coordsize="21600,21600" o:gfxdata="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ZHWpl2wAAAAsBAAAPAAAAAAAAAAEAIAAAACIAAABkcnMv&#10;ZG93bnJldi54bWxQSwECFAAUAAAACACHTuJAEOYiVAACAADQAwAADgAAAAAAAAABACAAAAAqAQAA&#10;ZHJzL2Uyb0RvYy54bWxQSwUGAAAAAAYABgBZAQAAnAUAAAAA&#10;">
                      <v:fill on="f" focussize="0,0"/>
                      <v:stroke weight="1pt" color="#000000 [3213]" joinstyle="round" dashstyle="dash" endarrow="block"/>
                      <v:imagedata o:title=""/>
                      <o:lock v:ext="edit" aspectratio="f"/>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3211195</wp:posOffset>
                      </wp:positionH>
                      <wp:positionV relativeFrom="paragraph">
                        <wp:posOffset>779145</wp:posOffset>
                      </wp:positionV>
                      <wp:extent cx="797560" cy="297180"/>
                      <wp:effectExtent l="4445" t="5080" r="17145" b="21590"/>
                      <wp:wrapNone/>
                      <wp:docPr id="245" name="文本框 245"/>
                      <wp:cNvGraphicFramePr/>
                      <a:graphic xmlns:a="http://schemas.openxmlformats.org/drawingml/2006/main">
                        <a:graphicData uri="http://schemas.microsoft.com/office/word/2010/wordprocessingShape">
                          <wps:wsp>
                            <wps:cNvSpPr txBox="1"/>
                            <wps:spPr>
                              <a:xfrm>
                                <a:off x="0" y="0"/>
                                <a:ext cx="797560" cy="297180"/>
                              </a:xfrm>
                              <a:prstGeom prst="rect">
                                <a:avLst/>
                              </a:prstGeom>
                              <a:noFill/>
                              <a:ln w="6350">
                                <a:solidFill>
                                  <a:schemeClr val="tx1"/>
                                </a:solidFill>
                                <a:prstDash val="dash"/>
                              </a:ln>
                            </wps:spPr>
                            <wps:style>
                              <a:lnRef idx="0">
                                <a:schemeClr val="accent1"/>
                              </a:lnRef>
                              <a:fillRef idx="0">
                                <a:schemeClr val="accent1"/>
                              </a:fillRef>
                              <a:effectRef idx="0">
                                <a:schemeClr val="accent1"/>
                              </a:effectRef>
                              <a:fontRef idx="minor">
                                <a:schemeClr val="dk1"/>
                              </a:fontRef>
                            </wps:style>
                            <wps:txbx>
                              <w:txbxContent>
                                <w:p w14:paraId="00D4C4F9">
                                  <w:pPr>
                                    <w:rPr>
                                      <w:rFonts w:hint="default" w:eastAsia="宋体"/>
                                      <w:lang w:val="en-US" w:eastAsia="zh-CN"/>
                                    </w:rPr>
                                  </w:pPr>
                                  <w:r>
                                    <w:t>G</w:t>
                                  </w:r>
                                  <w:r>
                                    <w:rPr>
                                      <w:rFonts w:hint="eastAsia"/>
                                      <w:lang w:val="en-US" w:eastAsia="zh-CN"/>
                                    </w:rPr>
                                    <w:t>2</w:t>
                                  </w:r>
                                  <w:r>
                                    <w:rPr>
                                      <w:rFonts w:hint="eastAsia"/>
                                    </w:rPr>
                                    <w:t>、</w:t>
                                  </w:r>
                                  <w:r>
                                    <w:rPr>
                                      <w:rFonts w:hint="eastAsia"/>
                                      <w:u w:val="none"/>
                                    </w:rPr>
                                    <w:t>S1</w:t>
                                  </w:r>
                                  <w:r>
                                    <w:rPr>
                                      <w:rFonts w:hint="eastAsia"/>
                                      <w:color w:val="auto"/>
                                      <w:u w:val="none"/>
                                      <w:lang w:eastAsia="zh-CN"/>
                                    </w:rPr>
                                    <w:t>、</w:t>
                                  </w:r>
                                  <w:r>
                                    <w:rPr>
                                      <w:rFonts w:hint="eastAsia"/>
                                      <w:color w:val="auto"/>
                                      <w:u w:val="none"/>
                                      <w:lang w:val="en-US" w:eastAsia="zh-CN"/>
                                    </w:rPr>
                                    <w:t>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2.85pt;margin-top:61.35pt;height:23.4pt;width:62.8pt;z-index:251663360;mso-width-relative:page;mso-height-relative:page;" filled="f" stroked="t" coordsize="21600,21600" o:gfxdata="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C9PSaraAAAACwEAAA8AAAAAAAAAAQAgAAAAIgAAAGRycy9kb3ducmV2LnhtbFBLAQIUABQAAAAI&#10;AIdO4kBRiyVmXQIAAKoEAAAOAAAAAAAAAAEAIAAAACkBAABkcnMvZTJvRG9jLnhtbFBLBQYAAAAA&#10;BgAGAFkBAAD4BQAAAAA=&#10;">
                      <v:fill on="f" focussize="0,0"/>
                      <v:stroke weight="0.5pt" color="#000000 [3213]" joinstyle="round" dashstyle="dash"/>
                      <v:imagedata o:title=""/>
                      <o:lock v:ext="edit" aspectratio="f"/>
                      <v:textbox>
                        <w:txbxContent>
                          <w:p w14:paraId="00D4C4F9">
                            <w:pPr>
                              <w:rPr>
                                <w:rFonts w:hint="default" w:eastAsia="宋体"/>
                                <w:lang w:val="en-US" w:eastAsia="zh-CN"/>
                              </w:rPr>
                            </w:pPr>
                            <w:r>
                              <w:t>G</w:t>
                            </w:r>
                            <w:r>
                              <w:rPr>
                                <w:rFonts w:hint="eastAsia"/>
                                <w:lang w:val="en-US" w:eastAsia="zh-CN"/>
                              </w:rPr>
                              <w:t>2</w:t>
                            </w:r>
                            <w:r>
                              <w:rPr>
                                <w:rFonts w:hint="eastAsia"/>
                              </w:rPr>
                              <w:t>、</w:t>
                            </w:r>
                            <w:r>
                              <w:rPr>
                                <w:rFonts w:hint="eastAsia"/>
                                <w:u w:val="none"/>
                              </w:rPr>
                              <w:t>S1</w:t>
                            </w:r>
                            <w:r>
                              <w:rPr>
                                <w:rFonts w:hint="eastAsia"/>
                                <w:color w:val="auto"/>
                                <w:u w:val="none"/>
                                <w:lang w:eastAsia="zh-CN"/>
                              </w:rPr>
                              <w:t>、</w:t>
                            </w:r>
                            <w:r>
                              <w:rPr>
                                <w:rFonts w:hint="eastAsia"/>
                                <w:color w:val="auto"/>
                                <w:u w:val="none"/>
                                <w:lang w:val="en-US" w:eastAsia="zh-CN"/>
                              </w:rPr>
                              <w:t>N</w:t>
                            </w:r>
                          </w:p>
                        </w:txbxContent>
                      </v:textbox>
                    </v:shape>
                  </w:pict>
                </mc:Fallback>
              </mc:AlternateContent>
            </w:r>
            <w:r>
              <w:rPr>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2438400</wp:posOffset>
                      </wp:positionH>
                      <wp:positionV relativeFrom="paragraph">
                        <wp:posOffset>1093470</wp:posOffset>
                      </wp:positionV>
                      <wp:extent cx="5715" cy="195580"/>
                      <wp:effectExtent l="35560" t="0" r="34925" b="13970"/>
                      <wp:wrapNone/>
                      <wp:docPr id="189" name="直接箭头连接符 189"/>
                      <wp:cNvGraphicFramePr/>
                      <a:graphic xmlns:a="http://schemas.openxmlformats.org/drawingml/2006/main">
                        <a:graphicData uri="http://schemas.microsoft.com/office/word/2010/wordprocessingShape">
                          <wps:wsp>
                            <wps:cNvCnPr/>
                            <wps:spPr>
                              <a:xfrm flipH="1">
                                <a:off x="0" y="0"/>
                                <a:ext cx="5715" cy="195580"/>
                              </a:xfrm>
                              <a:prstGeom prst="straightConnector1">
                                <a:avLst/>
                              </a:prstGeom>
                              <a:ln w="1270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192pt;margin-top:86.1pt;height:15.4pt;width:0.45pt;z-index:251663360;mso-width-relative:page;mso-height-relative:page;" filled="f" stroked="t" coordsize="21600,21600" o:gfxdata="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bfbHUtwAAAALAQAADwAAAAAAAAABACAAAAAi&#10;AAAAZHJzL2Rvd25yZXYueG1sUEsBAhQAFAAAAAgAh07iQJ5MaKAGAgAA2wMAAA4AAAAAAAAAAQAg&#10;AAAAKwEAAGRycy9lMm9Eb2MueG1sUEsFBgAAAAAGAAYAWQEAAKMFAAAAAA==&#10;">
                      <v:fill on="f" focussize="0,0"/>
                      <v:stroke weight="1pt" color="#000000 [3213]" joinstyle="round" endarrow="block"/>
                      <v:imagedata o:title=""/>
                      <o:lock v:ext="edit" aspectratio="f"/>
                    </v:shape>
                  </w:pict>
                </mc:Fallback>
              </mc:AlternateContent>
            </w:r>
          </w:p>
          <w:p w14:paraId="706D655B">
            <w:pPr>
              <w:adjustRightInd w:val="0"/>
              <w:snapToGrid w:val="0"/>
              <w:spacing w:line="360" w:lineRule="auto"/>
              <w:ind w:firstLine="506" w:firstLineChars="200"/>
              <w:jc w:val="center"/>
              <w:rPr>
                <w:b/>
                <w:bCs/>
                <w:color w:val="auto"/>
                <w:spacing w:val="6"/>
                <w:sz w:val="24"/>
                <w:highlight w:val="none"/>
                <w:u w:val="none" w:color="auto"/>
              </w:rPr>
            </w:pPr>
            <w:r>
              <w:rPr>
                <w:rFonts w:hint="eastAsia"/>
                <w:b/>
                <w:bCs/>
                <w:color w:val="auto"/>
                <w:spacing w:val="6"/>
                <w:sz w:val="24"/>
                <w:highlight w:val="none"/>
                <w:u w:val="none" w:color="auto"/>
              </w:rPr>
              <w:t>图</w:t>
            </w:r>
            <w:r>
              <w:rPr>
                <w:rFonts w:hint="eastAsia"/>
                <w:b/>
                <w:bCs/>
                <w:color w:val="auto"/>
                <w:spacing w:val="6"/>
                <w:sz w:val="24"/>
                <w:highlight w:val="none"/>
                <w:u w:val="none" w:color="auto"/>
                <w:lang w:val="en-US" w:eastAsia="zh-CN"/>
              </w:rPr>
              <w:t>2-3</w:t>
            </w:r>
            <w:r>
              <w:rPr>
                <w:rFonts w:hint="eastAsia"/>
                <w:b/>
                <w:bCs/>
                <w:color w:val="auto"/>
                <w:spacing w:val="6"/>
                <w:sz w:val="24"/>
                <w:highlight w:val="none"/>
                <w:u w:val="none" w:color="auto"/>
                <w:lang w:eastAsia="zh-CN"/>
              </w:rPr>
              <w:t>运营期</w:t>
            </w:r>
            <w:r>
              <w:rPr>
                <w:rFonts w:hint="eastAsia"/>
                <w:b/>
                <w:bCs/>
                <w:color w:val="auto"/>
                <w:spacing w:val="6"/>
                <w:sz w:val="24"/>
                <w:highlight w:val="none"/>
                <w:u w:val="none" w:color="auto"/>
              </w:rPr>
              <w:t>生产工艺流程及产污</w:t>
            </w:r>
            <w:r>
              <w:rPr>
                <w:rFonts w:hint="eastAsia"/>
                <w:b/>
                <w:bCs/>
                <w:color w:val="auto"/>
                <w:spacing w:val="6"/>
                <w:sz w:val="24"/>
                <w:highlight w:val="none"/>
                <w:u w:val="none" w:color="auto"/>
                <w:lang w:eastAsia="zh-CN"/>
              </w:rPr>
              <w:t>环节</w:t>
            </w:r>
          </w:p>
          <w:p w14:paraId="5BA05C36">
            <w:pPr>
              <w:adjustRightInd w:val="0"/>
              <w:snapToGrid w:val="0"/>
              <w:spacing w:line="360" w:lineRule="auto"/>
              <w:ind w:firstLine="480" w:firstLineChars="200"/>
              <w:rPr>
                <w:rFonts w:hint="eastAsia"/>
                <w:color w:val="auto"/>
                <w:position w:val="15"/>
                <w:sz w:val="24"/>
                <w:highlight w:val="none"/>
                <w:u w:val="none" w:color="auto"/>
              </w:rPr>
            </w:pPr>
            <w:r>
              <w:rPr>
                <w:rFonts w:hint="eastAsia"/>
                <w:color w:val="auto"/>
                <w:position w:val="15"/>
                <w:sz w:val="24"/>
                <w:highlight w:val="none"/>
                <w:u w:val="none" w:color="auto"/>
              </w:rPr>
              <w:t>工艺流程简述：</w:t>
            </w:r>
          </w:p>
          <w:p w14:paraId="10E4CFC1">
            <w:pPr>
              <w:adjustRightInd w:val="0"/>
              <w:snapToGrid w:val="0"/>
              <w:spacing w:line="360" w:lineRule="auto"/>
              <w:ind w:firstLine="480" w:firstLineChars="200"/>
              <w:rPr>
                <w:rFonts w:hint="eastAsia" w:eastAsia="宋体"/>
                <w:color w:val="auto"/>
                <w:position w:val="15"/>
                <w:sz w:val="24"/>
                <w:highlight w:val="none"/>
                <w:u w:val="single" w:color="auto"/>
                <w:lang w:eastAsia="zh-CN"/>
              </w:rPr>
            </w:pPr>
            <w:r>
              <w:rPr>
                <w:rFonts w:hint="eastAsia"/>
                <w:color w:val="auto"/>
                <w:position w:val="15"/>
                <w:sz w:val="24"/>
                <w:highlight w:val="none"/>
                <w:u w:val="none" w:color="auto"/>
              </w:rPr>
              <w:t>原料装卸：原料由汽车运输进厂，临时卸料至晾晒场暂存待用。该过程会产生装卸无组织粉尘G1</w:t>
            </w:r>
            <w:r>
              <w:rPr>
                <w:rFonts w:hint="eastAsia"/>
                <w:color w:val="auto"/>
                <w:position w:val="15"/>
                <w:sz w:val="24"/>
                <w:highlight w:val="none"/>
                <w:u w:val="none" w:color="auto"/>
                <w:lang w:val="en-US" w:eastAsia="zh-CN"/>
              </w:rPr>
              <w:t>、噪声N、原粮杂质S1</w:t>
            </w:r>
            <w:r>
              <w:rPr>
                <w:rFonts w:hint="eastAsia"/>
                <w:color w:val="auto"/>
                <w:position w:val="15"/>
                <w:sz w:val="24"/>
                <w:highlight w:val="none"/>
                <w:u w:val="none" w:color="auto"/>
              </w:rPr>
              <w:t>。</w:t>
            </w:r>
            <w:r>
              <w:rPr>
                <w:rFonts w:hint="eastAsia"/>
                <w:color w:val="auto"/>
                <w:position w:val="15"/>
                <w:sz w:val="24"/>
                <w:highlight w:val="none"/>
                <w:u w:val="single" w:color="auto"/>
                <w:lang w:eastAsia="zh-CN"/>
              </w:rPr>
              <w:t>采用卤素水分测定仪检测粮食含水率，原理为热失重分析法，通过卤素灯加热使样品水分快速蒸发，同时实时称重，由质量损失计算水分含量，检测过程不产生污染物。</w:t>
            </w:r>
          </w:p>
          <w:p w14:paraId="5B599280">
            <w:pPr>
              <w:adjustRightInd w:val="0"/>
              <w:snapToGrid w:val="0"/>
              <w:spacing w:line="360" w:lineRule="auto"/>
              <w:ind w:firstLine="480" w:firstLineChars="200"/>
              <w:rPr>
                <w:rFonts w:hint="default"/>
                <w:color w:val="auto"/>
                <w:position w:val="15"/>
                <w:sz w:val="24"/>
                <w:highlight w:val="none"/>
                <w:u w:val="none" w:color="auto"/>
                <w:lang w:val="en-US"/>
              </w:rPr>
            </w:pPr>
            <w:r>
              <w:rPr>
                <w:rFonts w:hint="eastAsia"/>
                <w:color w:val="auto"/>
                <w:position w:val="15"/>
                <w:sz w:val="24"/>
                <w:highlight w:val="none"/>
                <w:u w:val="none" w:color="auto"/>
              </w:rPr>
              <w:t>原料初清：</w:t>
            </w:r>
            <w:r>
              <w:rPr>
                <w:rFonts w:hint="eastAsia"/>
                <w:color w:val="auto"/>
                <w:position w:val="15"/>
                <w:sz w:val="24"/>
                <w:highlight w:val="none"/>
                <w:u w:val="none" w:color="auto"/>
                <w:lang w:val="en-US" w:eastAsia="zh-CN"/>
              </w:rPr>
              <w:t>晾晒场原料通过密闭输送带</w:t>
            </w:r>
            <w:r>
              <w:rPr>
                <w:rFonts w:hint="eastAsia"/>
                <w:color w:val="auto"/>
                <w:position w:val="15"/>
                <w:sz w:val="24"/>
                <w:highlight w:val="none"/>
                <w:u w:val="none" w:color="auto"/>
              </w:rPr>
              <w:t>将原料输送至</w:t>
            </w:r>
            <w:r>
              <w:rPr>
                <w:rFonts w:hint="eastAsia"/>
                <w:color w:val="auto"/>
                <w:position w:val="15"/>
                <w:sz w:val="24"/>
                <w:highlight w:val="none"/>
                <w:u w:val="none" w:color="auto"/>
                <w:lang w:val="en-US" w:eastAsia="zh-CN"/>
              </w:rPr>
              <w:t>圆筒筛</w:t>
            </w:r>
            <w:r>
              <w:rPr>
                <w:rFonts w:hint="eastAsia"/>
                <w:color w:val="auto"/>
                <w:position w:val="15"/>
                <w:sz w:val="24"/>
                <w:highlight w:val="none"/>
                <w:u w:val="none" w:color="auto"/>
              </w:rPr>
              <w:t>初步清理出杂质</w:t>
            </w:r>
            <w:r>
              <w:rPr>
                <w:rFonts w:hint="eastAsia"/>
                <w:color w:val="auto"/>
                <w:position w:val="15"/>
                <w:sz w:val="24"/>
                <w:highlight w:val="none"/>
                <w:u w:val="none" w:color="auto"/>
                <w:lang w:eastAsia="zh-CN"/>
              </w:rPr>
              <w:t>（原粮杂质</w:t>
            </w:r>
            <w:r>
              <w:rPr>
                <w:rFonts w:hint="eastAsia"/>
                <w:color w:val="auto"/>
                <w:position w:val="15"/>
                <w:sz w:val="24"/>
                <w:highlight w:val="none"/>
                <w:u w:val="none" w:color="auto"/>
                <w:lang w:val="en-US" w:eastAsia="zh-CN"/>
              </w:rPr>
              <w:t>主要为玉米皮</w:t>
            </w:r>
            <w:r>
              <w:rPr>
                <w:rFonts w:hint="eastAsia"/>
                <w:color w:val="auto"/>
                <w:position w:val="15"/>
                <w:sz w:val="24"/>
                <w:highlight w:val="none"/>
                <w:u w:val="none" w:color="auto"/>
              </w:rPr>
              <w:t>等）。筛分后的玉米经</w:t>
            </w:r>
            <w:r>
              <w:rPr>
                <w:rFonts w:hint="eastAsia"/>
                <w:color w:val="auto"/>
                <w:position w:val="15"/>
                <w:sz w:val="24"/>
                <w:highlight w:val="none"/>
                <w:u w:val="none" w:color="auto"/>
                <w:lang w:eastAsia="zh-CN"/>
              </w:rPr>
              <w:t>密闭</w:t>
            </w:r>
            <w:r>
              <w:rPr>
                <w:rFonts w:hint="eastAsia"/>
                <w:color w:val="auto"/>
                <w:position w:val="15"/>
                <w:sz w:val="24"/>
                <w:highlight w:val="none"/>
                <w:u w:val="none" w:color="auto"/>
                <w:lang w:val="en-US" w:eastAsia="zh-CN"/>
              </w:rPr>
              <w:t>输送带</w:t>
            </w:r>
            <w:r>
              <w:rPr>
                <w:rFonts w:hint="eastAsia"/>
                <w:color w:val="auto"/>
                <w:position w:val="15"/>
                <w:sz w:val="24"/>
                <w:highlight w:val="none"/>
                <w:u w:val="none" w:color="auto"/>
              </w:rPr>
              <w:t>送到</w:t>
            </w:r>
            <w:r>
              <w:rPr>
                <w:rFonts w:hint="eastAsia"/>
                <w:color w:val="auto"/>
                <w:position w:val="15"/>
                <w:sz w:val="24"/>
                <w:highlight w:val="none"/>
                <w:u w:val="none" w:color="auto"/>
                <w:lang w:val="en-US" w:eastAsia="zh-CN"/>
              </w:rPr>
              <w:t>潮粮仓暂存</w:t>
            </w:r>
            <w:r>
              <w:rPr>
                <w:rFonts w:hint="eastAsia"/>
                <w:color w:val="auto"/>
                <w:position w:val="15"/>
                <w:sz w:val="24"/>
                <w:highlight w:val="none"/>
                <w:u w:val="none" w:color="auto"/>
                <w:lang w:eastAsia="zh-CN"/>
              </w:rPr>
              <w:t>，</w:t>
            </w:r>
            <w:r>
              <w:rPr>
                <w:rFonts w:hint="eastAsia"/>
                <w:color w:val="auto"/>
                <w:position w:val="15"/>
                <w:sz w:val="24"/>
                <w:highlight w:val="none"/>
                <w:u w:val="none" w:color="auto"/>
              </w:rPr>
              <w:t>经过清理过筛工序去除大部分</w:t>
            </w:r>
            <w:r>
              <w:rPr>
                <w:rFonts w:hint="eastAsia"/>
                <w:color w:val="auto"/>
                <w:position w:val="15"/>
                <w:sz w:val="24"/>
                <w:highlight w:val="none"/>
                <w:u w:val="none" w:color="auto"/>
                <w:lang w:val="en-US" w:eastAsia="zh-CN"/>
              </w:rPr>
              <w:t>原粮杂质（主要为</w:t>
            </w:r>
            <w:r>
              <w:rPr>
                <w:rFonts w:hint="eastAsia"/>
                <w:color w:val="auto"/>
                <w:position w:val="15"/>
                <w:sz w:val="24"/>
                <w:highlight w:val="none"/>
                <w:u w:val="none" w:color="auto"/>
              </w:rPr>
              <w:t>玉米皮</w:t>
            </w:r>
            <w:r>
              <w:rPr>
                <w:rFonts w:hint="eastAsia"/>
                <w:color w:val="auto"/>
                <w:position w:val="15"/>
                <w:sz w:val="24"/>
                <w:highlight w:val="none"/>
                <w:u w:val="none" w:color="auto"/>
                <w:lang w:eastAsia="zh-CN"/>
              </w:rPr>
              <w:t>和杂质</w:t>
            </w:r>
            <w:r>
              <w:rPr>
                <w:rFonts w:hint="eastAsia"/>
                <w:color w:val="auto"/>
                <w:position w:val="15"/>
                <w:sz w:val="24"/>
                <w:highlight w:val="none"/>
                <w:u w:val="none" w:color="auto"/>
                <w:lang w:val="en-US" w:eastAsia="zh-CN"/>
              </w:rPr>
              <w:t>）S1、过筛过程产生设备噪声N。</w:t>
            </w:r>
          </w:p>
          <w:p w14:paraId="62BA5059">
            <w:pPr>
              <w:adjustRightInd w:val="0"/>
              <w:snapToGrid w:val="0"/>
              <w:spacing w:line="360" w:lineRule="auto"/>
              <w:ind w:firstLine="480" w:firstLineChars="200"/>
              <w:rPr>
                <w:rFonts w:hint="eastAsia"/>
                <w:color w:val="auto"/>
                <w:position w:val="15"/>
                <w:sz w:val="24"/>
                <w:highlight w:val="none"/>
                <w:u w:val="none" w:color="auto"/>
                <w:lang w:eastAsia="zh-CN"/>
              </w:rPr>
            </w:pPr>
            <w:r>
              <w:rPr>
                <w:rFonts w:hint="eastAsia"/>
                <w:color w:val="auto"/>
                <w:position w:val="15"/>
                <w:sz w:val="24"/>
                <w:highlight w:val="none"/>
                <w:u w:val="none" w:color="auto"/>
                <w:lang w:val="en-US" w:eastAsia="zh-CN"/>
              </w:rPr>
              <w:t>烘干：潮粮仓里的</w:t>
            </w:r>
            <w:r>
              <w:rPr>
                <w:rFonts w:hint="eastAsia"/>
                <w:color w:val="auto"/>
                <w:position w:val="15"/>
                <w:sz w:val="24"/>
                <w:highlight w:val="none"/>
                <w:u w:val="none" w:color="auto"/>
              </w:rPr>
              <w:t>潮粮通过塔前提升机</w:t>
            </w:r>
            <w:r>
              <w:rPr>
                <w:rFonts w:hint="eastAsia"/>
                <w:color w:val="auto"/>
                <w:position w:val="15"/>
                <w:sz w:val="24"/>
                <w:highlight w:val="none"/>
                <w:u w:val="none" w:color="auto"/>
                <w:lang w:val="en-US" w:eastAsia="zh-CN"/>
              </w:rPr>
              <w:t>送至</w:t>
            </w:r>
            <w:r>
              <w:rPr>
                <w:rFonts w:hint="eastAsia"/>
                <w:color w:val="auto"/>
                <w:position w:val="15"/>
                <w:sz w:val="24"/>
                <w:highlight w:val="none"/>
                <w:u w:val="none" w:color="auto"/>
              </w:rPr>
              <w:t>烘干塔，当粮食到达储粮段的低料位时，启动热风炉开始送热风对粮食烘干；物料高于上料位时报警，停止进粮；物料低于下料位时报警，开始进粮。物料在上、下料位之间时，启动排粮电机开始排粮。调整进料量，使系统处于动态平衡。潮粮经过储粮段进入烘干段，在烘干段内对粮食加热，使粮食水分汽化，汽化水分从废气角状盒排出，从而使粮食得到第一次烘干。经过第一次烘干的粮食进入缓苏段，在缓苏段不通热风，粮食经过缓苏后，其粮粒内部的水分重新分布，以消除水分梯度，使粮食的干燥更加均匀。经过缓苏后的粮食进入下一个烘干段和缓苏段，如此循环，直到粮食彻底得到烘干，烘干后的粮食在冷却段（冷却机负责向冷风段提供冷空气，冷却机为烘干塔内自带设备）内经过冷却降低到合适的温度后，由排粮段经排料斗排出</w:t>
            </w:r>
            <w:r>
              <w:rPr>
                <w:rFonts w:hint="eastAsia"/>
                <w:color w:val="auto"/>
                <w:position w:val="15"/>
                <w:sz w:val="24"/>
                <w:highlight w:val="none"/>
                <w:u w:val="single" w:color="auto"/>
              </w:rPr>
              <w:t>，经检验达到合格水分要求后的干玉米经</w:t>
            </w:r>
            <w:r>
              <w:rPr>
                <w:rFonts w:hint="eastAsia"/>
                <w:color w:val="auto"/>
                <w:position w:val="15"/>
                <w:sz w:val="24"/>
                <w:highlight w:val="none"/>
                <w:u w:val="single" w:color="auto"/>
                <w:lang w:eastAsia="zh-CN"/>
              </w:rPr>
              <w:t>输送至干粮仓。</w:t>
            </w:r>
          </w:p>
          <w:p w14:paraId="708387DD">
            <w:pPr>
              <w:adjustRightInd w:val="0"/>
              <w:snapToGrid w:val="0"/>
              <w:spacing w:line="360" w:lineRule="auto"/>
              <w:ind w:firstLine="480" w:firstLineChars="200"/>
              <w:rPr>
                <w:rFonts w:hint="eastAsia"/>
                <w:color w:val="auto"/>
                <w:position w:val="15"/>
                <w:sz w:val="24"/>
                <w:highlight w:val="none"/>
                <w:u w:val="none" w:color="auto"/>
              </w:rPr>
            </w:pPr>
            <w:r>
              <w:rPr>
                <w:rFonts w:hint="eastAsia"/>
                <w:color w:val="auto"/>
                <w:position w:val="15"/>
                <w:sz w:val="24"/>
                <w:highlight w:val="none"/>
                <w:u w:val="none" w:color="auto"/>
                <w:lang w:val="en-US" w:eastAsia="zh-CN"/>
              </w:rPr>
              <w:t>烘干过程产生烘干粉尘</w:t>
            </w:r>
            <w:r>
              <w:rPr>
                <w:rFonts w:hint="eastAsia"/>
                <w:color w:val="auto"/>
                <w:position w:val="15"/>
                <w:sz w:val="24"/>
                <w:highlight w:val="none"/>
                <w:u w:val="none" w:color="auto"/>
              </w:rPr>
              <w:t>G</w:t>
            </w:r>
            <w:r>
              <w:rPr>
                <w:rFonts w:hint="eastAsia"/>
                <w:color w:val="auto"/>
                <w:position w:val="15"/>
                <w:sz w:val="24"/>
                <w:highlight w:val="none"/>
                <w:u w:val="none" w:color="auto"/>
                <w:lang w:val="en-US" w:eastAsia="zh-CN"/>
              </w:rPr>
              <w:t>5，通过烘干塔排潮口排放，排潮口安装加密除尘网，烘干塔外设置密闭罩，可减少80%粉尘排放，截留粉尘沉降至烘干塔底部以固体废物S5形式收集，烘干塔、输送带和提升机运行时产生设备噪声N1</w:t>
            </w:r>
            <w:r>
              <w:rPr>
                <w:rFonts w:hint="eastAsia"/>
                <w:color w:val="auto"/>
                <w:position w:val="15"/>
                <w:sz w:val="24"/>
                <w:highlight w:val="none"/>
                <w:u w:val="none" w:color="auto"/>
              </w:rPr>
              <w:t>。</w:t>
            </w:r>
          </w:p>
          <w:p w14:paraId="22A04AB6">
            <w:pPr>
              <w:adjustRightInd w:val="0"/>
              <w:snapToGrid w:val="0"/>
              <w:spacing w:line="360" w:lineRule="auto"/>
              <w:ind w:firstLine="480" w:firstLineChars="200"/>
              <w:rPr>
                <w:rFonts w:hint="eastAsia"/>
                <w:color w:val="auto"/>
                <w:position w:val="15"/>
                <w:sz w:val="24"/>
                <w:highlight w:val="none"/>
                <w:u w:val="none" w:color="auto"/>
              </w:rPr>
            </w:pPr>
            <w:r>
              <w:rPr>
                <w:rFonts w:hint="eastAsia"/>
                <w:color w:val="auto"/>
                <w:position w:val="15"/>
                <w:sz w:val="24"/>
                <w:highlight w:val="none"/>
                <w:u w:val="none" w:color="auto"/>
              </w:rPr>
              <w:t>热风炉：热风炉产生的热烟气经过换热器将冷空气加热，冷空气温度升高后，即为生产所需的热空气，热空气通过热风机吹入烘干塔烘干段，对潮粮进行烘干。该过程产生的废气为热风炉燃烧烟气G3、炉渣清理过程产生的粉尘G4；产生的固废为热风炉灰渣S2、除尘器除尘灰S3、定期更换的废布袋S4</w:t>
            </w:r>
            <w:r>
              <w:rPr>
                <w:rFonts w:hint="eastAsia"/>
                <w:color w:val="auto"/>
                <w:position w:val="15"/>
                <w:sz w:val="24"/>
                <w:highlight w:val="none"/>
                <w:u w:val="none" w:color="auto"/>
                <w:lang w:eastAsia="zh-CN"/>
              </w:rPr>
              <w:t>，</w:t>
            </w:r>
            <w:r>
              <w:rPr>
                <w:rFonts w:hint="eastAsia"/>
                <w:color w:val="auto"/>
                <w:position w:val="15"/>
                <w:sz w:val="24"/>
                <w:highlight w:val="none"/>
                <w:u w:val="none" w:color="auto"/>
                <w:lang w:val="en-US" w:eastAsia="zh-CN"/>
              </w:rPr>
              <w:t>以及鼓风机、引风机、热风炉等产生的设备噪声N</w:t>
            </w:r>
            <w:r>
              <w:rPr>
                <w:rFonts w:hint="eastAsia"/>
                <w:color w:val="auto"/>
                <w:position w:val="15"/>
                <w:sz w:val="24"/>
                <w:highlight w:val="none"/>
                <w:u w:val="none" w:color="auto"/>
              </w:rPr>
              <w:t>。</w:t>
            </w:r>
          </w:p>
          <w:p w14:paraId="13A1C461">
            <w:pPr>
              <w:adjustRightInd w:val="0"/>
              <w:snapToGrid w:val="0"/>
              <w:spacing w:line="360" w:lineRule="auto"/>
              <w:ind w:firstLine="480" w:firstLineChars="200"/>
              <w:rPr>
                <w:rFonts w:hint="eastAsia"/>
                <w:color w:val="auto"/>
                <w:position w:val="15"/>
                <w:sz w:val="24"/>
                <w:highlight w:val="none"/>
                <w:u w:val="single" w:color="auto"/>
              </w:rPr>
            </w:pPr>
            <w:r>
              <w:rPr>
                <w:rFonts w:hint="eastAsia"/>
                <w:color w:val="auto"/>
                <w:position w:val="15"/>
                <w:sz w:val="24"/>
                <w:highlight w:val="none"/>
                <w:u w:val="none" w:color="auto"/>
              </w:rPr>
              <w:t>外运：</w:t>
            </w:r>
            <w:r>
              <w:rPr>
                <w:rFonts w:hint="eastAsia"/>
                <w:color w:val="auto"/>
                <w:position w:val="15"/>
                <w:sz w:val="24"/>
                <w:highlight w:val="none"/>
                <w:u w:val="single" w:color="auto"/>
              </w:rPr>
              <w:t>玉米经过烘干</w:t>
            </w:r>
            <w:r>
              <w:rPr>
                <w:rFonts w:hint="eastAsia"/>
                <w:color w:val="auto"/>
                <w:position w:val="15"/>
                <w:sz w:val="24"/>
                <w:highlight w:val="none"/>
                <w:u w:val="single" w:color="auto"/>
                <w:lang w:eastAsia="zh-CN"/>
              </w:rPr>
              <w:t>经水分检测仪检测</w:t>
            </w:r>
            <w:r>
              <w:rPr>
                <w:rFonts w:hint="eastAsia"/>
                <w:color w:val="auto"/>
                <w:position w:val="15"/>
                <w:sz w:val="24"/>
                <w:highlight w:val="none"/>
                <w:u w:val="single" w:color="auto"/>
              </w:rPr>
              <w:t>达到要求水分指标要求后，由输送带</w:t>
            </w:r>
            <w:r>
              <w:rPr>
                <w:rFonts w:hint="eastAsia"/>
                <w:color w:val="auto"/>
                <w:position w:val="15"/>
                <w:sz w:val="24"/>
                <w:highlight w:val="none"/>
                <w:u w:val="single" w:color="auto"/>
                <w:lang w:val="en-US" w:eastAsia="zh-CN"/>
              </w:rPr>
              <w:t>输送</w:t>
            </w:r>
            <w:r>
              <w:rPr>
                <w:rFonts w:hint="eastAsia"/>
                <w:color w:val="auto"/>
                <w:position w:val="15"/>
                <w:sz w:val="24"/>
                <w:highlight w:val="none"/>
                <w:u w:val="single" w:color="auto"/>
              </w:rPr>
              <w:t>至</w:t>
            </w:r>
            <w:r>
              <w:rPr>
                <w:rFonts w:hint="eastAsia"/>
                <w:color w:val="auto"/>
                <w:position w:val="15"/>
                <w:sz w:val="24"/>
                <w:highlight w:val="none"/>
                <w:u w:val="single" w:color="auto"/>
                <w:lang w:eastAsia="zh-CN"/>
              </w:rPr>
              <w:t>干粮仓，根据客户订单外售</w:t>
            </w:r>
            <w:r>
              <w:rPr>
                <w:rFonts w:hint="eastAsia"/>
                <w:color w:val="auto"/>
                <w:position w:val="15"/>
                <w:sz w:val="24"/>
                <w:highlight w:val="none"/>
                <w:u w:val="single" w:color="auto"/>
              </w:rPr>
              <w:t>，该过程会产生装卸粉尘G1</w:t>
            </w:r>
            <w:r>
              <w:rPr>
                <w:rFonts w:hint="eastAsia"/>
                <w:color w:val="auto"/>
                <w:position w:val="15"/>
                <w:sz w:val="24"/>
                <w:highlight w:val="none"/>
                <w:u w:val="single" w:color="auto"/>
                <w:lang w:eastAsia="zh-CN"/>
              </w:rPr>
              <w:t>、</w:t>
            </w:r>
            <w:r>
              <w:rPr>
                <w:rFonts w:hint="eastAsia"/>
                <w:color w:val="auto"/>
                <w:position w:val="15"/>
                <w:sz w:val="24"/>
                <w:highlight w:val="none"/>
                <w:u w:val="single" w:color="auto"/>
                <w:lang w:val="en-US" w:eastAsia="zh-CN"/>
              </w:rPr>
              <w:t>设备噪声N、装车噪声N</w:t>
            </w:r>
            <w:r>
              <w:rPr>
                <w:rFonts w:hint="eastAsia"/>
                <w:color w:val="auto"/>
                <w:position w:val="15"/>
                <w:sz w:val="24"/>
                <w:highlight w:val="none"/>
                <w:u w:val="single" w:color="auto"/>
              </w:rPr>
              <w:t>。</w:t>
            </w:r>
          </w:p>
          <w:p w14:paraId="4225EE4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b/>
                <w:color w:val="auto"/>
                <w:sz w:val="24"/>
                <w:highlight w:val="none"/>
                <w:u w:val="none" w:color="auto"/>
                <w:lang w:val="en-US" w:eastAsia="zh-CN"/>
              </w:rPr>
            </w:pPr>
            <w:r>
              <w:rPr>
                <w:rFonts w:hint="eastAsia"/>
                <w:b/>
                <w:color w:val="auto"/>
                <w:sz w:val="24"/>
                <w:highlight w:val="none"/>
                <w:u w:val="none" w:color="auto"/>
                <w:lang w:val="en-US" w:eastAsia="zh-CN"/>
              </w:rPr>
              <w:t>表2-9 主要产排污节点表</w:t>
            </w:r>
          </w:p>
          <w:tbl>
            <w:tblPr>
              <w:tblStyle w:val="28"/>
              <w:tblW w:w="7739"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418"/>
              <w:gridCol w:w="636"/>
              <w:gridCol w:w="1437"/>
              <w:gridCol w:w="1366"/>
              <w:gridCol w:w="3882"/>
            </w:tblGrid>
            <w:tr w14:paraId="467A119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669" w:hRule="atLeast"/>
                <w:jc w:val="center"/>
              </w:trPr>
              <w:tc>
                <w:tcPr>
                  <w:tcW w:w="1054" w:type="dxa"/>
                  <w:gridSpan w:val="2"/>
                  <w:tcBorders>
                    <w:tl2br w:val="nil"/>
                    <w:tr2bl w:val="nil"/>
                  </w:tcBorders>
                </w:tcPr>
                <w:p w14:paraId="26626924">
                  <w:pPr>
                    <w:spacing w:line="240" w:lineRule="auto"/>
                    <w:jc w:val="center"/>
                    <w:rPr>
                      <w:color w:val="auto"/>
                      <w:szCs w:val="21"/>
                      <w:highlight w:val="none"/>
                      <w:u w:val="none" w:color="auto"/>
                    </w:rPr>
                  </w:pPr>
                  <w:r>
                    <w:rPr>
                      <w:rFonts w:hint="eastAsia"/>
                      <w:color w:val="auto"/>
                      <w:szCs w:val="21"/>
                      <w:highlight w:val="none"/>
                      <w:u w:val="none" w:color="auto"/>
                    </w:rPr>
                    <w:t>污染源</w:t>
                  </w:r>
                </w:p>
              </w:tc>
              <w:tc>
                <w:tcPr>
                  <w:tcW w:w="1437" w:type="dxa"/>
                  <w:tcBorders>
                    <w:tl2br w:val="nil"/>
                    <w:tr2bl w:val="nil"/>
                  </w:tcBorders>
                </w:tcPr>
                <w:p w14:paraId="40FC7C24">
                  <w:pPr>
                    <w:spacing w:line="240" w:lineRule="auto"/>
                    <w:jc w:val="center"/>
                    <w:rPr>
                      <w:color w:val="auto"/>
                      <w:szCs w:val="21"/>
                      <w:highlight w:val="none"/>
                      <w:u w:val="none" w:color="auto"/>
                    </w:rPr>
                  </w:pPr>
                  <w:r>
                    <w:rPr>
                      <w:rFonts w:hint="eastAsia"/>
                      <w:color w:val="auto"/>
                      <w:szCs w:val="21"/>
                      <w:highlight w:val="none"/>
                      <w:u w:val="none" w:color="auto"/>
                    </w:rPr>
                    <w:t>产污环节</w:t>
                  </w:r>
                </w:p>
              </w:tc>
              <w:tc>
                <w:tcPr>
                  <w:tcW w:w="1366" w:type="dxa"/>
                  <w:tcBorders>
                    <w:tl2br w:val="nil"/>
                    <w:tr2bl w:val="nil"/>
                  </w:tcBorders>
                </w:tcPr>
                <w:p w14:paraId="5A621D0D">
                  <w:pPr>
                    <w:spacing w:line="240" w:lineRule="auto"/>
                    <w:jc w:val="center"/>
                    <w:rPr>
                      <w:color w:val="auto"/>
                      <w:szCs w:val="21"/>
                      <w:highlight w:val="none"/>
                      <w:u w:val="none" w:color="auto"/>
                    </w:rPr>
                  </w:pPr>
                  <w:r>
                    <w:rPr>
                      <w:rFonts w:hint="eastAsia"/>
                      <w:color w:val="auto"/>
                      <w:szCs w:val="21"/>
                      <w:highlight w:val="none"/>
                      <w:u w:val="none" w:color="auto"/>
                    </w:rPr>
                    <w:t>主要污染物</w:t>
                  </w:r>
                </w:p>
              </w:tc>
              <w:tc>
                <w:tcPr>
                  <w:tcW w:w="3882" w:type="dxa"/>
                  <w:tcBorders>
                    <w:tl2br w:val="nil"/>
                    <w:tr2bl w:val="nil"/>
                  </w:tcBorders>
                </w:tcPr>
                <w:p w14:paraId="0D6D9B9D">
                  <w:pPr>
                    <w:spacing w:line="240" w:lineRule="auto"/>
                    <w:jc w:val="center"/>
                    <w:rPr>
                      <w:color w:val="auto"/>
                      <w:szCs w:val="21"/>
                      <w:highlight w:val="none"/>
                      <w:u w:val="none" w:color="auto"/>
                    </w:rPr>
                  </w:pPr>
                  <w:r>
                    <w:rPr>
                      <w:rFonts w:hint="eastAsia"/>
                      <w:color w:val="auto"/>
                      <w:szCs w:val="21"/>
                      <w:highlight w:val="none"/>
                      <w:u w:val="none" w:color="auto"/>
                    </w:rPr>
                    <w:t>治理措施</w:t>
                  </w:r>
                </w:p>
              </w:tc>
            </w:tr>
            <w:tr w14:paraId="2A30D35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573" w:hRule="atLeast"/>
                <w:jc w:val="center"/>
              </w:trPr>
              <w:tc>
                <w:tcPr>
                  <w:tcW w:w="418" w:type="dxa"/>
                  <w:vMerge w:val="restart"/>
                  <w:tcBorders>
                    <w:tl2br w:val="nil"/>
                    <w:tr2bl w:val="nil"/>
                  </w:tcBorders>
                  <w:vAlign w:val="center"/>
                </w:tcPr>
                <w:p w14:paraId="7F818A05">
                  <w:pPr>
                    <w:spacing w:line="240" w:lineRule="auto"/>
                    <w:rPr>
                      <w:color w:val="auto"/>
                      <w:szCs w:val="21"/>
                      <w:highlight w:val="none"/>
                      <w:u w:val="none" w:color="auto"/>
                    </w:rPr>
                  </w:pPr>
                  <w:r>
                    <w:rPr>
                      <w:rFonts w:hint="eastAsia"/>
                      <w:color w:val="auto"/>
                      <w:szCs w:val="21"/>
                      <w:highlight w:val="none"/>
                      <w:u w:val="none" w:color="auto"/>
                    </w:rPr>
                    <w:t>废气</w:t>
                  </w:r>
                </w:p>
              </w:tc>
              <w:tc>
                <w:tcPr>
                  <w:tcW w:w="636" w:type="dxa"/>
                  <w:tcBorders>
                    <w:tl2br w:val="nil"/>
                    <w:tr2bl w:val="nil"/>
                  </w:tcBorders>
                  <w:shd w:val="clear" w:color="auto" w:fill="auto"/>
                  <w:vAlign w:val="center"/>
                </w:tcPr>
                <w:p w14:paraId="6332873D">
                  <w:pPr>
                    <w:spacing w:line="240" w:lineRule="auto"/>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color w:val="auto"/>
                      <w:szCs w:val="21"/>
                      <w:highlight w:val="none"/>
                      <w:u w:val="none" w:color="auto"/>
                    </w:rPr>
                    <w:t>G</w:t>
                  </w:r>
                  <w:r>
                    <w:rPr>
                      <w:rFonts w:hint="eastAsia"/>
                      <w:color w:val="auto"/>
                      <w:szCs w:val="21"/>
                      <w:highlight w:val="none"/>
                      <w:u w:val="none" w:color="auto"/>
                      <w:lang w:val="en-US" w:eastAsia="zh-CN"/>
                    </w:rPr>
                    <w:t>1</w:t>
                  </w:r>
                </w:p>
              </w:tc>
              <w:tc>
                <w:tcPr>
                  <w:tcW w:w="1437" w:type="dxa"/>
                  <w:tcBorders>
                    <w:tl2br w:val="nil"/>
                    <w:tr2bl w:val="nil"/>
                  </w:tcBorders>
                  <w:shd w:val="clear" w:color="auto" w:fill="auto"/>
                  <w:vAlign w:val="center"/>
                </w:tcPr>
                <w:p w14:paraId="06215095">
                  <w:pPr>
                    <w:widowControl/>
                    <w:spacing w:line="240" w:lineRule="auto"/>
                    <w:ind w:left="-63" w:leftChars="-30" w:right="-63" w:rightChars="-30"/>
                    <w:jc w:val="center"/>
                    <w:textAlignment w:val="center"/>
                    <w:rPr>
                      <w:rFonts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Cs w:val="21"/>
                      <w:highlight w:val="none"/>
                      <w:u w:val="none" w:color="auto"/>
                      <w:lang w:bidi="ar"/>
                    </w:rPr>
                    <w:t>装卸</w:t>
                  </w:r>
                </w:p>
              </w:tc>
              <w:tc>
                <w:tcPr>
                  <w:tcW w:w="1366" w:type="dxa"/>
                  <w:tcBorders>
                    <w:tl2br w:val="nil"/>
                    <w:tr2bl w:val="nil"/>
                  </w:tcBorders>
                  <w:shd w:val="clear" w:color="auto" w:fill="auto"/>
                  <w:vAlign w:val="center"/>
                </w:tcPr>
                <w:p w14:paraId="6E7A7A05">
                  <w:pPr>
                    <w:widowControl/>
                    <w:spacing w:line="240" w:lineRule="auto"/>
                    <w:ind w:left="-63" w:leftChars="-30" w:right="-63" w:rightChars="-30"/>
                    <w:jc w:val="center"/>
                    <w:textAlignment w:val="center"/>
                    <w:rPr>
                      <w:rFonts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Cs w:val="21"/>
                      <w:highlight w:val="none"/>
                      <w:u w:val="none" w:color="auto"/>
                      <w:lang w:bidi="ar"/>
                    </w:rPr>
                    <w:t>颗粒物</w:t>
                  </w:r>
                </w:p>
              </w:tc>
              <w:tc>
                <w:tcPr>
                  <w:tcW w:w="3882" w:type="dxa"/>
                  <w:tcBorders>
                    <w:tl2br w:val="nil"/>
                    <w:tr2bl w:val="nil"/>
                  </w:tcBorders>
                  <w:shd w:val="clear" w:color="auto" w:fill="auto"/>
                  <w:vAlign w:val="center"/>
                </w:tcPr>
                <w:p w14:paraId="2611F087">
                  <w:pPr>
                    <w:widowControl/>
                    <w:spacing w:line="240" w:lineRule="auto"/>
                    <w:ind w:left="-63" w:leftChars="-30" w:right="-63" w:rightChars="-30"/>
                    <w:textAlignment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Cs w:val="21"/>
                      <w:highlight w:val="none"/>
                      <w:u w:val="none" w:color="auto"/>
                      <w:lang w:bidi="ar"/>
                    </w:rPr>
                    <w:t>采用密闭式输送带</w:t>
                  </w:r>
                  <w:r>
                    <w:rPr>
                      <w:rFonts w:hint="eastAsia"/>
                      <w:color w:val="auto"/>
                      <w:kern w:val="0"/>
                      <w:szCs w:val="21"/>
                      <w:highlight w:val="none"/>
                      <w:u w:val="none" w:color="auto"/>
                      <w:lang w:val="en-US" w:eastAsia="zh-CN" w:bidi="ar"/>
                    </w:rPr>
                    <w:t>和提升机输送</w:t>
                  </w:r>
                  <w:r>
                    <w:rPr>
                      <w:rFonts w:hint="eastAsia"/>
                      <w:color w:val="auto"/>
                      <w:kern w:val="0"/>
                      <w:szCs w:val="21"/>
                      <w:highlight w:val="none"/>
                      <w:u w:val="none" w:color="auto"/>
                      <w:lang w:bidi="ar"/>
                    </w:rPr>
                    <w:t>，</w:t>
                  </w:r>
                  <w:r>
                    <w:rPr>
                      <w:rFonts w:hint="eastAsia"/>
                      <w:color w:val="auto"/>
                      <w:kern w:val="0"/>
                      <w:szCs w:val="21"/>
                      <w:highlight w:val="none"/>
                      <w:u w:val="none" w:color="auto"/>
                      <w:lang w:val="en-US" w:eastAsia="zh-CN" w:bidi="ar"/>
                    </w:rPr>
                    <w:t>可减少</w:t>
                  </w:r>
                  <w:r>
                    <w:rPr>
                      <w:color w:val="auto"/>
                      <w:kern w:val="0"/>
                      <w:szCs w:val="21"/>
                      <w:highlight w:val="none"/>
                      <w:u w:val="none" w:color="auto"/>
                      <w:lang w:bidi="ar"/>
                    </w:rPr>
                    <w:t>80%粉尘排放</w:t>
                  </w:r>
                  <w:r>
                    <w:rPr>
                      <w:rFonts w:hint="eastAsia"/>
                      <w:color w:val="auto"/>
                      <w:kern w:val="0"/>
                      <w:szCs w:val="21"/>
                      <w:highlight w:val="none"/>
                      <w:u w:val="none" w:color="auto"/>
                      <w:lang w:eastAsia="zh-CN" w:bidi="ar"/>
                    </w:rPr>
                    <w:t>。</w:t>
                  </w:r>
                </w:p>
              </w:tc>
            </w:tr>
            <w:tr w14:paraId="3107909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832" w:hRule="atLeast"/>
                <w:jc w:val="center"/>
              </w:trPr>
              <w:tc>
                <w:tcPr>
                  <w:tcW w:w="418" w:type="dxa"/>
                  <w:vMerge w:val="continue"/>
                  <w:tcBorders>
                    <w:tl2br w:val="nil"/>
                    <w:tr2bl w:val="nil"/>
                  </w:tcBorders>
                  <w:vAlign w:val="center"/>
                </w:tcPr>
                <w:p w14:paraId="2E8B0005">
                  <w:pPr>
                    <w:spacing w:line="240" w:lineRule="auto"/>
                    <w:rPr>
                      <w:color w:val="auto"/>
                      <w:sz w:val="21"/>
                      <w:szCs w:val="21"/>
                      <w:highlight w:val="none"/>
                      <w:u w:val="none" w:color="auto"/>
                    </w:rPr>
                  </w:pPr>
                </w:p>
              </w:tc>
              <w:tc>
                <w:tcPr>
                  <w:tcW w:w="636" w:type="dxa"/>
                  <w:tcBorders>
                    <w:tl2br w:val="nil"/>
                    <w:tr2bl w:val="nil"/>
                  </w:tcBorders>
                  <w:shd w:val="clear" w:color="auto" w:fill="auto"/>
                  <w:vAlign w:val="center"/>
                </w:tcPr>
                <w:p w14:paraId="590023D7">
                  <w:pPr>
                    <w:spacing w:line="240" w:lineRule="auto"/>
                    <w:rPr>
                      <w:rFonts w:hint="eastAsia" w:ascii="Times New Roman" w:hAnsi="Times New Roman" w:eastAsia="宋体" w:cs="Times New Roman"/>
                      <w:color w:val="auto"/>
                      <w:kern w:val="2"/>
                      <w:sz w:val="21"/>
                      <w:szCs w:val="21"/>
                      <w:highlight w:val="none"/>
                      <w:u w:val="none" w:color="auto"/>
                      <w:lang w:val="en-US" w:eastAsia="zh-CN" w:bidi="ar-SA"/>
                    </w:rPr>
                  </w:pPr>
                  <w:r>
                    <w:rPr>
                      <w:color w:val="auto"/>
                      <w:sz w:val="21"/>
                      <w:szCs w:val="21"/>
                      <w:highlight w:val="none"/>
                      <w:u w:val="none" w:color="auto"/>
                    </w:rPr>
                    <w:t>G</w:t>
                  </w:r>
                  <w:r>
                    <w:rPr>
                      <w:rFonts w:hint="eastAsia"/>
                      <w:color w:val="auto"/>
                      <w:sz w:val="21"/>
                      <w:szCs w:val="21"/>
                      <w:highlight w:val="none"/>
                      <w:u w:val="none" w:color="auto"/>
                      <w:lang w:val="en-US" w:eastAsia="zh-CN"/>
                    </w:rPr>
                    <w:t>2</w:t>
                  </w:r>
                </w:p>
              </w:tc>
              <w:tc>
                <w:tcPr>
                  <w:tcW w:w="1437" w:type="dxa"/>
                  <w:tcBorders>
                    <w:tl2br w:val="nil"/>
                    <w:tr2bl w:val="nil"/>
                  </w:tcBorders>
                  <w:shd w:val="clear" w:color="auto" w:fill="auto"/>
                  <w:vAlign w:val="center"/>
                </w:tcPr>
                <w:p w14:paraId="0F92F6DB">
                  <w:pPr>
                    <w:widowControl/>
                    <w:spacing w:line="240" w:lineRule="auto"/>
                    <w:ind w:left="-63" w:leftChars="-30" w:right="-63" w:rightChars="-30"/>
                    <w:jc w:val="center"/>
                    <w:textAlignment w:val="center"/>
                    <w:rPr>
                      <w:rFonts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 w:val="21"/>
                      <w:szCs w:val="21"/>
                      <w:highlight w:val="none"/>
                      <w:u w:val="none" w:color="auto"/>
                      <w:lang w:bidi="ar"/>
                    </w:rPr>
                    <w:t>筛分</w:t>
                  </w:r>
                </w:p>
              </w:tc>
              <w:tc>
                <w:tcPr>
                  <w:tcW w:w="1366" w:type="dxa"/>
                  <w:tcBorders>
                    <w:tl2br w:val="nil"/>
                    <w:tr2bl w:val="nil"/>
                  </w:tcBorders>
                  <w:shd w:val="clear" w:color="auto" w:fill="auto"/>
                  <w:vAlign w:val="center"/>
                </w:tcPr>
                <w:p w14:paraId="6692C7A8">
                  <w:pPr>
                    <w:widowControl/>
                    <w:spacing w:line="240" w:lineRule="auto"/>
                    <w:ind w:left="-63" w:leftChars="-30" w:right="-63" w:rightChars="-30"/>
                    <w:jc w:val="center"/>
                    <w:textAlignment w:val="center"/>
                    <w:rPr>
                      <w:rFonts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 w:val="21"/>
                      <w:szCs w:val="21"/>
                      <w:highlight w:val="none"/>
                      <w:u w:val="none" w:color="auto"/>
                      <w:lang w:bidi="ar"/>
                    </w:rPr>
                    <w:t>颗粒物</w:t>
                  </w:r>
                </w:p>
              </w:tc>
              <w:tc>
                <w:tcPr>
                  <w:tcW w:w="3882" w:type="dxa"/>
                  <w:tcBorders>
                    <w:tl2br w:val="nil"/>
                    <w:tr2bl w:val="nil"/>
                  </w:tcBorders>
                  <w:shd w:val="clear" w:color="auto" w:fill="auto"/>
                  <w:vAlign w:val="center"/>
                </w:tcPr>
                <w:p w14:paraId="65C537D7">
                  <w:pPr>
                    <w:widowControl/>
                    <w:spacing w:line="240" w:lineRule="auto"/>
                    <w:ind w:left="-63" w:leftChars="-30" w:right="-63" w:rightChars="-30"/>
                    <w:textAlignment w:val="center"/>
                    <w:rPr>
                      <w:rFonts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 w:val="21"/>
                      <w:szCs w:val="21"/>
                      <w:highlight w:val="none"/>
                      <w:u w:val="none" w:color="auto"/>
                      <w:lang w:val="en-US" w:eastAsia="zh-CN" w:bidi="ar"/>
                    </w:rPr>
                    <w:t>圆筒筛上方安装</w:t>
                  </w:r>
                  <w:r>
                    <w:rPr>
                      <w:rFonts w:hint="eastAsia"/>
                      <w:color w:val="auto"/>
                      <w:kern w:val="0"/>
                      <w:sz w:val="21"/>
                      <w:szCs w:val="21"/>
                      <w:highlight w:val="none"/>
                      <w:u w:val="none" w:color="auto"/>
                      <w:lang w:bidi="ar"/>
                    </w:rPr>
                    <w:t>密封罩，设备连接处加入密封胶</w:t>
                  </w:r>
                  <w:r>
                    <w:rPr>
                      <w:color w:val="auto"/>
                      <w:kern w:val="0"/>
                      <w:sz w:val="21"/>
                      <w:szCs w:val="21"/>
                      <w:highlight w:val="none"/>
                      <w:u w:val="none" w:color="auto"/>
                      <w:lang w:bidi="ar"/>
                    </w:rPr>
                    <w:t>，</w:t>
                  </w:r>
                  <w:r>
                    <w:rPr>
                      <w:rFonts w:hint="eastAsia"/>
                      <w:color w:val="auto"/>
                      <w:kern w:val="0"/>
                      <w:sz w:val="21"/>
                      <w:szCs w:val="21"/>
                      <w:highlight w:val="none"/>
                      <w:u w:val="none" w:color="auto"/>
                      <w:lang w:val="en-US" w:eastAsia="zh-CN" w:bidi="ar"/>
                    </w:rPr>
                    <w:t>可减少</w:t>
                  </w:r>
                  <w:r>
                    <w:rPr>
                      <w:color w:val="auto"/>
                      <w:kern w:val="0"/>
                      <w:sz w:val="21"/>
                      <w:szCs w:val="21"/>
                      <w:highlight w:val="none"/>
                      <w:u w:val="none" w:color="auto"/>
                      <w:lang w:bidi="ar"/>
                    </w:rPr>
                    <w:t>90%粉尘排放</w:t>
                  </w:r>
                  <w:r>
                    <w:rPr>
                      <w:rFonts w:hint="eastAsia"/>
                      <w:color w:val="auto"/>
                      <w:kern w:val="0"/>
                      <w:sz w:val="21"/>
                      <w:szCs w:val="21"/>
                      <w:highlight w:val="none"/>
                      <w:u w:val="none" w:color="auto"/>
                      <w:lang w:bidi="ar"/>
                    </w:rPr>
                    <w:t>。</w:t>
                  </w:r>
                </w:p>
              </w:tc>
            </w:tr>
            <w:tr w14:paraId="539B6E1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831" w:hRule="atLeast"/>
                <w:jc w:val="center"/>
              </w:trPr>
              <w:tc>
                <w:tcPr>
                  <w:tcW w:w="418" w:type="dxa"/>
                  <w:vMerge w:val="continue"/>
                  <w:tcBorders>
                    <w:tl2br w:val="nil"/>
                    <w:tr2bl w:val="nil"/>
                  </w:tcBorders>
                  <w:vAlign w:val="center"/>
                </w:tcPr>
                <w:p w14:paraId="364C0BBE">
                  <w:pPr>
                    <w:spacing w:line="240" w:lineRule="auto"/>
                    <w:rPr>
                      <w:color w:val="auto"/>
                      <w:sz w:val="21"/>
                      <w:szCs w:val="21"/>
                      <w:highlight w:val="none"/>
                      <w:u w:val="none" w:color="auto"/>
                    </w:rPr>
                  </w:pPr>
                </w:p>
              </w:tc>
              <w:tc>
                <w:tcPr>
                  <w:tcW w:w="636" w:type="dxa"/>
                  <w:tcBorders>
                    <w:tl2br w:val="nil"/>
                    <w:tr2bl w:val="nil"/>
                  </w:tcBorders>
                  <w:vAlign w:val="center"/>
                </w:tcPr>
                <w:p w14:paraId="37FA9A6D">
                  <w:pPr>
                    <w:spacing w:line="240" w:lineRule="auto"/>
                    <w:rPr>
                      <w:color w:val="auto"/>
                      <w:sz w:val="21"/>
                      <w:szCs w:val="21"/>
                      <w:highlight w:val="none"/>
                      <w:u w:val="none" w:color="auto"/>
                    </w:rPr>
                  </w:pPr>
                  <w:r>
                    <w:rPr>
                      <w:rFonts w:hint="eastAsia"/>
                      <w:color w:val="auto"/>
                      <w:sz w:val="21"/>
                      <w:szCs w:val="21"/>
                      <w:highlight w:val="none"/>
                      <w:u w:val="none" w:color="auto"/>
                    </w:rPr>
                    <w:t>G3</w:t>
                  </w:r>
                </w:p>
              </w:tc>
              <w:tc>
                <w:tcPr>
                  <w:tcW w:w="1437" w:type="dxa"/>
                  <w:tcBorders>
                    <w:tl2br w:val="nil"/>
                    <w:tr2bl w:val="nil"/>
                  </w:tcBorders>
                  <w:vAlign w:val="center"/>
                </w:tcPr>
                <w:p w14:paraId="2C88A854">
                  <w:pPr>
                    <w:widowControl/>
                    <w:spacing w:line="240" w:lineRule="auto"/>
                    <w:ind w:left="-63" w:leftChars="-30" w:right="-63" w:rightChars="-30"/>
                    <w:jc w:val="center"/>
                    <w:textAlignment w:val="center"/>
                    <w:rPr>
                      <w:color w:val="auto"/>
                      <w:sz w:val="21"/>
                      <w:szCs w:val="21"/>
                      <w:highlight w:val="none"/>
                      <w:u w:val="none" w:color="auto"/>
                    </w:rPr>
                  </w:pPr>
                  <w:r>
                    <w:rPr>
                      <w:rFonts w:hint="eastAsia"/>
                      <w:color w:val="auto"/>
                      <w:kern w:val="0"/>
                      <w:sz w:val="21"/>
                      <w:szCs w:val="21"/>
                      <w:highlight w:val="none"/>
                      <w:u w:val="none" w:color="auto"/>
                      <w:lang w:bidi="ar"/>
                    </w:rPr>
                    <w:t>生物质热风炉</w:t>
                  </w:r>
                </w:p>
              </w:tc>
              <w:tc>
                <w:tcPr>
                  <w:tcW w:w="1366" w:type="dxa"/>
                  <w:tcBorders>
                    <w:tl2br w:val="nil"/>
                    <w:tr2bl w:val="nil"/>
                  </w:tcBorders>
                  <w:vAlign w:val="center"/>
                </w:tcPr>
                <w:p w14:paraId="3554EE0C">
                  <w:pPr>
                    <w:widowControl/>
                    <w:spacing w:line="240" w:lineRule="auto"/>
                    <w:ind w:left="-63" w:leftChars="-30" w:right="-63" w:rightChars="-30"/>
                    <w:jc w:val="center"/>
                    <w:textAlignment w:val="center"/>
                    <w:rPr>
                      <w:color w:val="auto"/>
                      <w:sz w:val="21"/>
                      <w:szCs w:val="21"/>
                      <w:highlight w:val="none"/>
                      <w:u w:val="none" w:color="auto"/>
                    </w:rPr>
                  </w:pPr>
                  <w:r>
                    <w:rPr>
                      <w:rFonts w:hint="eastAsia"/>
                      <w:color w:val="auto"/>
                      <w:kern w:val="0"/>
                      <w:sz w:val="21"/>
                      <w:szCs w:val="21"/>
                      <w:highlight w:val="none"/>
                      <w:u w:val="none" w:color="auto"/>
                      <w:lang w:bidi="ar"/>
                    </w:rPr>
                    <w:t>颗粒物、SO</w:t>
                  </w:r>
                  <w:r>
                    <w:rPr>
                      <w:rFonts w:hint="eastAsia"/>
                      <w:color w:val="auto"/>
                      <w:kern w:val="0"/>
                      <w:sz w:val="21"/>
                      <w:szCs w:val="21"/>
                      <w:highlight w:val="none"/>
                      <w:u w:val="none" w:color="auto"/>
                      <w:vertAlign w:val="subscript"/>
                      <w:lang w:bidi="ar"/>
                    </w:rPr>
                    <w:t>2</w:t>
                  </w:r>
                  <w:r>
                    <w:rPr>
                      <w:rFonts w:hint="eastAsia"/>
                      <w:color w:val="auto"/>
                      <w:kern w:val="0"/>
                      <w:sz w:val="21"/>
                      <w:szCs w:val="21"/>
                      <w:highlight w:val="none"/>
                      <w:u w:val="none" w:color="auto"/>
                      <w:lang w:bidi="ar"/>
                    </w:rPr>
                    <w:t>、NOx</w:t>
                  </w:r>
                </w:p>
              </w:tc>
              <w:tc>
                <w:tcPr>
                  <w:tcW w:w="3882" w:type="dxa"/>
                  <w:tcBorders>
                    <w:tl2br w:val="nil"/>
                    <w:tr2bl w:val="nil"/>
                  </w:tcBorders>
                  <w:vAlign w:val="center"/>
                </w:tcPr>
                <w:p w14:paraId="0D0E7165">
                  <w:pPr>
                    <w:widowControl/>
                    <w:spacing w:line="240" w:lineRule="auto"/>
                    <w:ind w:left="-63" w:leftChars="-30" w:right="-63" w:rightChars="-30"/>
                    <w:textAlignment w:val="center"/>
                    <w:rPr>
                      <w:color w:val="auto"/>
                      <w:sz w:val="21"/>
                      <w:szCs w:val="21"/>
                      <w:highlight w:val="none"/>
                      <w:u w:val="none" w:color="auto"/>
                    </w:rPr>
                  </w:pPr>
                  <w:r>
                    <w:rPr>
                      <w:rFonts w:hint="eastAsia"/>
                      <w:color w:val="auto"/>
                      <w:kern w:val="0"/>
                      <w:sz w:val="21"/>
                      <w:szCs w:val="21"/>
                      <w:highlight w:val="none"/>
                      <w:u w:val="none" w:color="auto"/>
                      <w:lang w:bidi="ar"/>
                    </w:rPr>
                    <w:t>布袋除尘器（处理效率99%）+</w:t>
                  </w:r>
                  <w:r>
                    <w:rPr>
                      <w:rFonts w:hint="eastAsia"/>
                      <w:color w:val="auto"/>
                      <w:kern w:val="0"/>
                      <w:sz w:val="21"/>
                      <w:szCs w:val="21"/>
                      <w:highlight w:val="none"/>
                      <w:u w:val="none" w:color="auto"/>
                      <w:lang w:val="en-US" w:eastAsia="zh-CN" w:bidi="ar"/>
                    </w:rPr>
                    <w:t>18m</w:t>
                  </w:r>
                  <w:r>
                    <w:rPr>
                      <w:rFonts w:hint="eastAsia"/>
                      <w:color w:val="auto"/>
                      <w:kern w:val="0"/>
                      <w:sz w:val="21"/>
                      <w:szCs w:val="21"/>
                      <w:highlight w:val="none"/>
                      <w:u w:val="none" w:color="auto"/>
                      <w:lang w:eastAsia="zh-CN" w:bidi="ar"/>
                    </w:rPr>
                    <w:t>烟囱</w:t>
                  </w:r>
                  <w:r>
                    <w:rPr>
                      <w:rFonts w:hint="eastAsia"/>
                      <w:color w:val="auto"/>
                      <w:kern w:val="0"/>
                      <w:sz w:val="21"/>
                      <w:szCs w:val="21"/>
                      <w:highlight w:val="none"/>
                      <w:u w:val="none" w:color="auto"/>
                      <w:lang w:bidi="ar"/>
                    </w:rPr>
                    <w:t>（DA001）</w:t>
                  </w:r>
                </w:p>
              </w:tc>
            </w:tr>
            <w:tr w14:paraId="3C5A35B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831" w:hRule="atLeast"/>
                <w:jc w:val="center"/>
              </w:trPr>
              <w:tc>
                <w:tcPr>
                  <w:tcW w:w="418" w:type="dxa"/>
                  <w:vMerge w:val="continue"/>
                  <w:tcBorders>
                    <w:tl2br w:val="nil"/>
                    <w:tr2bl w:val="nil"/>
                  </w:tcBorders>
                  <w:vAlign w:val="center"/>
                </w:tcPr>
                <w:p w14:paraId="45D05045">
                  <w:pPr>
                    <w:spacing w:line="240" w:lineRule="auto"/>
                    <w:rPr>
                      <w:color w:val="auto"/>
                      <w:sz w:val="21"/>
                      <w:szCs w:val="21"/>
                      <w:highlight w:val="none"/>
                      <w:u w:val="none" w:color="auto"/>
                    </w:rPr>
                  </w:pPr>
                </w:p>
              </w:tc>
              <w:tc>
                <w:tcPr>
                  <w:tcW w:w="636" w:type="dxa"/>
                  <w:tcBorders>
                    <w:tl2br w:val="nil"/>
                    <w:tr2bl w:val="nil"/>
                  </w:tcBorders>
                  <w:shd w:val="clear" w:color="auto" w:fill="auto"/>
                  <w:vAlign w:val="center"/>
                </w:tcPr>
                <w:p w14:paraId="6B000421">
                  <w:pPr>
                    <w:spacing w:line="240" w:lineRule="auto"/>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color w:val="auto"/>
                      <w:sz w:val="21"/>
                      <w:szCs w:val="21"/>
                      <w:highlight w:val="none"/>
                      <w:u w:val="none" w:color="auto"/>
                    </w:rPr>
                    <w:t>G</w:t>
                  </w:r>
                  <w:r>
                    <w:rPr>
                      <w:rFonts w:hint="eastAsia"/>
                      <w:color w:val="auto"/>
                      <w:sz w:val="21"/>
                      <w:szCs w:val="21"/>
                      <w:highlight w:val="none"/>
                      <w:u w:val="none" w:color="auto"/>
                      <w:lang w:val="en-US" w:eastAsia="zh-CN"/>
                    </w:rPr>
                    <w:t>4</w:t>
                  </w:r>
                </w:p>
              </w:tc>
              <w:tc>
                <w:tcPr>
                  <w:tcW w:w="1437" w:type="dxa"/>
                  <w:tcBorders>
                    <w:tl2br w:val="nil"/>
                    <w:tr2bl w:val="nil"/>
                  </w:tcBorders>
                  <w:shd w:val="clear" w:color="auto" w:fill="auto"/>
                  <w:vAlign w:val="center"/>
                </w:tcPr>
                <w:p w14:paraId="59656AD7">
                  <w:pPr>
                    <w:widowControl/>
                    <w:spacing w:line="240" w:lineRule="auto"/>
                    <w:ind w:left="-63" w:leftChars="-30" w:right="-63" w:rightChars="-30"/>
                    <w:jc w:val="center"/>
                    <w:textAlignment w:val="center"/>
                    <w:rPr>
                      <w:rFonts w:ascii="Calibri" w:hAnsi="Calibri" w:eastAsia="宋体" w:cs="Times New Roman"/>
                      <w:color w:val="auto"/>
                      <w:kern w:val="0"/>
                      <w:sz w:val="21"/>
                      <w:szCs w:val="21"/>
                      <w:highlight w:val="none"/>
                      <w:u w:val="none" w:color="auto"/>
                      <w:lang w:val="en-US" w:eastAsia="zh-CN" w:bidi="ar"/>
                    </w:rPr>
                  </w:pPr>
                  <w:r>
                    <w:rPr>
                      <w:rFonts w:hint="eastAsia"/>
                      <w:color w:val="auto"/>
                      <w:kern w:val="0"/>
                      <w:sz w:val="21"/>
                      <w:szCs w:val="21"/>
                      <w:highlight w:val="none"/>
                      <w:u w:val="none" w:color="auto"/>
                      <w:lang w:bidi="ar"/>
                    </w:rPr>
                    <w:t>灰渣粉尘</w:t>
                  </w:r>
                </w:p>
              </w:tc>
              <w:tc>
                <w:tcPr>
                  <w:tcW w:w="1366" w:type="dxa"/>
                  <w:tcBorders>
                    <w:tl2br w:val="nil"/>
                    <w:tr2bl w:val="nil"/>
                  </w:tcBorders>
                  <w:shd w:val="clear" w:color="auto" w:fill="auto"/>
                  <w:vAlign w:val="center"/>
                </w:tcPr>
                <w:p w14:paraId="6CD7EEA9">
                  <w:pPr>
                    <w:widowControl/>
                    <w:spacing w:line="240" w:lineRule="auto"/>
                    <w:ind w:left="-63" w:leftChars="-30" w:right="-63" w:rightChars="-30"/>
                    <w:jc w:val="center"/>
                    <w:textAlignment w:val="center"/>
                    <w:rPr>
                      <w:rFonts w:ascii="Calibri" w:hAnsi="Calibri" w:eastAsia="宋体" w:cs="Times New Roman"/>
                      <w:color w:val="auto"/>
                      <w:kern w:val="0"/>
                      <w:sz w:val="21"/>
                      <w:szCs w:val="21"/>
                      <w:highlight w:val="none"/>
                      <w:u w:val="none" w:color="auto"/>
                      <w:lang w:val="en-US" w:eastAsia="zh-CN" w:bidi="ar"/>
                    </w:rPr>
                  </w:pPr>
                  <w:r>
                    <w:rPr>
                      <w:rFonts w:hint="eastAsia"/>
                      <w:color w:val="auto"/>
                      <w:kern w:val="0"/>
                      <w:sz w:val="21"/>
                      <w:szCs w:val="21"/>
                      <w:highlight w:val="none"/>
                      <w:u w:val="none" w:color="auto"/>
                      <w:lang w:bidi="ar"/>
                    </w:rPr>
                    <w:t>颗粒物</w:t>
                  </w:r>
                </w:p>
              </w:tc>
              <w:tc>
                <w:tcPr>
                  <w:tcW w:w="3882" w:type="dxa"/>
                  <w:tcBorders>
                    <w:tl2br w:val="nil"/>
                    <w:tr2bl w:val="nil"/>
                  </w:tcBorders>
                  <w:shd w:val="clear" w:color="auto" w:fill="auto"/>
                  <w:vAlign w:val="center"/>
                </w:tcPr>
                <w:p w14:paraId="04EE531F">
                  <w:pPr>
                    <w:widowControl/>
                    <w:spacing w:line="240" w:lineRule="auto"/>
                    <w:ind w:left="-63" w:leftChars="-30" w:right="-63" w:rightChars="-30"/>
                    <w:textAlignment w:val="center"/>
                    <w:rPr>
                      <w:rFonts w:hint="eastAsia" w:ascii="Times New Roman" w:hAnsi="Times New Roman" w:eastAsia="宋体" w:cs="Times New Roman"/>
                      <w:color w:val="auto"/>
                      <w:kern w:val="0"/>
                      <w:sz w:val="21"/>
                      <w:szCs w:val="21"/>
                      <w:highlight w:val="none"/>
                      <w:u w:val="none" w:color="auto"/>
                      <w:lang w:val="en-US" w:eastAsia="zh-CN" w:bidi="ar"/>
                    </w:rPr>
                  </w:pPr>
                  <w:r>
                    <w:rPr>
                      <w:rFonts w:hint="eastAsia"/>
                      <w:color w:val="auto"/>
                      <w:sz w:val="21"/>
                      <w:szCs w:val="21"/>
                      <w:highlight w:val="none"/>
                      <w:u w:val="none" w:color="auto"/>
                      <w:lang w:val="en-US" w:eastAsia="zh-CN"/>
                    </w:rPr>
                    <w:t>灰渣采用湿式除渣，</w:t>
                  </w:r>
                  <w:r>
                    <w:rPr>
                      <w:rFonts w:hint="eastAsia"/>
                      <w:color w:val="auto"/>
                      <w:sz w:val="21"/>
                      <w:szCs w:val="21"/>
                      <w:highlight w:val="none"/>
                      <w:u w:val="none" w:color="auto"/>
                      <w:lang w:eastAsia="zh-CN"/>
                    </w:rPr>
                    <w:t>装袋</w:t>
                  </w:r>
                  <w:r>
                    <w:rPr>
                      <w:rFonts w:hint="eastAsia"/>
                      <w:color w:val="auto"/>
                      <w:sz w:val="21"/>
                      <w:szCs w:val="21"/>
                      <w:highlight w:val="none"/>
                      <w:u w:val="none" w:color="auto"/>
                      <w:lang w:val="en-US" w:eastAsia="zh-CN"/>
                    </w:rPr>
                    <w:t>暂存于密闭仓库中</w:t>
                  </w:r>
                  <w:r>
                    <w:rPr>
                      <w:rFonts w:hint="eastAsia"/>
                      <w:color w:val="auto"/>
                      <w:sz w:val="21"/>
                      <w:szCs w:val="21"/>
                      <w:highlight w:val="none"/>
                      <w:u w:val="none" w:color="auto"/>
                    </w:rPr>
                    <w:t>，可</w:t>
                  </w:r>
                  <w:r>
                    <w:rPr>
                      <w:rFonts w:hint="eastAsia"/>
                      <w:color w:val="auto"/>
                      <w:sz w:val="21"/>
                      <w:szCs w:val="21"/>
                      <w:highlight w:val="none"/>
                      <w:u w:val="none" w:color="auto"/>
                      <w:lang w:val="en-US" w:eastAsia="zh-CN"/>
                    </w:rPr>
                    <w:t>有效减少无组织粉尘排放</w:t>
                  </w:r>
                  <w:r>
                    <w:rPr>
                      <w:rFonts w:hint="eastAsia"/>
                      <w:color w:val="auto"/>
                      <w:sz w:val="21"/>
                      <w:szCs w:val="21"/>
                      <w:highlight w:val="none"/>
                      <w:u w:val="none" w:color="auto"/>
                      <w:lang w:eastAsia="zh-CN"/>
                    </w:rPr>
                    <w:t>。</w:t>
                  </w:r>
                </w:p>
              </w:tc>
            </w:tr>
            <w:tr w14:paraId="402A4BE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564" w:hRule="atLeast"/>
                <w:jc w:val="center"/>
              </w:trPr>
              <w:tc>
                <w:tcPr>
                  <w:tcW w:w="418" w:type="dxa"/>
                  <w:vMerge w:val="continue"/>
                  <w:tcBorders>
                    <w:tl2br w:val="nil"/>
                    <w:tr2bl w:val="nil"/>
                  </w:tcBorders>
                  <w:vAlign w:val="center"/>
                </w:tcPr>
                <w:p w14:paraId="1C821489">
                  <w:pPr>
                    <w:spacing w:line="240" w:lineRule="auto"/>
                    <w:rPr>
                      <w:color w:val="auto"/>
                      <w:sz w:val="21"/>
                      <w:szCs w:val="21"/>
                      <w:highlight w:val="none"/>
                      <w:u w:val="none" w:color="auto"/>
                    </w:rPr>
                  </w:pPr>
                </w:p>
              </w:tc>
              <w:tc>
                <w:tcPr>
                  <w:tcW w:w="636" w:type="dxa"/>
                  <w:tcBorders>
                    <w:tl2br w:val="nil"/>
                    <w:tr2bl w:val="nil"/>
                  </w:tcBorders>
                  <w:shd w:val="clear" w:color="auto" w:fill="auto"/>
                  <w:vAlign w:val="center"/>
                </w:tcPr>
                <w:p w14:paraId="1B068231">
                  <w:pPr>
                    <w:spacing w:line="240" w:lineRule="auto"/>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color w:val="auto"/>
                      <w:sz w:val="21"/>
                      <w:szCs w:val="21"/>
                      <w:highlight w:val="none"/>
                      <w:u w:val="none" w:color="auto"/>
                    </w:rPr>
                    <w:t>G</w:t>
                  </w:r>
                  <w:r>
                    <w:rPr>
                      <w:rFonts w:hint="eastAsia"/>
                      <w:color w:val="auto"/>
                      <w:sz w:val="21"/>
                      <w:szCs w:val="21"/>
                      <w:highlight w:val="none"/>
                      <w:u w:val="none" w:color="auto"/>
                      <w:lang w:val="en-US" w:eastAsia="zh-CN"/>
                    </w:rPr>
                    <w:t>5</w:t>
                  </w:r>
                </w:p>
              </w:tc>
              <w:tc>
                <w:tcPr>
                  <w:tcW w:w="1437" w:type="dxa"/>
                  <w:tcBorders>
                    <w:tl2br w:val="nil"/>
                    <w:tr2bl w:val="nil"/>
                  </w:tcBorders>
                  <w:shd w:val="clear" w:color="auto" w:fill="auto"/>
                  <w:vAlign w:val="center"/>
                </w:tcPr>
                <w:p w14:paraId="1E2B95B6">
                  <w:pPr>
                    <w:widowControl/>
                    <w:spacing w:line="240" w:lineRule="auto"/>
                    <w:ind w:left="-63" w:leftChars="-30" w:right="-63" w:rightChars="-30"/>
                    <w:jc w:val="center"/>
                    <w:textAlignment w:val="center"/>
                    <w:rPr>
                      <w:rFonts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 w:val="21"/>
                      <w:szCs w:val="21"/>
                      <w:highlight w:val="none"/>
                      <w:u w:val="none" w:color="auto"/>
                      <w:lang w:bidi="ar"/>
                    </w:rPr>
                    <w:t>烘干粉尘</w:t>
                  </w:r>
                </w:p>
              </w:tc>
              <w:tc>
                <w:tcPr>
                  <w:tcW w:w="1366" w:type="dxa"/>
                  <w:tcBorders>
                    <w:tl2br w:val="nil"/>
                    <w:tr2bl w:val="nil"/>
                  </w:tcBorders>
                  <w:shd w:val="clear" w:color="auto" w:fill="auto"/>
                  <w:vAlign w:val="center"/>
                </w:tcPr>
                <w:p w14:paraId="5706C3A7">
                  <w:pPr>
                    <w:widowControl/>
                    <w:spacing w:line="240" w:lineRule="auto"/>
                    <w:ind w:left="-63" w:leftChars="-30" w:right="-63" w:rightChars="-30"/>
                    <w:jc w:val="center"/>
                    <w:textAlignment w:val="center"/>
                    <w:rPr>
                      <w:rFonts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 w:val="21"/>
                      <w:szCs w:val="21"/>
                      <w:highlight w:val="none"/>
                      <w:u w:val="none" w:color="auto"/>
                      <w:lang w:bidi="ar"/>
                    </w:rPr>
                    <w:t>颗粒物</w:t>
                  </w:r>
                </w:p>
              </w:tc>
              <w:tc>
                <w:tcPr>
                  <w:tcW w:w="3882" w:type="dxa"/>
                  <w:tcBorders>
                    <w:tl2br w:val="nil"/>
                    <w:tr2bl w:val="nil"/>
                  </w:tcBorders>
                  <w:shd w:val="clear" w:color="auto" w:fill="auto"/>
                  <w:vAlign w:val="center"/>
                </w:tcPr>
                <w:p w14:paraId="3027BF76">
                  <w:pPr>
                    <w:spacing w:line="240" w:lineRule="auto"/>
                    <w:rPr>
                      <w:rFonts w:ascii="Times New Roman" w:hAnsi="Times New Roman" w:eastAsia="宋体" w:cs="Times New Roman"/>
                      <w:color w:val="auto"/>
                      <w:kern w:val="2"/>
                      <w:sz w:val="21"/>
                      <w:szCs w:val="21"/>
                      <w:highlight w:val="none"/>
                      <w:u w:val="none" w:color="auto"/>
                      <w:lang w:val="en-US" w:eastAsia="zh-CN" w:bidi="ar-SA"/>
                    </w:rPr>
                  </w:pPr>
                  <w:r>
                    <w:rPr>
                      <w:color w:val="auto"/>
                      <w:kern w:val="0"/>
                      <w:sz w:val="21"/>
                      <w:szCs w:val="21"/>
                      <w:highlight w:val="none"/>
                      <w:u w:val="none" w:color="auto"/>
                      <w:lang w:bidi="ar"/>
                    </w:rPr>
                    <w:t>烘干塔排潮口处安装</w:t>
                  </w:r>
                  <w:r>
                    <w:rPr>
                      <w:rFonts w:hint="eastAsia"/>
                      <w:color w:val="auto"/>
                      <w:kern w:val="0"/>
                      <w:sz w:val="21"/>
                      <w:szCs w:val="21"/>
                      <w:highlight w:val="none"/>
                      <w:u w:val="none" w:color="auto"/>
                      <w:lang w:eastAsia="zh-CN" w:bidi="ar"/>
                    </w:rPr>
                    <w:t>加密</w:t>
                  </w:r>
                  <w:r>
                    <w:rPr>
                      <w:color w:val="auto"/>
                      <w:kern w:val="0"/>
                      <w:sz w:val="21"/>
                      <w:szCs w:val="21"/>
                      <w:highlight w:val="none"/>
                      <w:u w:val="none" w:color="auto"/>
                      <w:lang w:bidi="ar"/>
                    </w:rPr>
                    <w:t>除尘网，</w:t>
                  </w:r>
                  <w:r>
                    <w:rPr>
                      <w:rFonts w:hint="eastAsia"/>
                      <w:color w:val="auto"/>
                      <w:kern w:val="0"/>
                      <w:sz w:val="21"/>
                      <w:szCs w:val="21"/>
                      <w:highlight w:val="none"/>
                      <w:u w:val="none" w:color="auto"/>
                      <w:lang w:val="en-US" w:eastAsia="zh-CN" w:bidi="ar"/>
                    </w:rPr>
                    <w:t>烘干塔外设置密闭罩</w:t>
                  </w:r>
                  <w:r>
                    <w:rPr>
                      <w:rFonts w:hint="eastAsia"/>
                      <w:color w:val="auto"/>
                      <w:kern w:val="0"/>
                      <w:sz w:val="21"/>
                      <w:szCs w:val="21"/>
                      <w:highlight w:val="none"/>
                      <w:u w:val="none" w:color="auto"/>
                      <w:lang w:eastAsia="zh-CN" w:bidi="ar"/>
                    </w:rPr>
                    <w:t>，</w:t>
                  </w:r>
                  <w:r>
                    <w:rPr>
                      <w:color w:val="auto"/>
                      <w:kern w:val="0"/>
                      <w:sz w:val="21"/>
                      <w:szCs w:val="21"/>
                      <w:highlight w:val="none"/>
                      <w:u w:val="none" w:color="auto"/>
                      <w:lang w:bidi="ar"/>
                    </w:rPr>
                    <w:t>可</w:t>
                  </w:r>
                  <w:r>
                    <w:rPr>
                      <w:rFonts w:hint="eastAsia"/>
                      <w:color w:val="auto"/>
                      <w:kern w:val="0"/>
                      <w:sz w:val="21"/>
                      <w:szCs w:val="21"/>
                      <w:highlight w:val="none"/>
                      <w:u w:val="none" w:color="auto"/>
                      <w:lang w:val="en-US" w:eastAsia="zh-CN" w:bidi="ar"/>
                    </w:rPr>
                    <w:t>减少</w:t>
                  </w:r>
                  <w:r>
                    <w:rPr>
                      <w:color w:val="auto"/>
                      <w:kern w:val="0"/>
                      <w:sz w:val="21"/>
                      <w:szCs w:val="21"/>
                      <w:highlight w:val="none"/>
                      <w:u w:val="none" w:color="auto"/>
                      <w:lang w:bidi="ar"/>
                    </w:rPr>
                    <w:t>9</w:t>
                  </w:r>
                  <w:r>
                    <w:rPr>
                      <w:rFonts w:hint="eastAsia"/>
                      <w:color w:val="auto"/>
                      <w:kern w:val="0"/>
                      <w:sz w:val="21"/>
                      <w:szCs w:val="21"/>
                      <w:highlight w:val="none"/>
                      <w:u w:val="none" w:color="auto"/>
                      <w:lang w:val="en-US" w:eastAsia="zh-CN" w:bidi="ar"/>
                    </w:rPr>
                    <w:t>5</w:t>
                  </w:r>
                  <w:r>
                    <w:rPr>
                      <w:color w:val="auto"/>
                      <w:kern w:val="0"/>
                      <w:sz w:val="21"/>
                      <w:szCs w:val="21"/>
                      <w:highlight w:val="none"/>
                      <w:u w:val="none" w:color="auto"/>
                      <w:lang w:bidi="ar"/>
                    </w:rPr>
                    <w:t>%粉尘</w:t>
                  </w:r>
                  <w:r>
                    <w:rPr>
                      <w:rFonts w:hint="eastAsia"/>
                      <w:color w:val="auto"/>
                      <w:kern w:val="0"/>
                      <w:sz w:val="21"/>
                      <w:szCs w:val="21"/>
                      <w:highlight w:val="none"/>
                      <w:u w:val="none" w:color="auto"/>
                      <w:lang w:val="en-US" w:eastAsia="zh-CN" w:bidi="ar"/>
                    </w:rPr>
                    <w:t>排放</w:t>
                  </w:r>
                  <w:r>
                    <w:rPr>
                      <w:rFonts w:hint="eastAsia"/>
                      <w:color w:val="auto"/>
                      <w:kern w:val="0"/>
                      <w:sz w:val="21"/>
                      <w:szCs w:val="21"/>
                      <w:highlight w:val="none"/>
                      <w:u w:val="none" w:color="auto"/>
                      <w:lang w:bidi="ar"/>
                    </w:rPr>
                    <w:t>。</w:t>
                  </w:r>
                </w:p>
              </w:tc>
            </w:tr>
            <w:tr w14:paraId="77F418B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826" w:hRule="atLeast"/>
                <w:jc w:val="center"/>
              </w:trPr>
              <w:tc>
                <w:tcPr>
                  <w:tcW w:w="418" w:type="dxa"/>
                  <w:tcBorders>
                    <w:tl2br w:val="nil"/>
                    <w:tr2bl w:val="nil"/>
                  </w:tcBorders>
                  <w:vAlign w:val="center"/>
                </w:tcPr>
                <w:p w14:paraId="0B03733F">
                  <w:pPr>
                    <w:spacing w:line="240" w:lineRule="auto"/>
                    <w:rPr>
                      <w:rFonts w:hint="eastAsia" w:eastAsia="宋体"/>
                      <w:color w:val="auto"/>
                      <w:sz w:val="21"/>
                      <w:szCs w:val="21"/>
                      <w:highlight w:val="none"/>
                      <w:u w:val="none" w:color="auto"/>
                      <w:lang w:val="en-US" w:eastAsia="zh-CN"/>
                    </w:rPr>
                  </w:pPr>
                  <w:r>
                    <w:rPr>
                      <w:rFonts w:hint="eastAsia"/>
                      <w:color w:val="auto"/>
                      <w:sz w:val="21"/>
                      <w:szCs w:val="21"/>
                      <w:highlight w:val="none"/>
                      <w:u w:val="none" w:color="auto"/>
                      <w:lang w:val="en-US" w:eastAsia="zh-CN"/>
                    </w:rPr>
                    <w:t>废水</w:t>
                  </w:r>
                </w:p>
              </w:tc>
              <w:tc>
                <w:tcPr>
                  <w:tcW w:w="636" w:type="dxa"/>
                  <w:tcBorders>
                    <w:tl2br w:val="nil"/>
                    <w:tr2bl w:val="nil"/>
                  </w:tcBorders>
                  <w:vAlign w:val="center"/>
                </w:tcPr>
                <w:p w14:paraId="2102A7B3">
                  <w:pPr>
                    <w:spacing w:line="240" w:lineRule="auto"/>
                    <w:rPr>
                      <w:rFonts w:hint="default" w:eastAsia="宋体"/>
                      <w:color w:val="auto"/>
                      <w:sz w:val="21"/>
                      <w:szCs w:val="21"/>
                      <w:highlight w:val="none"/>
                      <w:u w:val="none" w:color="auto"/>
                      <w:lang w:val="en-US" w:eastAsia="zh-CN"/>
                    </w:rPr>
                  </w:pPr>
                  <w:r>
                    <w:rPr>
                      <w:rFonts w:hint="eastAsia"/>
                      <w:color w:val="auto"/>
                      <w:sz w:val="21"/>
                      <w:szCs w:val="21"/>
                      <w:highlight w:val="none"/>
                      <w:u w:val="none" w:color="auto"/>
                      <w:lang w:val="en-US" w:eastAsia="zh-CN"/>
                    </w:rPr>
                    <w:t>W1</w:t>
                  </w:r>
                </w:p>
              </w:tc>
              <w:tc>
                <w:tcPr>
                  <w:tcW w:w="1437" w:type="dxa"/>
                  <w:tcBorders>
                    <w:tl2br w:val="nil"/>
                    <w:tr2bl w:val="nil"/>
                  </w:tcBorders>
                  <w:vAlign w:val="center"/>
                </w:tcPr>
                <w:p w14:paraId="6D4CFFB4">
                  <w:pPr>
                    <w:widowControl/>
                    <w:spacing w:line="240" w:lineRule="auto"/>
                    <w:ind w:left="-63" w:leftChars="-30" w:right="-63" w:rightChars="-30"/>
                    <w:jc w:val="center"/>
                    <w:textAlignment w:val="center"/>
                    <w:rPr>
                      <w:rFonts w:hint="eastAsia" w:eastAsia="宋体"/>
                      <w:color w:val="auto"/>
                      <w:kern w:val="0"/>
                      <w:sz w:val="21"/>
                      <w:szCs w:val="21"/>
                      <w:highlight w:val="none"/>
                      <w:u w:val="none" w:color="auto"/>
                      <w:lang w:val="en-US" w:eastAsia="zh-CN" w:bidi="ar"/>
                    </w:rPr>
                  </w:pPr>
                  <w:r>
                    <w:rPr>
                      <w:rFonts w:hint="eastAsia"/>
                      <w:color w:val="auto"/>
                      <w:kern w:val="0"/>
                      <w:sz w:val="21"/>
                      <w:szCs w:val="21"/>
                      <w:highlight w:val="none"/>
                      <w:u w:val="none" w:color="auto"/>
                      <w:lang w:val="en-US" w:eastAsia="zh-CN" w:bidi="ar"/>
                    </w:rPr>
                    <w:t>生活污水</w:t>
                  </w:r>
                </w:p>
              </w:tc>
              <w:tc>
                <w:tcPr>
                  <w:tcW w:w="1366" w:type="dxa"/>
                  <w:tcBorders>
                    <w:tl2br w:val="nil"/>
                    <w:tr2bl w:val="nil"/>
                  </w:tcBorders>
                  <w:vAlign w:val="center"/>
                </w:tcPr>
                <w:p w14:paraId="6F076927">
                  <w:pPr>
                    <w:widowControl/>
                    <w:spacing w:line="240" w:lineRule="auto"/>
                    <w:ind w:left="-63" w:leftChars="-30" w:right="-63" w:rightChars="-30"/>
                    <w:jc w:val="center"/>
                    <w:textAlignment w:val="center"/>
                    <w:rPr>
                      <w:rFonts w:hint="eastAsia"/>
                      <w:color w:val="auto"/>
                      <w:kern w:val="0"/>
                      <w:sz w:val="21"/>
                      <w:szCs w:val="21"/>
                      <w:highlight w:val="none"/>
                      <w:u w:val="none" w:color="auto"/>
                      <w:lang w:bidi="ar"/>
                    </w:rPr>
                  </w:pPr>
                  <w:r>
                    <w:rPr>
                      <w:rFonts w:ascii="Times New Roman" w:hAnsi="Times New Roman" w:eastAsia="Times New Roman" w:cs="Times New Roman"/>
                      <w:color w:val="auto"/>
                      <w:spacing w:val="-5"/>
                      <w:sz w:val="21"/>
                      <w:szCs w:val="21"/>
                      <w:highlight w:val="none"/>
                      <w:u w:val="none" w:color="auto"/>
                    </w:rPr>
                    <w:t>pH</w:t>
                  </w:r>
                  <w:r>
                    <w:rPr>
                      <w:rFonts w:ascii="宋体" w:hAnsi="宋体" w:eastAsia="宋体" w:cs="宋体"/>
                      <w:color w:val="auto"/>
                      <w:spacing w:val="-5"/>
                      <w:sz w:val="21"/>
                      <w:szCs w:val="21"/>
                      <w:highlight w:val="none"/>
                      <w:u w:val="none" w:color="auto"/>
                    </w:rPr>
                    <w:t>、</w:t>
                  </w:r>
                  <w:r>
                    <w:rPr>
                      <w:rFonts w:ascii="Times New Roman" w:hAnsi="Times New Roman" w:eastAsia="Times New Roman" w:cs="Times New Roman"/>
                      <w:color w:val="auto"/>
                      <w:spacing w:val="-5"/>
                      <w:sz w:val="21"/>
                      <w:szCs w:val="21"/>
                      <w:highlight w:val="none"/>
                      <w:u w:val="none" w:color="auto"/>
                    </w:rPr>
                    <w:t>COD</w:t>
                  </w:r>
                  <w:r>
                    <w:rPr>
                      <w:rFonts w:ascii="宋体" w:hAnsi="宋体" w:eastAsia="宋体" w:cs="宋体"/>
                      <w:color w:val="auto"/>
                      <w:spacing w:val="-5"/>
                      <w:sz w:val="21"/>
                      <w:szCs w:val="21"/>
                      <w:highlight w:val="none"/>
                      <w:u w:val="none" w:color="auto"/>
                    </w:rPr>
                    <w:t>、</w:t>
                  </w:r>
                  <w:r>
                    <w:rPr>
                      <w:rFonts w:ascii="Times New Roman" w:hAnsi="Times New Roman" w:eastAsia="Times New Roman" w:cs="Times New Roman"/>
                      <w:color w:val="auto"/>
                      <w:spacing w:val="-5"/>
                      <w:sz w:val="21"/>
                      <w:szCs w:val="21"/>
                      <w:highlight w:val="none"/>
                      <w:u w:val="none" w:color="auto"/>
                    </w:rPr>
                    <w:t>BOD</w:t>
                  </w:r>
                  <w:r>
                    <w:rPr>
                      <w:rFonts w:ascii="Times New Roman" w:hAnsi="Times New Roman" w:eastAsia="Times New Roman" w:cs="Times New Roman"/>
                      <w:color w:val="auto"/>
                      <w:spacing w:val="-5"/>
                      <w:position w:val="-1"/>
                      <w:sz w:val="21"/>
                      <w:szCs w:val="21"/>
                      <w:highlight w:val="none"/>
                      <w:u w:val="none" w:color="auto"/>
                      <w:vertAlign w:val="subscript"/>
                    </w:rPr>
                    <w:t>5</w:t>
                  </w:r>
                  <w:r>
                    <w:rPr>
                      <w:rFonts w:ascii="宋体" w:hAnsi="宋体" w:eastAsia="宋体" w:cs="宋体"/>
                      <w:color w:val="auto"/>
                      <w:spacing w:val="-5"/>
                      <w:sz w:val="21"/>
                      <w:szCs w:val="21"/>
                      <w:highlight w:val="none"/>
                      <w:u w:val="none" w:color="auto"/>
                    </w:rPr>
                    <w:t>、</w:t>
                  </w:r>
                  <w:r>
                    <w:rPr>
                      <w:rFonts w:ascii="宋体" w:hAnsi="宋体" w:eastAsia="宋体" w:cs="宋体"/>
                      <w:color w:val="auto"/>
                      <w:spacing w:val="8"/>
                      <w:sz w:val="21"/>
                      <w:szCs w:val="21"/>
                      <w:highlight w:val="none"/>
                      <w:u w:val="none" w:color="auto"/>
                    </w:rPr>
                    <w:t>氨氮、悬浮物</w:t>
                  </w:r>
                </w:p>
              </w:tc>
              <w:tc>
                <w:tcPr>
                  <w:tcW w:w="3882" w:type="dxa"/>
                  <w:tcBorders>
                    <w:tl2br w:val="nil"/>
                    <w:tr2bl w:val="nil"/>
                  </w:tcBorders>
                  <w:vAlign w:val="center"/>
                </w:tcPr>
                <w:p w14:paraId="6AF0C430">
                  <w:pPr>
                    <w:spacing w:line="240" w:lineRule="auto"/>
                    <w:rPr>
                      <w:rFonts w:hint="default" w:ascii="Times New Roman" w:hAnsi="Times New Roman" w:eastAsia="宋体"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排入</w:t>
                  </w:r>
                  <w:r>
                    <w:rPr>
                      <w:rFonts w:hint="eastAsia" w:ascii="Times New Roman" w:hAnsi="Times New Roman" w:eastAsia="宋体" w:cs="Times New Roman"/>
                      <w:color w:val="auto"/>
                      <w:kern w:val="0"/>
                      <w:sz w:val="21"/>
                      <w:szCs w:val="21"/>
                      <w:highlight w:val="none"/>
                      <w:u w:val="none" w:color="auto"/>
                      <w:lang w:val="en-US" w:eastAsia="zh-CN" w:bidi="ar"/>
                    </w:rPr>
                    <w:t>防渗旱厕，定期清掏还田。</w:t>
                  </w:r>
                </w:p>
              </w:tc>
            </w:tr>
            <w:tr w14:paraId="31D91C3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826" w:hRule="atLeast"/>
                <w:jc w:val="center"/>
              </w:trPr>
              <w:tc>
                <w:tcPr>
                  <w:tcW w:w="418" w:type="dxa"/>
                  <w:vMerge w:val="restart"/>
                  <w:tcBorders>
                    <w:tl2br w:val="nil"/>
                    <w:tr2bl w:val="nil"/>
                  </w:tcBorders>
                  <w:vAlign w:val="center"/>
                </w:tcPr>
                <w:p w14:paraId="7E66BE8E">
                  <w:pPr>
                    <w:spacing w:line="240" w:lineRule="auto"/>
                    <w:rPr>
                      <w:color w:val="auto"/>
                      <w:sz w:val="21"/>
                      <w:szCs w:val="21"/>
                      <w:highlight w:val="none"/>
                      <w:u w:val="none" w:color="auto"/>
                    </w:rPr>
                  </w:pPr>
                  <w:r>
                    <w:rPr>
                      <w:rFonts w:hint="eastAsia"/>
                      <w:color w:val="auto"/>
                      <w:sz w:val="21"/>
                      <w:szCs w:val="21"/>
                      <w:highlight w:val="none"/>
                      <w:u w:val="none" w:color="auto"/>
                    </w:rPr>
                    <w:t>固体废物</w:t>
                  </w:r>
                </w:p>
              </w:tc>
              <w:tc>
                <w:tcPr>
                  <w:tcW w:w="636" w:type="dxa"/>
                  <w:tcBorders>
                    <w:tl2br w:val="nil"/>
                    <w:tr2bl w:val="nil"/>
                  </w:tcBorders>
                  <w:vAlign w:val="center"/>
                </w:tcPr>
                <w:p w14:paraId="02F355D0">
                  <w:pPr>
                    <w:spacing w:line="240" w:lineRule="auto"/>
                    <w:rPr>
                      <w:color w:val="auto"/>
                      <w:sz w:val="21"/>
                      <w:szCs w:val="21"/>
                      <w:highlight w:val="none"/>
                      <w:u w:val="none" w:color="auto"/>
                    </w:rPr>
                  </w:pPr>
                  <w:r>
                    <w:rPr>
                      <w:color w:val="auto"/>
                      <w:sz w:val="21"/>
                      <w:szCs w:val="21"/>
                      <w:highlight w:val="none"/>
                      <w:u w:val="none" w:color="auto"/>
                    </w:rPr>
                    <w:t>S1</w:t>
                  </w:r>
                </w:p>
              </w:tc>
              <w:tc>
                <w:tcPr>
                  <w:tcW w:w="1437" w:type="dxa"/>
                  <w:tcBorders>
                    <w:tl2br w:val="nil"/>
                    <w:tr2bl w:val="nil"/>
                  </w:tcBorders>
                  <w:vAlign w:val="center"/>
                </w:tcPr>
                <w:p w14:paraId="4FEE11D2">
                  <w:pPr>
                    <w:widowControl/>
                    <w:spacing w:line="240" w:lineRule="auto"/>
                    <w:ind w:left="-63" w:leftChars="-30" w:right="-63" w:rightChars="-30"/>
                    <w:jc w:val="center"/>
                    <w:textAlignment w:val="center"/>
                    <w:rPr>
                      <w:rFonts w:hint="eastAsia" w:eastAsia="宋体"/>
                      <w:color w:val="auto"/>
                      <w:sz w:val="21"/>
                      <w:szCs w:val="21"/>
                      <w:highlight w:val="none"/>
                      <w:u w:val="none" w:color="auto"/>
                      <w:lang w:val="en-US" w:eastAsia="zh-CN"/>
                    </w:rPr>
                  </w:pPr>
                  <w:r>
                    <w:rPr>
                      <w:rFonts w:hint="eastAsia"/>
                      <w:color w:val="auto"/>
                      <w:kern w:val="0"/>
                      <w:sz w:val="21"/>
                      <w:szCs w:val="21"/>
                      <w:highlight w:val="none"/>
                      <w:u w:val="none" w:color="auto"/>
                      <w:lang w:bidi="ar"/>
                    </w:rPr>
                    <w:t>装卸、</w:t>
                  </w:r>
                  <w:r>
                    <w:rPr>
                      <w:rFonts w:hint="eastAsia"/>
                      <w:color w:val="auto"/>
                      <w:kern w:val="0"/>
                      <w:sz w:val="21"/>
                      <w:szCs w:val="21"/>
                      <w:highlight w:val="none"/>
                      <w:u w:val="none" w:color="auto"/>
                      <w:lang w:val="en-US" w:eastAsia="zh-CN" w:bidi="ar"/>
                    </w:rPr>
                    <w:t>筛分、烘干</w:t>
                  </w:r>
                </w:p>
              </w:tc>
              <w:tc>
                <w:tcPr>
                  <w:tcW w:w="1366" w:type="dxa"/>
                  <w:tcBorders>
                    <w:tl2br w:val="nil"/>
                    <w:tr2bl w:val="nil"/>
                  </w:tcBorders>
                  <w:vAlign w:val="center"/>
                </w:tcPr>
                <w:p w14:paraId="34F79202">
                  <w:pPr>
                    <w:widowControl/>
                    <w:spacing w:line="240" w:lineRule="auto"/>
                    <w:ind w:left="-63" w:leftChars="-30" w:right="-63" w:rightChars="-30"/>
                    <w:jc w:val="center"/>
                    <w:textAlignment w:val="center"/>
                    <w:rPr>
                      <w:rFonts w:hint="eastAsia" w:eastAsia="宋体"/>
                      <w:color w:val="auto"/>
                      <w:sz w:val="21"/>
                      <w:szCs w:val="21"/>
                      <w:highlight w:val="none"/>
                      <w:u w:val="none" w:color="auto"/>
                      <w:lang w:eastAsia="zh-CN"/>
                    </w:rPr>
                  </w:pPr>
                  <w:r>
                    <w:rPr>
                      <w:rFonts w:hint="eastAsia"/>
                      <w:color w:val="auto"/>
                      <w:kern w:val="0"/>
                      <w:sz w:val="21"/>
                      <w:szCs w:val="21"/>
                      <w:highlight w:val="none"/>
                      <w:u w:val="none" w:color="auto"/>
                      <w:lang w:eastAsia="zh-CN" w:bidi="ar"/>
                    </w:rPr>
                    <w:t>玉米皮</w:t>
                  </w:r>
                </w:p>
              </w:tc>
              <w:tc>
                <w:tcPr>
                  <w:tcW w:w="3882" w:type="dxa"/>
                  <w:tcBorders>
                    <w:tl2br w:val="nil"/>
                    <w:tr2bl w:val="nil"/>
                  </w:tcBorders>
                  <w:vAlign w:val="center"/>
                </w:tcPr>
                <w:p w14:paraId="107803CB">
                  <w:pPr>
                    <w:widowControl/>
                    <w:spacing w:line="240" w:lineRule="auto"/>
                    <w:ind w:left="-63" w:leftChars="-30" w:right="-63" w:rightChars="-30"/>
                    <w:jc w:val="left"/>
                    <w:textAlignment w:val="center"/>
                    <w:rPr>
                      <w:rFonts w:hint="eastAsia" w:eastAsia="宋体"/>
                      <w:color w:val="auto"/>
                      <w:sz w:val="21"/>
                      <w:szCs w:val="21"/>
                      <w:highlight w:val="none"/>
                      <w:u w:val="none" w:color="auto"/>
                      <w:lang w:eastAsia="zh-CN"/>
                    </w:rPr>
                  </w:pPr>
                  <w:r>
                    <w:rPr>
                      <w:rFonts w:hint="eastAsia" w:eastAsia="宋体"/>
                      <w:color w:val="auto"/>
                      <w:sz w:val="21"/>
                      <w:szCs w:val="21"/>
                      <w:highlight w:val="none"/>
                      <w:u w:val="none" w:color="auto"/>
                      <w:lang w:eastAsia="zh-CN"/>
                    </w:rPr>
                    <w:t>外售</w:t>
                  </w:r>
                  <w:r>
                    <w:rPr>
                      <w:rFonts w:hint="eastAsia"/>
                      <w:color w:val="auto"/>
                      <w:sz w:val="21"/>
                      <w:szCs w:val="21"/>
                      <w:highlight w:val="none"/>
                      <w:u w:val="none" w:color="auto"/>
                      <w:lang w:eastAsia="zh-CN"/>
                    </w:rPr>
                    <w:t>作为</w:t>
                  </w:r>
                  <w:r>
                    <w:rPr>
                      <w:rFonts w:hint="eastAsia" w:eastAsia="宋体"/>
                      <w:color w:val="auto"/>
                      <w:sz w:val="21"/>
                      <w:szCs w:val="21"/>
                      <w:highlight w:val="none"/>
                      <w:u w:val="none" w:color="auto"/>
                      <w:lang w:eastAsia="zh-CN"/>
                    </w:rPr>
                    <w:t>饲料原料。</w:t>
                  </w:r>
                </w:p>
              </w:tc>
            </w:tr>
            <w:tr w14:paraId="3E50574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465" w:hRule="atLeast"/>
                <w:jc w:val="center"/>
              </w:trPr>
              <w:tc>
                <w:tcPr>
                  <w:tcW w:w="418" w:type="dxa"/>
                  <w:vMerge w:val="continue"/>
                  <w:tcBorders>
                    <w:tl2br w:val="nil"/>
                    <w:tr2bl w:val="nil"/>
                  </w:tcBorders>
                  <w:vAlign w:val="center"/>
                </w:tcPr>
                <w:p w14:paraId="4D9A762D">
                  <w:pPr>
                    <w:spacing w:line="240" w:lineRule="auto"/>
                    <w:rPr>
                      <w:color w:val="auto"/>
                      <w:sz w:val="21"/>
                      <w:szCs w:val="21"/>
                      <w:highlight w:val="none"/>
                      <w:u w:val="none" w:color="auto"/>
                    </w:rPr>
                  </w:pPr>
                </w:p>
              </w:tc>
              <w:tc>
                <w:tcPr>
                  <w:tcW w:w="636" w:type="dxa"/>
                  <w:tcBorders>
                    <w:tl2br w:val="nil"/>
                    <w:tr2bl w:val="nil"/>
                  </w:tcBorders>
                  <w:shd w:val="clear" w:color="auto" w:fill="auto"/>
                  <w:vAlign w:val="center"/>
                </w:tcPr>
                <w:p w14:paraId="7EF4BE1C">
                  <w:pPr>
                    <w:spacing w:line="240" w:lineRule="auto"/>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color w:val="auto"/>
                      <w:sz w:val="21"/>
                      <w:szCs w:val="21"/>
                      <w:highlight w:val="none"/>
                      <w:u w:val="none" w:color="auto"/>
                    </w:rPr>
                    <w:t>S</w:t>
                  </w:r>
                  <w:r>
                    <w:rPr>
                      <w:rFonts w:hint="eastAsia"/>
                      <w:color w:val="auto"/>
                      <w:sz w:val="21"/>
                      <w:szCs w:val="21"/>
                      <w:highlight w:val="none"/>
                      <w:u w:val="none" w:color="auto"/>
                      <w:lang w:val="en-US" w:eastAsia="zh-CN"/>
                    </w:rPr>
                    <w:t>2</w:t>
                  </w:r>
                </w:p>
              </w:tc>
              <w:tc>
                <w:tcPr>
                  <w:tcW w:w="1437" w:type="dxa"/>
                  <w:vMerge w:val="restart"/>
                  <w:tcBorders>
                    <w:tl2br w:val="nil"/>
                    <w:tr2bl w:val="nil"/>
                  </w:tcBorders>
                  <w:shd w:val="clear" w:color="auto" w:fill="auto"/>
                  <w:vAlign w:val="center"/>
                </w:tcPr>
                <w:p w14:paraId="6BC900AA">
                  <w:pPr>
                    <w:widowControl/>
                    <w:spacing w:line="240" w:lineRule="auto"/>
                    <w:ind w:left="-63" w:leftChars="-30" w:right="-63" w:rightChars="-30"/>
                    <w:jc w:val="center"/>
                    <w:textAlignment w:val="center"/>
                    <w:rPr>
                      <w:rFonts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 w:val="21"/>
                      <w:szCs w:val="21"/>
                      <w:highlight w:val="none"/>
                      <w:u w:val="none" w:color="auto"/>
                      <w:lang w:bidi="ar"/>
                    </w:rPr>
                    <w:t>生物质热风炉</w:t>
                  </w:r>
                </w:p>
              </w:tc>
              <w:tc>
                <w:tcPr>
                  <w:tcW w:w="1366" w:type="dxa"/>
                  <w:tcBorders>
                    <w:tl2br w:val="nil"/>
                    <w:tr2bl w:val="nil"/>
                  </w:tcBorders>
                  <w:shd w:val="clear" w:color="auto" w:fill="auto"/>
                  <w:vAlign w:val="center"/>
                </w:tcPr>
                <w:p w14:paraId="2D6F7CEE">
                  <w:pPr>
                    <w:widowControl/>
                    <w:spacing w:line="240" w:lineRule="auto"/>
                    <w:ind w:left="-63" w:leftChars="-30" w:right="-63" w:rightChars="-30"/>
                    <w:jc w:val="center"/>
                    <w:textAlignment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color w:val="auto"/>
                      <w:kern w:val="0"/>
                      <w:sz w:val="21"/>
                      <w:szCs w:val="21"/>
                      <w:highlight w:val="none"/>
                      <w:u w:val="none" w:color="auto"/>
                      <w:lang w:eastAsia="zh-CN" w:bidi="ar"/>
                    </w:rPr>
                    <w:t>炉渣</w:t>
                  </w:r>
                </w:p>
              </w:tc>
              <w:tc>
                <w:tcPr>
                  <w:tcW w:w="3882" w:type="dxa"/>
                  <w:tcBorders>
                    <w:tl2br w:val="nil"/>
                    <w:tr2bl w:val="nil"/>
                  </w:tcBorders>
                  <w:shd w:val="clear" w:color="auto" w:fill="auto"/>
                  <w:vAlign w:val="center"/>
                </w:tcPr>
                <w:p w14:paraId="3FC2EDF1">
                  <w:pPr>
                    <w:widowControl/>
                    <w:spacing w:line="240" w:lineRule="auto"/>
                    <w:ind w:left="-63" w:leftChars="-30" w:right="-63" w:rightChars="-30"/>
                    <w:jc w:val="left"/>
                    <w:textAlignment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eastAsia="宋体"/>
                      <w:color w:val="auto"/>
                      <w:kern w:val="0"/>
                      <w:sz w:val="21"/>
                      <w:szCs w:val="21"/>
                      <w:highlight w:val="none"/>
                      <w:u w:val="none" w:color="auto"/>
                      <w:lang w:val="en-US" w:eastAsia="zh-CN" w:bidi="ar"/>
                    </w:rPr>
                    <w:t>外售作为农肥</w:t>
                  </w:r>
                </w:p>
              </w:tc>
            </w:tr>
            <w:tr w14:paraId="65FC497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465" w:hRule="atLeast"/>
                <w:jc w:val="center"/>
              </w:trPr>
              <w:tc>
                <w:tcPr>
                  <w:tcW w:w="418" w:type="dxa"/>
                  <w:vMerge w:val="continue"/>
                  <w:tcBorders>
                    <w:tl2br w:val="nil"/>
                    <w:tr2bl w:val="nil"/>
                  </w:tcBorders>
                  <w:vAlign w:val="center"/>
                </w:tcPr>
                <w:p w14:paraId="75464155">
                  <w:pPr>
                    <w:spacing w:line="240" w:lineRule="auto"/>
                    <w:rPr>
                      <w:color w:val="auto"/>
                      <w:sz w:val="21"/>
                      <w:szCs w:val="21"/>
                      <w:highlight w:val="none"/>
                      <w:u w:val="none" w:color="auto"/>
                    </w:rPr>
                  </w:pPr>
                </w:p>
              </w:tc>
              <w:tc>
                <w:tcPr>
                  <w:tcW w:w="636" w:type="dxa"/>
                  <w:tcBorders>
                    <w:tl2br w:val="nil"/>
                    <w:tr2bl w:val="nil"/>
                  </w:tcBorders>
                  <w:vAlign w:val="center"/>
                </w:tcPr>
                <w:p w14:paraId="70CAD196">
                  <w:pPr>
                    <w:spacing w:line="240" w:lineRule="auto"/>
                    <w:rPr>
                      <w:rFonts w:hint="eastAsia" w:eastAsia="宋体"/>
                      <w:color w:val="auto"/>
                      <w:sz w:val="21"/>
                      <w:szCs w:val="21"/>
                      <w:highlight w:val="none"/>
                      <w:u w:val="none" w:color="auto"/>
                      <w:lang w:eastAsia="zh-CN"/>
                    </w:rPr>
                  </w:pPr>
                  <w:r>
                    <w:rPr>
                      <w:rFonts w:hint="eastAsia"/>
                      <w:color w:val="auto"/>
                      <w:sz w:val="21"/>
                      <w:szCs w:val="21"/>
                      <w:highlight w:val="none"/>
                      <w:u w:val="none" w:color="auto"/>
                    </w:rPr>
                    <w:t>S</w:t>
                  </w:r>
                  <w:r>
                    <w:rPr>
                      <w:rFonts w:hint="eastAsia"/>
                      <w:color w:val="auto"/>
                      <w:sz w:val="21"/>
                      <w:szCs w:val="21"/>
                      <w:highlight w:val="none"/>
                      <w:u w:val="none" w:color="auto"/>
                      <w:lang w:val="en-US" w:eastAsia="zh-CN"/>
                    </w:rPr>
                    <w:t>3</w:t>
                  </w:r>
                </w:p>
              </w:tc>
              <w:tc>
                <w:tcPr>
                  <w:tcW w:w="1437" w:type="dxa"/>
                  <w:vMerge w:val="continue"/>
                  <w:tcBorders>
                    <w:tl2br w:val="nil"/>
                    <w:tr2bl w:val="nil"/>
                  </w:tcBorders>
                  <w:vAlign w:val="center"/>
                </w:tcPr>
                <w:p w14:paraId="6A7B346A">
                  <w:pPr>
                    <w:widowControl/>
                    <w:spacing w:line="240" w:lineRule="auto"/>
                    <w:ind w:left="-63" w:leftChars="-30" w:right="-63" w:rightChars="-30"/>
                    <w:jc w:val="center"/>
                    <w:textAlignment w:val="center"/>
                    <w:rPr>
                      <w:color w:val="auto"/>
                      <w:sz w:val="21"/>
                      <w:szCs w:val="21"/>
                      <w:highlight w:val="none"/>
                      <w:u w:val="none" w:color="auto"/>
                    </w:rPr>
                  </w:pPr>
                </w:p>
              </w:tc>
              <w:tc>
                <w:tcPr>
                  <w:tcW w:w="1366" w:type="dxa"/>
                  <w:tcBorders>
                    <w:tl2br w:val="nil"/>
                    <w:tr2bl w:val="nil"/>
                  </w:tcBorders>
                  <w:vAlign w:val="center"/>
                </w:tcPr>
                <w:p w14:paraId="32D0FEC2">
                  <w:pPr>
                    <w:widowControl/>
                    <w:spacing w:line="240" w:lineRule="auto"/>
                    <w:ind w:left="-63" w:leftChars="-30" w:right="-63" w:rightChars="-30"/>
                    <w:jc w:val="center"/>
                    <w:textAlignment w:val="center"/>
                    <w:rPr>
                      <w:color w:val="auto"/>
                      <w:sz w:val="21"/>
                      <w:szCs w:val="21"/>
                      <w:highlight w:val="none"/>
                      <w:u w:val="none" w:color="auto"/>
                    </w:rPr>
                  </w:pPr>
                  <w:r>
                    <w:rPr>
                      <w:rFonts w:hint="eastAsia"/>
                      <w:color w:val="auto"/>
                      <w:kern w:val="0"/>
                      <w:sz w:val="21"/>
                      <w:szCs w:val="21"/>
                      <w:highlight w:val="none"/>
                      <w:u w:val="none" w:color="auto"/>
                      <w:lang w:bidi="ar"/>
                    </w:rPr>
                    <w:t>除尘灰</w:t>
                  </w:r>
                </w:p>
              </w:tc>
              <w:tc>
                <w:tcPr>
                  <w:tcW w:w="3882" w:type="dxa"/>
                  <w:tcBorders>
                    <w:tl2br w:val="nil"/>
                    <w:tr2bl w:val="nil"/>
                  </w:tcBorders>
                  <w:vAlign w:val="center"/>
                </w:tcPr>
                <w:p w14:paraId="6D890FCF">
                  <w:pPr>
                    <w:widowControl/>
                    <w:spacing w:line="240" w:lineRule="auto"/>
                    <w:ind w:left="-63" w:leftChars="-30" w:right="-63" w:rightChars="-30"/>
                    <w:jc w:val="left"/>
                    <w:textAlignment w:val="center"/>
                    <w:rPr>
                      <w:color w:val="auto"/>
                      <w:sz w:val="21"/>
                      <w:szCs w:val="21"/>
                      <w:highlight w:val="none"/>
                      <w:u w:val="none" w:color="auto"/>
                    </w:rPr>
                  </w:pPr>
                  <w:r>
                    <w:rPr>
                      <w:rFonts w:hint="eastAsia" w:eastAsia="宋体"/>
                      <w:color w:val="auto"/>
                      <w:kern w:val="0"/>
                      <w:sz w:val="21"/>
                      <w:szCs w:val="21"/>
                      <w:highlight w:val="none"/>
                      <w:u w:val="none" w:color="auto"/>
                      <w:lang w:val="en-US" w:eastAsia="zh-CN" w:bidi="ar"/>
                    </w:rPr>
                    <w:t>外售作为农肥</w:t>
                  </w:r>
                </w:p>
              </w:tc>
            </w:tr>
            <w:tr w14:paraId="306B5AB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632" w:hRule="atLeast"/>
                <w:jc w:val="center"/>
              </w:trPr>
              <w:tc>
                <w:tcPr>
                  <w:tcW w:w="418" w:type="dxa"/>
                  <w:vMerge w:val="continue"/>
                  <w:tcBorders>
                    <w:tl2br w:val="nil"/>
                    <w:tr2bl w:val="nil"/>
                  </w:tcBorders>
                  <w:vAlign w:val="center"/>
                </w:tcPr>
                <w:p w14:paraId="16E4A25C">
                  <w:pPr>
                    <w:spacing w:line="240" w:lineRule="auto"/>
                    <w:rPr>
                      <w:color w:val="auto"/>
                      <w:sz w:val="21"/>
                      <w:szCs w:val="21"/>
                      <w:highlight w:val="none"/>
                      <w:u w:val="none" w:color="auto"/>
                    </w:rPr>
                  </w:pPr>
                </w:p>
              </w:tc>
              <w:tc>
                <w:tcPr>
                  <w:tcW w:w="636" w:type="dxa"/>
                  <w:tcBorders>
                    <w:tl2br w:val="nil"/>
                    <w:tr2bl w:val="nil"/>
                  </w:tcBorders>
                  <w:vAlign w:val="center"/>
                </w:tcPr>
                <w:p w14:paraId="2B50EF51">
                  <w:pPr>
                    <w:spacing w:line="240" w:lineRule="auto"/>
                    <w:rPr>
                      <w:rFonts w:hint="eastAsia" w:eastAsia="宋体"/>
                      <w:color w:val="auto"/>
                      <w:sz w:val="21"/>
                      <w:szCs w:val="21"/>
                      <w:highlight w:val="none"/>
                      <w:u w:val="none" w:color="auto"/>
                      <w:lang w:eastAsia="zh-CN"/>
                    </w:rPr>
                  </w:pPr>
                  <w:r>
                    <w:rPr>
                      <w:rFonts w:hint="eastAsia"/>
                      <w:color w:val="auto"/>
                      <w:sz w:val="21"/>
                      <w:szCs w:val="21"/>
                      <w:highlight w:val="none"/>
                      <w:u w:val="none" w:color="auto"/>
                    </w:rPr>
                    <w:t>S</w:t>
                  </w:r>
                  <w:r>
                    <w:rPr>
                      <w:rFonts w:hint="eastAsia"/>
                      <w:color w:val="auto"/>
                      <w:sz w:val="21"/>
                      <w:szCs w:val="21"/>
                      <w:highlight w:val="none"/>
                      <w:u w:val="none" w:color="auto"/>
                      <w:lang w:val="en-US" w:eastAsia="zh-CN"/>
                    </w:rPr>
                    <w:t>4</w:t>
                  </w:r>
                </w:p>
              </w:tc>
              <w:tc>
                <w:tcPr>
                  <w:tcW w:w="1437" w:type="dxa"/>
                  <w:tcBorders>
                    <w:tl2br w:val="nil"/>
                    <w:tr2bl w:val="nil"/>
                  </w:tcBorders>
                  <w:vAlign w:val="center"/>
                </w:tcPr>
                <w:p w14:paraId="02E29B88">
                  <w:pPr>
                    <w:widowControl/>
                    <w:spacing w:line="240" w:lineRule="auto"/>
                    <w:ind w:left="-63" w:leftChars="-30" w:right="-63" w:rightChars="-30"/>
                    <w:jc w:val="center"/>
                    <w:textAlignment w:val="center"/>
                    <w:rPr>
                      <w:rFonts w:hint="eastAsia" w:eastAsia="宋体"/>
                      <w:color w:val="auto"/>
                      <w:kern w:val="0"/>
                      <w:sz w:val="21"/>
                      <w:szCs w:val="21"/>
                      <w:highlight w:val="none"/>
                      <w:u w:val="none" w:color="auto"/>
                      <w:lang w:val="en-US" w:eastAsia="zh-CN" w:bidi="ar"/>
                    </w:rPr>
                  </w:pPr>
                  <w:r>
                    <w:rPr>
                      <w:rFonts w:hint="eastAsia"/>
                      <w:color w:val="auto"/>
                      <w:kern w:val="0"/>
                      <w:sz w:val="21"/>
                      <w:szCs w:val="21"/>
                      <w:highlight w:val="none"/>
                      <w:u w:val="none" w:color="auto"/>
                      <w:lang w:val="en-US" w:eastAsia="zh-CN" w:bidi="ar"/>
                    </w:rPr>
                    <w:t>袋式除尘器</w:t>
                  </w:r>
                </w:p>
              </w:tc>
              <w:tc>
                <w:tcPr>
                  <w:tcW w:w="1366" w:type="dxa"/>
                  <w:tcBorders>
                    <w:tl2br w:val="nil"/>
                    <w:tr2bl w:val="nil"/>
                  </w:tcBorders>
                  <w:vAlign w:val="center"/>
                </w:tcPr>
                <w:p w14:paraId="79731B83">
                  <w:pPr>
                    <w:widowControl/>
                    <w:spacing w:line="240" w:lineRule="auto"/>
                    <w:ind w:left="-63" w:leftChars="-30" w:right="-63" w:rightChars="-30"/>
                    <w:jc w:val="center"/>
                    <w:textAlignment w:val="center"/>
                    <w:rPr>
                      <w:color w:val="auto"/>
                      <w:kern w:val="0"/>
                      <w:sz w:val="21"/>
                      <w:szCs w:val="21"/>
                      <w:highlight w:val="none"/>
                      <w:u w:val="none" w:color="auto"/>
                      <w:lang w:bidi="ar"/>
                    </w:rPr>
                  </w:pPr>
                  <w:r>
                    <w:rPr>
                      <w:rFonts w:hint="eastAsia"/>
                      <w:color w:val="auto"/>
                      <w:kern w:val="0"/>
                      <w:sz w:val="21"/>
                      <w:szCs w:val="21"/>
                      <w:highlight w:val="none"/>
                      <w:u w:val="none" w:color="auto"/>
                      <w:lang w:bidi="ar"/>
                    </w:rPr>
                    <w:t>废布袋</w:t>
                  </w:r>
                </w:p>
              </w:tc>
              <w:tc>
                <w:tcPr>
                  <w:tcW w:w="3882" w:type="dxa"/>
                  <w:tcBorders>
                    <w:tl2br w:val="nil"/>
                    <w:tr2bl w:val="nil"/>
                  </w:tcBorders>
                  <w:vAlign w:val="center"/>
                </w:tcPr>
                <w:p w14:paraId="5A138D43">
                  <w:pPr>
                    <w:widowControl/>
                    <w:spacing w:line="240" w:lineRule="auto"/>
                    <w:ind w:left="-63" w:leftChars="-30" w:right="-63" w:rightChars="-30"/>
                    <w:jc w:val="left"/>
                    <w:textAlignment w:val="center"/>
                    <w:rPr>
                      <w:rFonts w:hint="default" w:eastAsia="宋体"/>
                      <w:color w:val="auto"/>
                      <w:kern w:val="0"/>
                      <w:sz w:val="21"/>
                      <w:szCs w:val="21"/>
                      <w:highlight w:val="none"/>
                      <w:u w:val="none" w:color="auto"/>
                      <w:lang w:val="en-US" w:eastAsia="zh-CN" w:bidi="ar"/>
                    </w:rPr>
                  </w:pPr>
                  <w:r>
                    <w:rPr>
                      <w:rFonts w:hint="eastAsia"/>
                      <w:color w:val="auto"/>
                      <w:kern w:val="0"/>
                      <w:sz w:val="21"/>
                      <w:szCs w:val="21"/>
                      <w:highlight w:val="none"/>
                      <w:u w:val="none" w:color="auto"/>
                      <w:lang w:val="en-US" w:eastAsia="zh-CN" w:bidi="ar"/>
                    </w:rPr>
                    <w:t>更换后由厂家回收处置</w:t>
                  </w:r>
                </w:p>
              </w:tc>
            </w:tr>
            <w:tr w14:paraId="6F6E1C9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613" w:hRule="atLeast"/>
                <w:jc w:val="center"/>
              </w:trPr>
              <w:tc>
                <w:tcPr>
                  <w:tcW w:w="418" w:type="dxa"/>
                  <w:vMerge w:val="continue"/>
                  <w:tcBorders>
                    <w:tl2br w:val="nil"/>
                    <w:tr2bl w:val="nil"/>
                  </w:tcBorders>
                  <w:vAlign w:val="center"/>
                </w:tcPr>
                <w:p w14:paraId="1EDE8531">
                  <w:pPr>
                    <w:spacing w:line="240" w:lineRule="auto"/>
                    <w:rPr>
                      <w:color w:val="auto"/>
                      <w:sz w:val="21"/>
                      <w:szCs w:val="21"/>
                      <w:highlight w:val="none"/>
                      <w:u w:val="none" w:color="auto"/>
                    </w:rPr>
                  </w:pPr>
                </w:p>
              </w:tc>
              <w:tc>
                <w:tcPr>
                  <w:tcW w:w="636" w:type="dxa"/>
                  <w:tcBorders>
                    <w:tl2br w:val="nil"/>
                    <w:tr2bl w:val="nil"/>
                  </w:tcBorders>
                  <w:vAlign w:val="center"/>
                </w:tcPr>
                <w:p w14:paraId="09482DAE">
                  <w:pPr>
                    <w:spacing w:line="240" w:lineRule="auto"/>
                    <w:rPr>
                      <w:color w:val="auto"/>
                      <w:sz w:val="21"/>
                      <w:szCs w:val="21"/>
                      <w:highlight w:val="none"/>
                      <w:u w:val="none" w:color="auto"/>
                    </w:rPr>
                  </w:pPr>
                  <w:r>
                    <w:rPr>
                      <w:color w:val="auto"/>
                      <w:sz w:val="21"/>
                      <w:szCs w:val="21"/>
                      <w:highlight w:val="none"/>
                      <w:u w:val="none" w:color="auto"/>
                    </w:rPr>
                    <w:t>S</w:t>
                  </w:r>
                  <w:r>
                    <w:rPr>
                      <w:rFonts w:hint="eastAsia"/>
                      <w:color w:val="auto"/>
                      <w:sz w:val="21"/>
                      <w:szCs w:val="21"/>
                      <w:highlight w:val="none"/>
                      <w:u w:val="none" w:color="auto"/>
                      <w:lang w:val="en-US" w:eastAsia="zh-CN"/>
                    </w:rPr>
                    <w:t>5</w:t>
                  </w:r>
                </w:p>
              </w:tc>
              <w:tc>
                <w:tcPr>
                  <w:tcW w:w="1437" w:type="dxa"/>
                  <w:tcBorders>
                    <w:tl2br w:val="nil"/>
                    <w:tr2bl w:val="nil"/>
                  </w:tcBorders>
                  <w:vAlign w:val="center"/>
                </w:tcPr>
                <w:p w14:paraId="6C532965">
                  <w:pPr>
                    <w:widowControl/>
                    <w:spacing w:line="240" w:lineRule="auto"/>
                    <w:ind w:left="-63" w:leftChars="-30" w:right="-63" w:rightChars="-30"/>
                    <w:jc w:val="center"/>
                    <w:textAlignment w:val="center"/>
                    <w:rPr>
                      <w:rFonts w:hint="eastAsia" w:eastAsia="宋体"/>
                      <w:color w:val="auto"/>
                      <w:sz w:val="21"/>
                      <w:szCs w:val="21"/>
                      <w:highlight w:val="none"/>
                      <w:u w:val="none" w:color="auto"/>
                      <w:lang w:eastAsia="zh-CN"/>
                    </w:rPr>
                  </w:pPr>
                  <w:r>
                    <w:rPr>
                      <w:rFonts w:hint="eastAsia"/>
                      <w:color w:val="auto"/>
                      <w:sz w:val="21"/>
                      <w:szCs w:val="21"/>
                      <w:highlight w:val="none"/>
                      <w:u w:val="none" w:color="auto"/>
                      <w:lang w:eastAsia="zh-CN"/>
                    </w:rPr>
                    <w:t>烘干</w:t>
                  </w:r>
                </w:p>
              </w:tc>
              <w:tc>
                <w:tcPr>
                  <w:tcW w:w="1366" w:type="dxa"/>
                  <w:tcBorders>
                    <w:tl2br w:val="nil"/>
                    <w:tr2bl w:val="nil"/>
                  </w:tcBorders>
                  <w:vAlign w:val="center"/>
                </w:tcPr>
                <w:p w14:paraId="4488FE88">
                  <w:pPr>
                    <w:widowControl/>
                    <w:spacing w:line="240" w:lineRule="auto"/>
                    <w:ind w:left="-63" w:leftChars="-30" w:right="-63" w:rightChars="-30"/>
                    <w:jc w:val="center"/>
                    <w:textAlignment w:val="center"/>
                    <w:rPr>
                      <w:rFonts w:hint="eastAsia" w:eastAsia="宋体"/>
                      <w:color w:val="auto"/>
                      <w:sz w:val="21"/>
                      <w:szCs w:val="21"/>
                      <w:highlight w:val="none"/>
                      <w:u w:val="none" w:color="auto"/>
                      <w:lang w:eastAsia="zh-CN"/>
                    </w:rPr>
                  </w:pPr>
                  <w:r>
                    <w:rPr>
                      <w:rFonts w:hint="eastAsia"/>
                      <w:color w:val="auto"/>
                      <w:sz w:val="21"/>
                      <w:szCs w:val="21"/>
                      <w:highlight w:val="none"/>
                      <w:u w:val="none" w:color="auto"/>
                      <w:lang w:eastAsia="zh-CN"/>
                    </w:rPr>
                    <w:t>烘干截留粉尘</w:t>
                  </w:r>
                </w:p>
              </w:tc>
              <w:tc>
                <w:tcPr>
                  <w:tcW w:w="3882" w:type="dxa"/>
                  <w:tcBorders>
                    <w:tl2br w:val="nil"/>
                    <w:tr2bl w:val="nil"/>
                  </w:tcBorders>
                  <w:vAlign w:val="center"/>
                </w:tcPr>
                <w:p w14:paraId="4BB12F96">
                  <w:pPr>
                    <w:widowControl/>
                    <w:spacing w:line="240" w:lineRule="auto"/>
                    <w:ind w:left="-63" w:leftChars="-30" w:right="-63" w:rightChars="-30"/>
                    <w:jc w:val="left"/>
                    <w:textAlignment w:val="center"/>
                    <w:rPr>
                      <w:color w:val="auto"/>
                      <w:sz w:val="21"/>
                      <w:szCs w:val="21"/>
                      <w:highlight w:val="none"/>
                      <w:u w:val="none" w:color="auto"/>
                    </w:rPr>
                  </w:pPr>
                  <w:r>
                    <w:rPr>
                      <w:rFonts w:hint="eastAsia"/>
                      <w:color w:val="auto"/>
                      <w:sz w:val="21"/>
                      <w:szCs w:val="21"/>
                      <w:highlight w:val="none"/>
                      <w:u w:val="none" w:color="auto"/>
                      <w:lang w:val="en-US" w:eastAsia="zh-CN"/>
                    </w:rPr>
                    <w:t>外售作为</w:t>
                  </w:r>
                  <w:r>
                    <w:rPr>
                      <w:color w:val="auto"/>
                      <w:sz w:val="21"/>
                      <w:szCs w:val="21"/>
                      <w:highlight w:val="none"/>
                      <w:u w:val="none" w:color="auto"/>
                    </w:rPr>
                    <w:t>饲料</w:t>
                  </w:r>
                  <w:r>
                    <w:rPr>
                      <w:rFonts w:hint="eastAsia"/>
                      <w:color w:val="auto"/>
                      <w:sz w:val="21"/>
                      <w:szCs w:val="21"/>
                      <w:highlight w:val="none"/>
                      <w:u w:val="none" w:color="auto"/>
                      <w:lang w:eastAsia="zh-CN"/>
                    </w:rPr>
                    <w:t>原料</w:t>
                  </w:r>
                </w:p>
              </w:tc>
            </w:tr>
            <w:tr w14:paraId="469F872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613" w:hRule="atLeast"/>
                <w:jc w:val="center"/>
              </w:trPr>
              <w:tc>
                <w:tcPr>
                  <w:tcW w:w="418" w:type="dxa"/>
                  <w:vMerge w:val="continue"/>
                  <w:tcBorders>
                    <w:tl2br w:val="nil"/>
                    <w:tr2bl w:val="nil"/>
                  </w:tcBorders>
                  <w:vAlign w:val="center"/>
                </w:tcPr>
                <w:p w14:paraId="10B9C0B0">
                  <w:pPr>
                    <w:spacing w:line="240" w:lineRule="auto"/>
                    <w:rPr>
                      <w:color w:val="auto"/>
                      <w:sz w:val="21"/>
                      <w:szCs w:val="21"/>
                      <w:highlight w:val="none"/>
                      <w:u w:val="none" w:color="auto"/>
                    </w:rPr>
                  </w:pPr>
                </w:p>
              </w:tc>
              <w:tc>
                <w:tcPr>
                  <w:tcW w:w="636" w:type="dxa"/>
                  <w:tcBorders>
                    <w:tl2br w:val="nil"/>
                    <w:tr2bl w:val="nil"/>
                  </w:tcBorders>
                  <w:vAlign w:val="center"/>
                </w:tcPr>
                <w:p w14:paraId="0E9F3941">
                  <w:pPr>
                    <w:spacing w:line="240" w:lineRule="auto"/>
                    <w:rPr>
                      <w:rFonts w:hint="default" w:eastAsia="宋体"/>
                      <w:color w:val="auto"/>
                      <w:sz w:val="21"/>
                      <w:szCs w:val="21"/>
                      <w:highlight w:val="none"/>
                      <w:u w:val="none" w:color="auto"/>
                      <w:lang w:val="en-US" w:eastAsia="zh-CN"/>
                    </w:rPr>
                  </w:pPr>
                  <w:r>
                    <w:rPr>
                      <w:rFonts w:hint="eastAsia"/>
                      <w:color w:val="auto"/>
                      <w:sz w:val="21"/>
                      <w:szCs w:val="21"/>
                      <w:highlight w:val="none"/>
                      <w:u w:val="none" w:color="auto"/>
                      <w:lang w:val="en-US" w:eastAsia="zh-CN"/>
                    </w:rPr>
                    <w:t>S6</w:t>
                  </w:r>
                </w:p>
              </w:tc>
              <w:tc>
                <w:tcPr>
                  <w:tcW w:w="1437" w:type="dxa"/>
                  <w:tcBorders>
                    <w:tl2br w:val="nil"/>
                    <w:tr2bl w:val="nil"/>
                  </w:tcBorders>
                  <w:vAlign w:val="center"/>
                </w:tcPr>
                <w:p w14:paraId="47C22B90">
                  <w:pPr>
                    <w:widowControl/>
                    <w:spacing w:line="240" w:lineRule="auto"/>
                    <w:ind w:left="-63" w:leftChars="-30" w:right="-63" w:rightChars="-30"/>
                    <w:jc w:val="center"/>
                    <w:textAlignment w:val="center"/>
                    <w:rPr>
                      <w:rFonts w:hint="default"/>
                      <w:color w:val="auto"/>
                      <w:sz w:val="21"/>
                      <w:szCs w:val="21"/>
                      <w:highlight w:val="none"/>
                      <w:u w:val="none" w:color="auto"/>
                      <w:lang w:val="en-US" w:eastAsia="zh-CN"/>
                    </w:rPr>
                  </w:pPr>
                  <w:r>
                    <w:rPr>
                      <w:rFonts w:hint="eastAsia"/>
                      <w:color w:val="auto"/>
                      <w:sz w:val="21"/>
                      <w:szCs w:val="21"/>
                      <w:highlight w:val="none"/>
                      <w:u w:val="none" w:color="auto"/>
                      <w:lang w:val="en-US" w:eastAsia="zh-CN"/>
                    </w:rPr>
                    <w:t>职工生活</w:t>
                  </w:r>
                </w:p>
              </w:tc>
              <w:tc>
                <w:tcPr>
                  <w:tcW w:w="1366" w:type="dxa"/>
                  <w:tcBorders>
                    <w:tl2br w:val="nil"/>
                    <w:tr2bl w:val="nil"/>
                  </w:tcBorders>
                  <w:vAlign w:val="center"/>
                </w:tcPr>
                <w:p w14:paraId="0651FA75">
                  <w:pPr>
                    <w:widowControl/>
                    <w:spacing w:line="240" w:lineRule="auto"/>
                    <w:ind w:left="-63" w:leftChars="-30" w:right="-63" w:rightChars="-30"/>
                    <w:jc w:val="center"/>
                    <w:textAlignment w:val="center"/>
                    <w:rPr>
                      <w:rFonts w:hint="default"/>
                      <w:color w:val="auto"/>
                      <w:sz w:val="21"/>
                      <w:szCs w:val="21"/>
                      <w:highlight w:val="none"/>
                      <w:u w:val="none" w:color="auto"/>
                      <w:lang w:val="en-US" w:eastAsia="zh-CN"/>
                    </w:rPr>
                  </w:pPr>
                  <w:r>
                    <w:rPr>
                      <w:rFonts w:hint="eastAsia"/>
                      <w:color w:val="auto"/>
                      <w:sz w:val="21"/>
                      <w:szCs w:val="21"/>
                      <w:highlight w:val="none"/>
                      <w:u w:val="none" w:color="auto"/>
                      <w:lang w:val="en-US" w:eastAsia="zh-CN"/>
                    </w:rPr>
                    <w:t>生活垃圾</w:t>
                  </w:r>
                </w:p>
              </w:tc>
              <w:tc>
                <w:tcPr>
                  <w:tcW w:w="3882" w:type="dxa"/>
                  <w:tcBorders>
                    <w:tl2br w:val="nil"/>
                    <w:tr2bl w:val="nil"/>
                  </w:tcBorders>
                  <w:vAlign w:val="center"/>
                </w:tcPr>
                <w:p w14:paraId="02689A38">
                  <w:pPr>
                    <w:widowControl/>
                    <w:spacing w:line="240" w:lineRule="auto"/>
                    <w:ind w:left="-63" w:leftChars="-30" w:right="-63" w:rightChars="-30"/>
                    <w:jc w:val="left"/>
                    <w:textAlignment w:val="center"/>
                    <w:rPr>
                      <w:rFonts w:hint="default"/>
                      <w:color w:val="auto"/>
                      <w:sz w:val="21"/>
                      <w:szCs w:val="21"/>
                      <w:highlight w:val="none"/>
                      <w:u w:val="none" w:color="auto"/>
                      <w:lang w:val="en-US" w:eastAsia="zh-CN"/>
                    </w:rPr>
                  </w:pPr>
                  <w:r>
                    <w:rPr>
                      <w:rFonts w:hint="eastAsia"/>
                      <w:color w:val="auto"/>
                      <w:sz w:val="21"/>
                      <w:szCs w:val="21"/>
                      <w:highlight w:val="none"/>
                      <w:u w:val="none" w:color="auto"/>
                      <w:lang w:val="en-US" w:eastAsia="zh-CN"/>
                    </w:rPr>
                    <w:t>厂内密闭垃圾桶集中收集，由环卫部门定期清理</w:t>
                  </w:r>
                </w:p>
              </w:tc>
            </w:tr>
          </w:tbl>
          <w:p w14:paraId="1EC173D3">
            <w:pPr>
              <w:adjustRightInd w:val="0"/>
              <w:snapToGrid w:val="0"/>
              <w:spacing w:line="360" w:lineRule="auto"/>
              <w:ind w:firstLine="420" w:firstLineChars="200"/>
              <w:jc w:val="center"/>
              <w:rPr>
                <w:rFonts w:ascii="宋体" w:hAnsi="宋体"/>
                <w:bCs/>
                <w:color w:val="auto"/>
                <w:szCs w:val="21"/>
                <w:highlight w:val="none"/>
                <w:u w:val="none" w:color="auto"/>
              </w:rPr>
            </w:pPr>
          </w:p>
        </w:tc>
      </w:tr>
      <w:tr w14:paraId="116540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7" w:hRule="atLeast"/>
          <w:jc w:val="center"/>
        </w:trPr>
        <w:tc>
          <w:tcPr>
            <w:tcW w:w="1116" w:type="dxa"/>
            <w:vAlign w:val="center"/>
          </w:tcPr>
          <w:p w14:paraId="6635E827">
            <w:pPr>
              <w:pStyle w:val="24"/>
              <w:adjustRightInd w:val="0"/>
              <w:snapToGrid w:val="0"/>
              <w:spacing w:before="0" w:beforeAutospacing="0" w:after="0" w:afterAutospacing="0"/>
              <w:jc w:val="center"/>
              <w:rPr>
                <w:rFonts w:cs="宋体"/>
                <w:color w:val="auto"/>
                <w:sz w:val="21"/>
                <w:szCs w:val="21"/>
                <w:highlight w:val="none"/>
                <w:u w:val="none" w:color="auto"/>
              </w:rPr>
            </w:pPr>
            <w:r>
              <w:rPr>
                <w:rFonts w:hint="eastAsia" w:cs="宋体"/>
                <w:bCs/>
                <w:color w:val="auto"/>
                <w:kern w:val="2"/>
                <w:sz w:val="21"/>
                <w:szCs w:val="21"/>
                <w:highlight w:val="none"/>
                <w:u w:val="none" w:color="auto"/>
              </w:rPr>
              <w:t>与项目有关的原有环境污染问题</w:t>
            </w:r>
          </w:p>
        </w:tc>
        <w:tc>
          <w:tcPr>
            <w:tcW w:w="7933" w:type="dxa"/>
            <w:vAlign w:val="center"/>
          </w:tcPr>
          <w:p w14:paraId="08B1DA8F">
            <w:pPr>
              <w:adjustRightInd w:val="0"/>
              <w:snapToGrid w:val="0"/>
              <w:spacing w:line="360" w:lineRule="auto"/>
              <w:ind w:firstLine="480" w:firstLineChars="200"/>
              <w:rPr>
                <w:rFonts w:hint="eastAsia" w:cs="Times New Roman"/>
                <w:color w:val="auto"/>
                <w:position w:val="15"/>
                <w:sz w:val="24"/>
                <w:highlight w:val="none"/>
                <w:u w:val="single" w:color="auto"/>
                <w:lang w:val="en-US" w:eastAsia="zh-CN"/>
              </w:rPr>
            </w:pPr>
            <w:r>
              <w:rPr>
                <w:rFonts w:hint="eastAsia" w:ascii="Times New Roman" w:hAnsi="Times New Roman" w:eastAsia="宋体" w:cs="Times New Roman"/>
                <w:color w:val="auto"/>
                <w:position w:val="15"/>
                <w:sz w:val="24"/>
                <w:highlight w:val="none"/>
                <w:u w:val="single" w:color="auto"/>
              </w:rPr>
              <w:t>企业</w:t>
            </w:r>
            <w:r>
              <w:rPr>
                <w:rFonts w:hint="eastAsia" w:cs="Times New Roman"/>
                <w:color w:val="auto"/>
                <w:position w:val="15"/>
                <w:sz w:val="24"/>
                <w:highlight w:val="none"/>
                <w:u w:val="single" w:color="auto"/>
                <w:lang w:eastAsia="zh-CN"/>
              </w:rPr>
              <w:t>租用双河镇村工业用地建设粮食烘干项目，该项目于</w:t>
            </w:r>
            <w:r>
              <w:rPr>
                <w:rFonts w:hint="eastAsia" w:cs="Times New Roman"/>
                <w:color w:val="auto"/>
                <w:position w:val="15"/>
                <w:sz w:val="24"/>
                <w:highlight w:val="none"/>
                <w:u w:val="single" w:color="auto"/>
                <w:lang w:val="en-US" w:eastAsia="zh-CN"/>
              </w:rPr>
              <w:t>2022年开工建设，目前已建成</w:t>
            </w:r>
            <w:r>
              <w:rPr>
                <w:rFonts w:hint="eastAsia" w:cs="Times New Roman"/>
                <w:color w:val="auto"/>
                <w:position w:val="15"/>
                <w:sz w:val="24"/>
                <w:highlight w:val="none"/>
                <w:u w:val="single" w:color="auto"/>
                <w:lang w:eastAsia="zh-CN"/>
              </w:rPr>
              <w:t>烘干塔、热风炉及布袋除尘器、烟囱、圆筒筛等</w:t>
            </w:r>
            <w:r>
              <w:rPr>
                <w:rFonts w:hint="eastAsia" w:ascii="Times New Roman" w:hAnsi="Times New Roman" w:cs="Times New Roman"/>
                <w:color w:val="auto"/>
                <w:position w:val="15"/>
                <w:sz w:val="24"/>
                <w:highlight w:val="none"/>
                <w:u w:val="single" w:color="auto"/>
                <w:lang w:val="en-US" w:eastAsia="zh-CN"/>
              </w:rPr>
              <w:t>，</w:t>
            </w:r>
            <w:r>
              <w:rPr>
                <w:rFonts w:hint="eastAsia" w:cs="Times New Roman"/>
                <w:color w:val="auto"/>
                <w:position w:val="15"/>
                <w:sz w:val="24"/>
                <w:highlight w:val="none"/>
                <w:u w:val="single" w:color="auto"/>
                <w:lang w:val="en-US" w:eastAsia="zh-CN"/>
              </w:rPr>
              <w:t>属于未批先建，项目开工建设至今未进行生产，无信访情况发生。</w:t>
            </w:r>
          </w:p>
          <w:p w14:paraId="013149EA">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single" w:color="auto"/>
              </w:rPr>
            </w:pPr>
            <w:r>
              <w:rPr>
                <w:rFonts w:hint="eastAsia" w:ascii="Times New Roman" w:hAnsi="Times New Roman" w:eastAsia="宋体" w:cs="Times New Roman"/>
                <w:color w:val="auto"/>
                <w:position w:val="15"/>
                <w:sz w:val="24"/>
                <w:highlight w:val="none"/>
                <w:u w:val="single" w:color="auto"/>
              </w:rPr>
              <w:t>由于项目建成之后一直未生产，且及时纠正违法行为，没有造成危害后果</w:t>
            </w:r>
            <w:r>
              <w:rPr>
                <w:rFonts w:hint="eastAsia" w:cs="Times New Roman"/>
                <w:color w:val="auto"/>
                <w:position w:val="15"/>
                <w:sz w:val="24"/>
                <w:highlight w:val="none"/>
                <w:u w:val="single" w:color="auto"/>
                <w:lang w:eastAsia="zh-CN"/>
              </w:rPr>
              <w:t>。吉林市生态环境局依据</w:t>
            </w:r>
            <w:r>
              <w:rPr>
                <w:rFonts w:hint="eastAsia" w:ascii="Times New Roman" w:hAnsi="Times New Roman" w:eastAsia="宋体" w:cs="Times New Roman"/>
                <w:color w:val="auto"/>
                <w:position w:val="15"/>
                <w:sz w:val="24"/>
                <w:highlight w:val="none"/>
                <w:u w:val="single" w:color="auto"/>
              </w:rPr>
              <w:t>《中华人民共和国行政处罚法》</w:t>
            </w:r>
            <w:r>
              <w:rPr>
                <w:rFonts w:hint="eastAsia" w:cs="Times New Roman"/>
                <w:color w:val="auto"/>
                <w:position w:val="15"/>
                <w:sz w:val="24"/>
                <w:highlight w:val="none"/>
                <w:u w:val="single" w:color="auto"/>
                <w:lang w:eastAsia="zh-CN"/>
              </w:rPr>
              <w:t>、《生态环境行政处罚办法》，</w:t>
            </w:r>
            <w:r>
              <w:rPr>
                <w:rFonts w:hint="eastAsia" w:ascii="Times New Roman" w:hAnsi="Times New Roman" w:eastAsia="宋体" w:cs="Times New Roman"/>
                <w:color w:val="auto"/>
                <w:position w:val="15"/>
                <w:sz w:val="24"/>
                <w:highlight w:val="none"/>
                <w:u w:val="single" w:color="auto"/>
              </w:rPr>
              <w:t>决定对该</w:t>
            </w:r>
            <w:r>
              <w:rPr>
                <w:rFonts w:hint="eastAsia" w:cs="Times New Roman"/>
                <w:color w:val="auto"/>
                <w:position w:val="15"/>
                <w:sz w:val="24"/>
                <w:highlight w:val="none"/>
                <w:u w:val="single" w:color="auto"/>
                <w:lang w:eastAsia="zh-CN"/>
              </w:rPr>
              <w:t>企业</w:t>
            </w:r>
            <w:r>
              <w:rPr>
                <w:rFonts w:hint="eastAsia" w:ascii="Times New Roman" w:hAnsi="Times New Roman" w:eastAsia="宋体" w:cs="Times New Roman"/>
                <w:color w:val="auto"/>
                <w:position w:val="15"/>
                <w:sz w:val="24"/>
                <w:highlight w:val="none"/>
                <w:u w:val="single" w:color="auto"/>
              </w:rPr>
              <w:t>存在的违法行为不予行政处罚。</w:t>
            </w:r>
          </w:p>
          <w:p w14:paraId="70783619">
            <w:pPr>
              <w:adjustRightInd w:val="0"/>
              <w:snapToGrid w:val="0"/>
              <w:spacing w:line="360" w:lineRule="auto"/>
              <w:ind w:firstLine="480" w:firstLineChars="200"/>
              <w:rPr>
                <w:rFonts w:hint="eastAsia"/>
                <w:color w:val="auto"/>
                <w:position w:val="15"/>
                <w:sz w:val="24"/>
                <w:highlight w:val="none"/>
                <w:u w:val="none" w:color="auto"/>
              </w:rPr>
            </w:pPr>
            <w:r>
              <w:rPr>
                <w:rFonts w:hint="eastAsia"/>
                <w:color w:val="auto"/>
                <w:position w:val="15"/>
                <w:sz w:val="24"/>
                <w:highlight w:val="none"/>
                <w:u w:val="single" w:color="auto"/>
                <w:lang w:eastAsia="zh-CN"/>
              </w:rPr>
              <w:t>该企业</w:t>
            </w:r>
            <w:r>
              <w:rPr>
                <w:rFonts w:hint="eastAsia"/>
                <w:color w:val="auto"/>
                <w:position w:val="15"/>
                <w:sz w:val="24"/>
                <w:highlight w:val="none"/>
                <w:u w:val="single" w:color="auto"/>
              </w:rPr>
              <w:t>不存在原有环境污染问题。</w:t>
            </w:r>
          </w:p>
        </w:tc>
      </w:tr>
    </w:tbl>
    <w:p w14:paraId="1DBC3273">
      <w:pPr>
        <w:pStyle w:val="24"/>
        <w:jc w:val="center"/>
        <w:rPr>
          <w:rFonts w:ascii="黑体" w:hAnsi="黑体" w:eastAsia="黑体"/>
          <w:snapToGrid w:val="0"/>
          <w:color w:val="auto"/>
          <w:sz w:val="36"/>
          <w:szCs w:val="36"/>
          <w:highlight w:val="none"/>
          <w:u w:val="none" w:color="auto"/>
        </w:rPr>
        <w:sectPr>
          <w:pgSz w:w="11906" w:h="16838"/>
          <w:pgMar w:top="1701" w:right="1531" w:bottom="170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394EE27A">
      <w:pPr>
        <w:pStyle w:val="24"/>
        <w:jc w:val="center"/>
        <w:outlineLvl w:val="0"/>
        <w:rPr>
          <w:rFonts w:ascii="黑体" w:hAnsi="黑体" w:eastAsia="黑体"/>
          <w:snapToGrid w:val="0"/>
          <w:color w:val="auto"/>
          <w:sz w:val="30"/>
          <w:szCs w:val="30"/>
          <w:highlight w:val="none"/>
          <w:u w:val="none" w:color="auto"/>
        </w:rPr>
      </w:pPr>
      <w:r>
        <w:rPr>
          <w:rFonts w:hint="eastAsia" w:ascii="黑体" w:hAnsi="黑体" w:eastAsia="黑体"/>
          <w:snapToGrid w:val="0"/>
          <w:color w:val="auto"/>
          <w:sz w:val="30"/>
          <w:szCs w:val="30"/>
          <w:highlight w:val="none"/>
          <w:u w:val="none" w:color="auto"/>
        </w:rPr>
        <w:t>三、区域环境质量现状、环境保护目标及评价标准</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8006"/>
      </w:tblGrid>
      <w:tr w14:paraId="26FD72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86" w:hRule="atLeast"/>
          <w:jc w:val="center"/>
        </w:trPr>
        <w:tc>
          <w:tcPr>
            <w:tcW w:w="1055" w:type="dxa"/>
            <w:vAlign w:val="center"/>
          </w:tcPr>
          <w:p w14:paraId="66DB3B13">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区域</w:t>
            </w:r>
          </w:p>
          <w:p w14:paraId="5852867F">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环境</w:t>
            </w:r>
          </w:p>
          <w:p w14:paraId="470BCECA">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质量</w:t>
            </w:r>
          </w:p>
          <w:p w14:paraId="4E99DCC0">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现状</w:t>
            </w:r>
          </w:p>
        </w:tc>
        <w:tc>
          <w:tcPr>
            <w:tcW w:w="8006" w:type="dxa"/>
            <w:vAlign w:val="center"/>
          </w:tcPr>
          <w:p w14:paraId="3BD0D925">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rPr>
            </w:pPr>
            <w:r>
              <w:rPr>
                <w:rFonts w:hint="eastAsia" w:cs="Times New Roman"/>
                <w:b/>
                <w:bCs/>
                <w:color w:val="auto"/>
                <w:spacing w:val="0"/>
                <w:kern w:val="21"/>
                <w:sz w:val="24"/>
                <w:szCs w:val="24"/>
                <w:highlight w:val="none"/>
                <w:u w:val="none" w:color="auto"/>
                <w:lang w:val="en-US" w:eastAsia="zh-CN"/>
              </w:rPr>
              <w:t>3.1</w:t>
            </w:r>
            <w:r>
              <w:rPr>
                <w:rFonts w:hint="default" w:ascii="Times New Roman" w:hAnsi="Times New Roman" w:eastAsia="宋体" w:cs="Times New Roman"/>
                <w:b/>
                <w:bCs/>
                <w:color w:val="auto"/>
                <w:spacing w:val="0"/>
                <w:kern w:val="21"/>
                <w:sz w:val="24"/>
                <w:szCs w:val="24"/>
                <w:highlight w:val="none"/>
                <w:u w:val="none" w:color="auto"/>
                <w:lang w:val="en-US" w:eastAsia="zh-CN"/>
              </w:rPr>
              <w:t>大气环境</w:t>
            </w:r>
          </w:p>
          <w:p w14:paraId="6809EBF3">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rPr>
            </w:pPr>
            <w:r>
              <w:rPr>
                <w:rFonts w:hint="eastAsia" w:cs="Times New Roman"/>
                <w:color w:val="auto"/>
                <w:spacing w:val="0"/>
                <w:kern w:val="21"/>
                <w:sz w:val="24"/>
                <w:szCs w:val="24"/>
                <w:highlight w:val="none"/>
                <w:u w:val="none" w:color="auto"/>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1.1空气质量达标区判定</w:t>
            </w:r>
          </w:p>
          <w:p w14:paraId="5BF3023E">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rPr>
            </w:pPr>
            <w:r>
              <w:rPr>
                <w:rFonts w:hint="default" w:ascii="Times New Roman" w:hAnsi="Times New Roman" w:eastAsia="宋体" w:cs="Times New Roman"/>
                <w:color w:val="auto"/>
                <w:spacing w:val="0"/>
                <w:kern w:val="21"/>
                <w:sz w:val="24"/>
                <w:szCs w:val="24"/>
                <w:highlight w:val="none"/>
                <w:u w:val="none" w:color="auto"/>
                <w:lang w:val="en-US" w:eastAsia="zh-CN"/>
              </w:rPr>
              <w:t>按《环境影响评价技术导则 大气环境》（HJ2.2-2018）要求，城市环境空气质量达标情况评价指标为SO</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2</w:t>
            </w:r>
            <w:r>
              <w:rPr>
                <w:rFonts w:hint="default" w:ascii="Times New Roman" w:hAnsi="Times New Roman" w:eastAsia="宋体" w:cs="Times New Roman"/>
                <w:color w:val="auto"/>
                <w:spacing w:val="0"/>
                <w:kern w:val="21"/>
                <w:sz w:val="24"/>
                <w:szCs w:val="24"/>
                <w:highlight w:val="none"/>
                <w:u w:val="none" w:color="auto"/>
                <w:lang w:val="en-US" w:eastAsia="zh-CN"/>
              </w:rPr>
              <w:t>、NO</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2</w:t>
            </w:r>
            <w:r>
              <w:rPr>
                <w:rFonts w:hint="default" w:ascii="Times New Roman" w:hAnsi="Times New Roman" w:eastAsia="宋体" w:cs="Times New Roman"/>
                <w:color w:val="auto"/>
                <w:spacing w:val="0"/>
                <w:kern w:val="21"/>
                <w:sz w:val="24"/>
                <w:szCs w:val="24"/>
                <w:highlight w:val="none"/>
                <w:u w:val="none" w:color="auto"/>
                <w:lang w:val="en-US" w:eastAsia="zh-CN"/>
              </w:rPr>
              <w:t>、PM</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10</w:t>
            </w:r>
            <w:r>
              <w:rPr>
                <w:rFonts w:hint="default" w:ascii="Times New Roman" w:hAnsi="Times New Roman" w:eastAsia="宋体" w:cs="Times New Roman"/>
                <w:color w:val="auto"/>
                <w:spacing w:val="0"/>
                <w:kern w:val="21"/>
                <w:sz w:val="24"/>
                <w:szCs w:val="24"/>
                <w:highlight w:val="none"/>
                <w:u w:val="none" w:color="auto"/>
                <w:lang w:val="en-US" w:eastAsia="zh-CN"/>
              </w:rPr>
              <w:t>、PM</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2.5</w:t>
            </w:r>
            <w:r>
              <w:rPr>
                <w:rFonts w:hint="default" w:ascii="Times New Roman" w:hAnsi="Times New Roman" w:eastAsia="宋体" w:cs="Times New Roman"/>
                <w:color w:val="auto"/>
                <w:spacing w:val="0"/>
                <w:kern w:val="21"/>
                <w:sz w:val="24"/>
                <w:szCs w:val="24"/>
                <w:highlight w:val="none"/>
                <w:u w:val="none" w:color="auto"/>
                <w:lang w:val="en-US" w:eastAsia="zh-CN"/>
              </w:rPr>
              <w:t>、CO和O</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，六项污染物全部达标即为城市环境空气质量达标。项目所在区域达标判定优先采用国家或地方生态环境主管部门公开公布的评价基准年环境质量公告或环境质量报告中的数据或结论。本次采用《吉林省202</w:t>
            </w:r>
            <w:r>
              <w:rPr>
                <w:rFonts w:hint="eastAsia" w:cs="Times New Roman"/>
                <w:color w:val="auto"/>
                <w:spacing w:val="0"/>
                <w:kern w:val="21"/>
                <w:sz w:val="24"/>
                <w:szCs w:val="24"/>
                <w:highlight w:val="none"/>
                <w:u w:val="none" w:color="auto"/>
                <w:lang w:val="en-US" w:eastAsia="zh-CN"/>
              </w:rPr>
              <w:t>4</w:t>
            </w:r>
            <w:r>
              <w:rPr>
                <w:rFonts w:hint="default" w:ascii="Times New Roman" w:hAnsi="Times New Roman" w:eastAsia="宋体" w:cs="Times New Roman"/>
                <w:color w:val="auto"/>
                <w:spacing w:val="0"/>
                <w:kern w:val="21"/>
                <w:sz w:val="24"/>
                <w:szCs w:val="24"/>
                <w:highlight w:val="none"/>
                <w:u w:val="none" w:color="auto"/>
                <w:lang w:val="en-US" w:eastAsia="zh-CN"/>
              </w:rPr>
              <w:t>年环境状况公报》监测数据</w:t>
            </w:r>
            <w:r>
              <w:rPr>
                <w:rFonts w:hint="eastAsia" w:ascii="Times New Roman" w:hAnsi="Times New Roman" w:eastAsia="宋体" w:cs="Times New Roman"/>
                <w:color w:val="auto"/>
                <w:spacing w:val="0"/>
                <w:kern w:val="21"/>
                <w:sz w:val="24"/>
                <w:szCs w:val="24"/>
                <w:highlight w:val="none"/>
                <w:u w:val="none" w:color="auto"/>
                <w:lang w:val="en-US" w:eastAsia="zh-CN"/>
              </w:rPr>
              <w:t>，见下表。</w:t>
            </w:r>
          </w:p>
          <w:p w14:paraId="060932D2">
            <w:pPr>
              <w:pStyle w:val="61"/>
              <w:widowControl/>
              <w:spacing w:beforeLines="0" w:afterLines="0" w:line="560" w:lineRule="exact"/>
              <w:ind w:firstLine="0" w:firstLineChars="0"/>
              <w:jc w:val="center"/>
              <w:rPr>
                <w:rFonts w:hint="eastAsia" w:ascii="Times New Roman" w:hAnsi="Times New Roman" w:eastAsia="宋体" w:cs="Times New Roman"/>
                <w:b/>
                <w:color w:val="auto"/>
                <w:sz w:val="24"/>
                <w:szCs w:val="24"/>
                <w:highlight w:val="none"/>
                <w:u w:val="none" w:color="auto"/>
              </w:rPr>
            </w:pPr>
            <w:r>
              <w:rPr>
                <w:rFonts w:hint="eastAsia" w:ascii="Times New Roman" w:hAnsi="Times New Roman" w:eastAsia="宋体" w:cs="Times New Roman"/>
                <w:b/>
                <w:color w:val="auto"/>
                <w:sz w:val="24"/>
                <w:szCs w:val="24"/>
                <w:highlight w:val="none"/>
                <w:u w:val="none" w:color="auto"/>
              </w:rPr>
              <w:t>表</w:t>
            </w:r>
            <w:r>
              <w:rPr>
                <w:rFonts w:hint="default" w:ascii="Times New Roman" w:hAnsi="Times New Roman" w:eastAsia="宋体" w:cs="Times New Roman"/>
                <w:b/>
                <w:color w:val="auto"/>
                <w:sz w:val="24"/>
                <w:szCs w:val="24"/>
                <w:highlight w:val="none"/>
                <w:u w:val="none" w:color="auto"/>
              </w:rPr>
              <w:t>3-1  202</w:t>
            </w:r>
            <w:r>
              <w:rPr>
                <w:rFonts w:hint="eastAsia" w:cs="Times New Roman"/>
                <w:b/>
                <w:color w:val="auto"/>
                <w:sz w:val="24"/>
                <w:szCs w:val="24"/>
                <w:highlight w:val="none"/>
                <w:u w:val="none" w:color="auto"/>
                <w:lang w:val="en-US" w:eastAsia="zh-CN"/>
              </w:rPr>
              <w:t>4</w:t>
            </w:r>
            <w:r>
              <w:rPr>
                <w:rFonts w:hint="eastAsia" w:ascii="Times New Roman" w:hAnsi="Times New Roman" w:eastAsia="宋体" w:cs="Times New Roman"/>
                <w:b/>
                <w:color w:val="auto"/>
                <w:sz w:val="24"/>
                <w:szCs w:val="24"/>
                <w:highlight w:val="none"/>
                <w:u w:val="none" w:color="auto"/>
              </w:rPr>
              <w:t>年吉林市环境空气质量现状评价表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4"/>
              <w:gridCol w:w="1787"/>
              <w:gridCol w:w="1217"/>
              <w:gridCol w:w="1428"/>
              <w:gridCol w:w="1019"/>
              <w:gridCol w:w="1102"/>
            </w:tblGrid>
            <w:tr w14:paraId="4274BC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792" w:type="pct"/>
                  <w:tcBorders>
                    <w:tl2br w:val="nil"/>
                    <w:tr2bl w:val="nil"/>
                  </w:tcBorders>
                  <w:noWrap w:val="0"/>
                  <w:vAlign w:val="center"/>
                </w:tcPr>
                <w:p w14:paraId="521FEACE">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评价指标</w:t>
                  </w:r>
                </w:p>
              </w:tc>
              <w:tc>
                <w:tcPr>
                  <w:tcW w:w="1147" w:type="pct"/>
                  <w:tcBorders>
                    <w:tl2br w:val="nil"/>
                    <w:tr2bl w:val="nil"/>
                  </w:tcBorders>
                  <w:noWrap w:val="0"/>
                  <w:vAlign w:val="center"/>
                </w:tcPr>
                <w:p w14:paraId="1DB4728B">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年评价指标</w:t>
                  </w:r>
                </w:p>
              </w:tc>
              <w:tc>
                <w:tcPr>
                  <w:tcW w:w="781" w:type="pct"/>
                  <w:tcBorders>
                    <w:tl2br w:val="nil"/>
                    <w:tr2bl w:val="nil"/>
                  </w:tcBorders>
                  <w:noWrap w:val="0"/>
                  <w:vAlign w:val="center"/>
                </w:tcPr>
                <w:p w14:paraId="5154D7EA">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现状浓度/（μg/m</w:t>
                  </w:r>
                  <w:r>
                    <w:rPr>
                      <w:rFonts w:hint="default" w:ascii="Times New Roman" w:hAnsi="Times New Roman" w:cs="Times New Roman"/>
                      <w:color w:val="auto"/>
                      <w:sz w:val="21"/>
                      <w:szCs w:val="21"/>
                      <w:highlight w:val="none"/>
                      <w:u w:val="none" w:color="auto"/>
                      <w:vertAlign w:val="superscript"/>
                    </w:rPr>
                    <w:t>3</w:t>
                  </w:r>
                  <w:r>
                    <w:rPr>
                      <w:rFonts w:hint="default" w:ascii="Times New Roman" w:hAnsi="Times New Roman" w:cs="Times New Roman"/>
                      <w:color w:val="auto"/>
                      <w:sz w:val="21"/>
                      <w:szCs w:val="21"/>
                      <w:highlight w:val="none"/>
                      <w:u w:val="none" w:color="auto"/>
                    </w:rPr>
                    <w:t>）</w:t>
                  </w:r>
                </w:p>
              </w:tc>
              <w:tc>
                <w:tcPr>
                  <w:tcW w:w="917" w:type="pct"/>
                  <w:tcBorders>
                    <w:tl2br w:val="nil"/>
                    <w:tr2bl w:val="nil"/>
                  </w:tcBorders>
                  <w:noWrap w:val="0"/>
                  <w:vAlign w:val="center"/>
                </w:tcPr>
                <w:p w14:paraId="6A908EB1">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标准值/（μg/m</w:t>
                  </w:r>
                  <w:r>
                    <w:rPr>
                      <w:rFonts w:hint="default" w:ascii="Times New Roman" w:hAnsi="Times New Roman" w:cs="Times New Roman"/>
                      <w:color w:val="auto"/>
                      <w:sz w:val="21"/>
                      <w:szCs w:val="21"/>
                      <w:highlight w:val="none"/>
                      <w:u w:val="none" w:color="auto"/>
                      <w:vertAlign w:val="superscript"/>
                    </w:rPr>
                    <w:t>3</w:t>
                  </w:r>
                  <w:r>
                    <w:rPr>
                      <w:rFonts w:hint="default" w:ascii="Times New Roman" w:hAnsi="Times New Roman" w:cs="Times New Roman"/>
                      <w:color w:val="auto"/>
                      <w:sz w:val="21"/>
                      <w:szCs w:val="21"/>
                      <w:highlight w:val="none"/>
                      <w:u w:val="none" w:color="auto"/>
                    </w:rPr>
                    <w:t>）</w:t>
                  </w:r>
                </w:p>
              </w:tc>
              <w:tc>
                <w:tcPr>
                  <w:tcW w:w="654" w:type="pct"/>
                  <w:tcBorders>
                    <w:tl2br w:val="nil"/>
                    <w:tr2bl w:val="nil"/>
                  </w:tcBorders>
                  <w:noWrap w:val="0"/>
                  <w:vAlign w:val="center"/>
                </w:tcPr>
                <w:p w14:paraId="6EBCF5B9">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占标率/%</w:t>
                  </w:r>
                </w:p>
              </w:tc>
              <w:tc>
                <w:tcPr>
                  <w:tcW w:w="707" w:type="pct"/>
                  <w:tcBorders>
                    <w:tl2br w:val="nil"/>
                    <w:tr2bl w:val="nil"/>
                  </w:tcBorders>
                  <w:noWrap w:val="0"/>
                  <w:vAlign w:val="center"/>
                </w:tcPr>
                <w:p w14:paraId="17B7EBED">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达标情况</w:t>
                  </w:r>
                </w:p>
              </w:tc>
            </w:tr>
            <w:tr w14:paraId="7E644C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92" w:type="pct"/>
                  <w:tcBorders>
                    <w:tl2br w:val="nil"/>
                    <w:tr2bl w:val="nil"/>
                  </w:tcBorders>
                  <w:noWrap w:val="0"/>
                  <w:vAlign w:val="center"/>
                </w:tcPr>
                <w:p w14:paraId="7F13E358">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SO</w:t>
                  </w:r>
                  <w:r>
                    <w:rPr>
                      <w:rFonts w:hint="default" w:ascii="Times New Roman" w:hAnsi="Times New Roman" w:cs="Times New Roman"/>
                      <w:color w:val="auto"/>
                      <w:sz w:val="21"/>
                      <w:szCs w:val="21"/>
                      <w:highlight w:val="none"/>
                      <w:u w:val="none" w:color="auto"/>
                      <w:vertAlign w:val="subscript"/>
                    </w:rPr>
                    <w:t>2</w:t>
                  </w:r>
                </w:p>
              </w:tc>
              <w:tc>
                <w:tcPr>
                  <w:tcW w:w="1147" w:type="pct"/>
                  <w:tcBorders>
                    <w:tl2br w:val="nil"/>
                    <w:tr2bl w:val="nil"/>
                  </w:tcBorders>
                  <w:noWrap w:val="0"/>
                  <w:vAlign w:val="center"/>
                </w:tcPr>
                <w:p w14:paraId="5094A3C7">
                  <w:pPr>
                    <w:pStyle w:val="63"/>
                    <w:spacing w:beforeLines="0" w:afterLines="0"/>
                    <w:rPr>
                      <w:rFonts w:hint="eastAsia" w:ascii="Times New Roman" w:hAnsi="Times New Roman" w:cs="Times New Roman"/>
                      <w:color w:val="auto"/>
                      <w:sz w:val="21"/>
                      <w:szCs w:val="21"/>
                      <w:highlight w:val="none"/>
                      <w:u w:val="none" w:color="auto"/>
                      <w:lang w:val="en-US" w:eastAsia="zh-CN"/>
                    </w:rPr>
                  </w:pPr>
                  <w:r>
                    <w:rPr>
                      <w:rFonts w:hint="eastAsia" w:ascii="Times New Roman" w:hAnsi="Times New Roman" w:cs="Times New Roman"/>
                      <w:color w:val="auto"/>
                      <w:sz w:val="21"/>
                      <w:szCs w:val="21"/>
                      <w:highlight w:val="none"/>
                      <w:u w:val="none" w:color="auto"/>
                      <w:lang w:val="en-US" w:eastAsia="zh-CN"/>
                    </w:rPr>
                    <w:t>年平均质量浓度</w:t>
                  </w:r>
                </w:p>
              </w:tc>
              <w:tc>
                <w:tcPr>
                  <w:tcW w:w="781" w:type="pct"/>
                  <w:tcBorders>
                    <w:tl2br w:val="nil"/>
                    <w:tr2bl w:val="nil"/>
                  </w:tcBorders>
                  <w:noWrap w:val="0"/>
                  <w:vAlign w:val="center"/>
                </w:tcPr>
                <w:p w14:paraId="2F64A477">
                  <w:pPr>
                    <w:pStyle w:val="63"/>
                    <w:spacing w:beforeLines="0" w:afterLines="0"/>
                    <w:rPr>
                      <w:rFonts w:hint="eastAsia" w:ascii="Times New Roman" w:hAnsi="Times New Roman" w:eastAsia="宋体" w:cs="Times New Roman"/>
                      <w:color w:val="auto"/>
                      <w:sz w:val="21"/>
                      <w:szCs w:val="21"/>
                      <w:highlight w:val="none"/>
                      <w:u w:val="none" w:color="auto"/>
                      <w:lang w:eastAsia="zh-CN"/>
                    </w:rPr>
                  </w:pPr>
                  <w:r>
                    <w:rPr>
                      <w:rFonts w:hint="eastAsia" w:ascii="Times New Roman" w:hAnsi="Times New Roman" w:cs="Times New Roman"/>
                      <w:color w:val="auto"/>
                      <w:sz w:val="21"/>
                      <w:szCs w:val="21"/>
                      <w:highlight w:val="none"/>
                      <w:u w:val="none" w:color="auto"/>
                      <w:lang w:val="en-US" w:eastAsia="zh-CN"/>
                    </w:rPr>
                    <w:t>9</w:t>
                  </w:r>
                </w:p>
              </w:tc>
              <w:tc>
                <w:tcPr>
                  <w:tcW w:w="917" w:type="pct"/>
                  <w:tcBorders>
                    <w:tl2br w:val="nil"/>
                    <w:tr2bl w:val="nil"/>
                  </w:tcBorders>
                  <w:noWrap w:val="0"/>
                  <w:vAlign w:val="center"/>
                </w:tcPr>
                <w:p w14:paraId="68BEA372">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60</w:t>
                  </w:r>
                </w:p>
              </w:tc>
              <w:tc>
                <w:tcPr>
                  <w:tcW w:w="654" w:type="pct"/>
                  <w:tcBorders>
                    <w:tl2br w:val="nil"/>
                    <w:tr2bl w:val="nil"/>
                  </w:tcBorders>
                  <w:noWrap w:val="0"/>
                  <w:vAlign w:val="center"/>
                </w:tcPr>
                <w:p w14:paraId="12575792">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15.0</w:t>
                  </w:r>
                </w:p>
              </w:tc>
              <w:tc>
                <w:tcPr>
                  <w:tcW w:w="707" w:type="pct"/>
                  <w:tcBorders>
                    <w:tl2br w:val="nil"/>
                    <w:tr2bl w:val="nil"/>
                  </w:tcBorders>
                  <w:noWrap w:val="0"/>
                  <w:vAlign w:val="center"/>
                </w:tcPr>
                <w:p w14:paraId="7F627369">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达标</w:t>
                  </w:r>
                </w:p>
              </w:tc>
            </w:tr>
            <w:tr w14:paraId="6499C1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92" w:type="pct"/>
                  <w:tcBorders>
                    <w:tl2br w:val="nil"/>
                    <w:tr2bl w:val="nil"/>
                  </w:tcBorders>
                  <w:noWrap w:val="0"/>
                  <w:vAlign w:val="center"/>
                </w:tcPr>
                <w:p w14:paraId="1F26D946">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NO</w:t>
                  </w:r>
                  <w:r>
                    <w:rPr>
                      <w:rFonts w:hint="default" w:ascii="Times New Roman" w:hAnsi="Times New Roman" w:cs="Times New Roman"/>
                      <w:color w:val="auto"/>
                      <w:sz w:val="21"/>
                      <w:szCs w:val="21"/>
                      <w:highlight w:val="none"/>
                      <w:u w:val="none" w:color="auto"/>
                      <w:vertAlign w:val="subscript"/>
                    </w:rPr>
                    <w:t>2</w:t>
                  </w:r>
                </w:p>
              </w:tc>
              <w:tc>
                <w:tcPr>
                  <w:tcW w:w="1147" w:type="pct"/>
                  <w:tcBorders>
                    <w:tl2br w:val="nil"/>
                    <w:tr2bl w:val="nil"/>
                  </w:tcBorders>
                  <w:noWrap w:val="0"/>
                  <w:vAlign w:val="center"/>
                </w:tcPr>
                <w:p w14:paraId="3F8B90AE">
                  <w:pPr>
                    <w:pStyle w:val="63"/>
                    <w:spacing w:beforeLines="0" w:afterLines="0"/>
                    <w:rPr>
                      <w:rFonts w:hint="eastAsia" w:ascii="Times New Roman" w:hAnsi="Times New Roman" w:cs="Times New Roman"/>
                      <w:color w:val="auto"/>
                      <w:sz w:val="21"/>
                      <w:szCs w:val="21"/>
                      <w:highlight w:val="none"/>
                      <w:u w:val="none" w:color="auto"/>
                      <w:lang w:val="en-US" w:eastAsia="zh-CN"/>
                    </w:rPr>
                  </w:pPr>
                  <w:r>
                    <w:rPr>
                      <w:rFonts w:hint="eastAsia" w:ascii="Times New Roman" w:hAnsi="Times New Roman" w:cs="Times New Roman"/>
                      <w:color w:val="auto"/>
                      <w:sz w:val="21"/>
                      <w:szCs w:val="21"/>
                      <w:highlight w:val="none"/>
                      <w:u w:val="none" w:color="auto"/>
                      <w:lang w:val="en-US" w:eastAsia="zh-CN"/>
                    </w:rPr>
                    <w:t>年平均质量浓度</w:t>
                  </w:r>
                </w:p>
              </w:tc>
              <w:tc>
                <w:tcPr>
                  <w:tcW w:w="781" w:type="pct"/>
                  <w:tcBorders>
                    <w:tl2br w:val="nil"/>
                    <w:tr2bl w:val="nil"/>
                  </w:tcBorders>
                  <w:noWrap w:val="0"/>
                  <w:vAlign w:val="center"/>
                </w:tcPr>
                <w:p w14:paraId="7F6CAA9B">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22</w:t>
                  </w:r>
                </w:p>
              </w:tc>
              <w:tc>
                <w:tcPr>
                  <w:tcW w:w="917" w:type="pct"/>
                  <w:tcBorders>
                    <w:tl2br w:val="nil"/>
                    <w:tr2bl w:val="nil"/>
                  </w:tcBorders>
                  <w:noWrap w:val="0"/>
                  <w:vAlign w:val="center"/>
                </w:tcPr>
                <w:p w14:paraId="74F003DF">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40</w:t>
                  </w:r>
                </w:p>
              </w:tc>
              <w:tc>
                <w:tcPr>
                  <w:tcW w:w="654" w:type="pct"/>
                  <w:tcBorders>
                    <w:tl2br w:val="nil"/>
                    <w:tr2bl w:val="nil"/>
                  </w:tcBorders>
                  <w:noWrap w:val="0"/>
                  <w:vAlign w:val="center"/>
                </w:tcPr>
                <w:p w14:paraId="33133958">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eastAsia="宋体" w:cs="Times New Roman"/>
                      <w:color w:val="auto"/>
                      <w:sz w:val="21"/>
                      <w:szCs w:val="21"/>
                      <w:highlight w:val="none"/>
                      <w:u w:val="none" w:color="auto"/>
                      <w:lang w:val="en-US" w:eastAsia="zh-CN"/>
                    </w:rPr>
                    <w:t>5</w:t>
                  </w:r>
                  <w:r>
                    <w:rPr>
                      <w:rFonts w:hint="eastAsia" w:cs="Times New Roman"/>
                      <w:color w:val="auto"/>
                      <w:sz w:val="21"/>
                      <w:szCs w:val="21"/>
                      <w:highlight w:val="none"/>
                      <w:u w:val="none" w:color="auto"/>
                      <w:lang w:val="en-US" w:eastAsia="zh-CN"/>
                    </w:rPr>
                    <w:t>5</w:t>
                  </w:r>
                </w:p>
              </w:tc>
              <w:tc>
                <w:tcPr>
                  <w:tcW w:w="707" w:type="pct"/>
                  <w:tcBorders>
                    <w:tl2br w:val="nil"/>
                    <w:tr2bl w:val="nil"/>
                  </w:tcBorders>
                  <w:noWrap w:val="0"/>
                  <w:vAlign w:val="center"/>
                </w:tcPr>
                <w:p w14:paraId="2AF46B83">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达标</w:t>
                  </w:r>
                </w:p>
              </w:tc>
            </w:tr>
            <w:tr w14:paraId="4B5E9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92" w:type="pct"/>
                  <w:tcBorders>
                    <w:tl2br w:val="nil"/>
                    <w:tr2bl w:val="nil"/>
                  </w:tcBorders>
                  <w:noWrap w:val="0"/>
                  <w:vAlign w:val="center"/>
                </w:tcPr>
                <w:p w14:paraId="74CB8C58">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CO-95per</w:t>
                  </w:r>
                </w:p>
              </w:tc>
              <w:tc>
                <w:tcPr>
                  <w:tcW w:w="1147" w:type="pct"/>
                  <w:tcBorders>
                    <w:tl2br w:val="nil"/>
                    <w:tr2bl w:val="nil"/>
                  </w:tcBorders>
                  <w:noWrap w:val="0"/>
                  <w:vAlign w:val="center"/>
                </w:tcPr>
                <w:p w14:paraId="500C9A2A">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24小时平均第95百分位数</w:t>
                  </w:r>
                </w:p>
              </w:tc>
              <w:tc>
                <w:tcPr>
                  <w:tcW w:w="781" w:type="pct"/>
                  <w:tcBorders>
                    <w:tl2br w:val="nil"/>
                    <w:tr2bl w:val="nil"/>
                  </w:tcBorders>
                  <w:noWrap w:val="0"/>
                  <w:vAlign w:val="center"/>
                </w:tcPr>
                <w:p w14:paraId="5214CBC2">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1200</w:t>
                  </w:r>
                </w:p>
              </w:tc>
              <w:tc>
                <w:tcPr>
                  <w:tcW w:w="917" w:type="pct"/>
                  <w:tcBorders>
                    <w:tl2br w:val="nil"/>
                    <w:tr2bl w:val="nil"/>
                  </w:tcBorders>
                  <w:noWrap w:val="0"/>
                  <w:vAlign w:val="center"/>
                </w:tcPr>
                <w:p w14:paraId="7CAE61EC">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4000</w:t>
                  </w:r>
                </w:p>
              </w:tc>
              <w:tc>
                <w:tcPr>
                  <w:tcW w:w="654" w:type="pct"/>
                  <w:tcBorders>
                    <w:tl2br w:val="nil"/>
                    <w:tr2bl w:val="nil"/>
                  </w:tcBorders>
                  <w:noWrap w:val="0"/>
                  <w:vAlign w:val="center"/>
                </w:tcPr>
                <w:p w14:paraId="000C23E0">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30</w:t>
                  </w:r>
                </w:p>
              </w:tc>
              <w:tc>
                <w:tcPr>
                  <w:tcW w:w="707" w:type="pct"/>
                  <w:tcBorders>
                    <w:tl2br w:val="nil"/>
                    <w:tr2bl w:val="nil"/>
                  </w:tcBorders>
                  <w:noWrap w:val="0"/>
                  <w:vAlign w:val="center"/>
                </w:tcPr>
                <w:p w14:paraId="49B48D37">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达标</w:t>
                  </w:r>
                </w:p>
              </w:tc>
            </w:tr>
            <w:tr w14:paraId="6D72C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92" w:type="pct"/>
                  <w:tcBorders>
                    <w:tl2br w:val="nil"/>
                    <w:tr2bl w:val="nil"/>
                  </w:tcBorders>
                  <w:noWrap w:val="0"/>
                  <w:vAlign w:val="center"/>
                </w:tcPr>
                <w:p w14:paraId="0A7D992F">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O</w:t>
                  </w:r>
                  <w:r>
                    <w:rPr>
                      <w:rFonts w:hint="default" w:ascii="Times New Roman" w:hAnsi="Times New Roman" w:cs="Times New Roman"/>
                      <w:color w:val="auto"/>
                      <w:sz w:val="21"/>
                      <w:szCs w:val="21"/>
                      <w:highlight w:val="none"/>
                      <w:u w:val="none" w:color="auto"/>
                      <w:vertAlign w:val="subscript"/>
                    </w:rPr>
                    <w:t>3-8h</w:t>
                  </w:r>
                  <w:r>
                    <w:rPr>
                      <w:rFonts w:hint="default" w:ascii="Times New Roman" w:hAnsi="Times New Roman" w:cs="Times New Roman"/>
                      <w:color w:val="auto"/>
                      <w:sz w:val="21"/>
                      <w:szCs w:val="21"/>
                      <w:highlight w:val="none"/>
                      <w:u w:val="none" w:color="auto"/>
                    </w:rPr>
                    <w:t>-90per</w:t>
                  </w:r>
                </w:p>
              </w:tc>
              <w:tc>
                <w:tcPr>
                  <w:tcW w:w="1147" w:type="pct"/>
                  <w:tcBorders>
                    <w:tl2br w:val="nil"/>
                    <w:tr2bl w:val="nil"/>
                  </w:tcBorders>
                  <w:noWrap w:val="0"/>
                  <w:vAlign w:val="center"/>
                </w:tcPr>
                <w:p w14:paraId="71F5BC64">
                  <w:pPr>
                    <w:pStyle w:val="63"/>
                    <w:spacing w:beforeLines="0" w:afterLines="0"/>
                    <w:rPr>
                      <w:rFonts w:hint="eastAsia" w:ascii="Times New Roman" w:hAnsi="Times New Roman" w:cs="Times New Roman"/>
                      <w:color w:val="auto"/>
                      <w:sz w:val="21"/>
                      <w:szCs w:val="21"/>
                      <w:highlight w:val="none"/>
                      <w:u w:val="none" w:color="auto"/>
                      <w:lang w:val="en-US" w:eastAsia="zh-CN"/>
                    </w:rPr>
                  </w:pPr>
                  <w:r>
                    <w:rPr>
                      <w:rFonts w:hint="eastAsia" w:ascii="Times New Roman" w:hAnsi="Times New Roman" w:cs="Times New Roman"/>
                      <w:color w:val="auto"/>
                      <w:sz w:val="21"/>
                      <w:szCs w:val="21"/>
                      <w:highlight w:val="none"/>
                      <w:u w:val="none" w:color="auto"/>
                      <w:lang w:val="en-US" w:eastAsia="zh-CN"/>
                    </w:rPr>
                    <w:t>日最大8小时平均第90百分位数</w:t>
                  </w:r>
                </w:p>
              </w:tc>
              <w:tc>
                <w:tcPr>
                  <w:tcW w:w="781" w:type="pct"/>
                  <w:tcBorders>
                    <w:tl2br w:val="nil"/>
                    <w:tr2bl w:val="nil"/>
                  </w:tcBorders>
                  <w:noWrap w:val="0"/>
                  <w:vAlign w:val="center"/>
                </w:tcPr>
                <w:p w14:paraId="36EF4E9C">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ascii="Times New Roman" w:hAnsi="Times New Roman" w:cs="Times New Roman"/>
                      <w:color w:val="auto"/>
                      <w:sz w:val="21"/>
                      <w:szCs w:val="21"/>
                      <w:highlight w:val="none"/>
                      <w:u w:val="none" w:color="auto"/>
                      <w:lang w:val="en-US" w:eastAsia="zh-CN"/>
                    </w:rPr>
                    <w:t>13</w:t>
                  </w:r>
                  <w:r>
                    <w:rPr>
                      <w:rFonts w:hint="eastAsia" w:cs="Times New Roman"/>
                      <w:color w:val="auto"/>
                      <w:sz w:val="21"/>
                      <w:szCs w:val="21"/>
                      <w:highlight w:val="none"/>
                      <w:u w:val="none" w:color="auto"/>
                      <w:lang w:val="en-US" w:eastAsia="zh-CN"/>
                    </w:rPr>
                    <w:t>5</w:t>
                  </w:r>
                </w:p>
              </w:tc>
              <w:tc>
                <w:tcPr>
                  <w:tcW w:w="917" w:type="pct"/>
                  <w:tcBorders>
                    <w:tl2br w:val="nil"/>
                    <w:tr2bl w:val="nil"/>
                  </w:tcBorders>
                  <w:noWrap w:val="0"/>
                  <w:vAlign w:val="center"/>
                </w:tcPr>
                <w:p w14:paraId="51CCC068">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160</w:t>
                  </w:r>
                </w:p>
              </w:tc>
              <w:tc>
                <w:tcPr>
                  <w:tcW w:w="654" w:type="pct"/>
                  <w:tcBorders>
                    <w:tl2br w:val="nil"/>
                    <w:tr2bl w:val="nil"/>
                  </w:tcBorders>
                  <w:noWrap w:val="0"/>
                  <w:vAlign w:val="center"/>
                </w:tcPr>
                <w:p w14:paraId="1D8E043F">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84.4</w:t>
                  </w:r>
                </w:p>
              </w:tc>
              <w:tc>
                <w:tcPr>
                  <w:tcW w:w="707" w:type="pct"/>
                  <w:tcBorders>
                    <w:tl2br w:val="nil"/>
                    <w:tr2bl w:val="nil"/>
                  </w:tcBorders>
                  <w:noWrap w:val="0"/>
                  <w:vAlign w:val="center"/>
                </w:tcPr>
                <w:p w14:paraId="14C598F2">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达标</w:t>
                  </w:r>
                </w:p>
              </w:tc>
            </w:tr>
            <w:tr w14:paraId="35F3DE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92" w:type="pct"/>
                  <w:tcBorders>
                    <w:tl2br w:val="nil"/>
                    <w:tr2bl w:val="nil"/>
                  </w:tcBorders>
                  <w:noWrap w:val="0"/>
                  <w:vAlign w:val="center"/>
                </w:tcPr>
                <w:p w14:paraId="50E0B7AA">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PM</w:t>
                  </w:r>
                  <w:r>
                    <w:rPr>
                      <w:rFonts w:hint="default" w:ascii="Times New Roman" w:hAnsi="Times New Roman" w:cs="Times New Roman"/>
                      <w:color w:val="auto"/>
                      <w:sz w:val="21"/>
                      <w:szCs w:val="21"/>
                      <w:highlight w:val="none"/>
                      <w:u w:val="none" w:color="auto"/>
                      <w:vertAlign w:val="subscript"/>
                    </w:rPr>
                    <w:t>10</w:t>
                  </w:r>
                </w:p>
              </w:tc>
              <w:tc>
                <w:tcPr>
                  <w:tcW w:w="1147" w:type="pct"/>
                  <w:tcBorders>
                    <w:tl2br w:val="nil"/>
                    <w:tr2bl w:val="nil"/>
                  </w:tcBorders>
                  <w:noWrap w:val="0"/>
                  <w:vAlign w:val="center"/>
                </w:tcPr>
                <w:p w14:paraId="7512AAD8">
                  <w:pPr>
                    <w:pStyle w:val="63"/>
                    <w:spacing w:beforeLines="0" w:afterLines="0"/>
                    <w:rPr>
                      <w:rFonts w:hint="eastAsia" w:ascii="Times New Roman" w:hAnsi="Times New Roman" w:cs="Times New Roman"/>
                      <w:color w:val="auto"/>
                      <w:sz w:val="21"/>
                      <w:szCs w:val="21"/>
                      <w:highlight w:val="none"/>
                      <w:u w:val="none" w:color="auto"/>
                      <w:lang w:val="en-US" w:eastAsia="zh-CN"/>
                    </w:rPr>
                  </w:pPr>
                  <w:r>
                    <w:rPr>
                      <w:rFonts w:hint="eastAsia" w:ascii="Times New Roman" w:hAnsi="Times New Roman" w:cs="Times New Roman"/>
                      <w:color w:val="auto"/>
                      <w:sz w:val="21"/>
                      <w:szCs w:val="21"/>
                      <w:highlight w:val="none"/>
                      <w:u w:val="none" w:color="auto"/>
                      <w:lang w:val="en-US" w:eastAsia="zh-CN"/>
                    </w:rPr>
                    <w:t>年平均质量浓度</w:t>
                  </w:r>
                </w:p>
              </w:tc>
              <w:tc>
                <w:tcPr>
                  <w:tcW w:w="781" w:type="pct"/>
                  <w:tcBorders>
                    <w:tl2br w:val="nil"/>
                    <w:tr2bl w:val="nil"/>
                  </w:tcBorders>
                  <w:noWrap w:val="0"/>
                  <w:vAlign w:val="center"/>
                </w:tcPr>
                <w:p w14:paraId="1C89DECC">
                  <w:pPr>
                    <w:spacing w:beforeLines="0" w:afterLines="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51</w:t>
                  </w:r>
                </w:p>
              </w:tc>
              <w:tc>
                <w:tcPr>
                  <w:tcW w:w="917" w:type="pct"/>
                  <w:tcBorders>
                    <w:tl2br w:val="nil"/>
                    <w:tr2bl w:val="nil"/>
                  </w:tcBorders>
                  <w:noWrap w:val="0"/>
                  <w:vAlign w:val="center"/>
                </w:tcPr>
                <w:p w14:paraId="2F875A11">
                  <w:pPr>
                    <w:spacing w:beforeLines="0" w:afterLines="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70</w:t>
                  </w:r>
                </w:p>
              </w:tc>
              <w:tc>
                <w:tcPr>
                  <w:tcW w:w="654" w:type="pct"/>
                  <w:tcBorders>
                    <w:tl2br w:val="nil"/>
                    <w:tr2bl w:val="nil"/>
                  </w:tcBorders>
                  <w:noWrap w:val="0"/>
                  <w:vAlign w:val="center"/>
                </w:tcPr>
                <w:p w14:paraId="52086A18">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72.9</w:t>
                  </w:r>
                </w:p>
              </w:tc>
              <w:tc>
                <w:tcPr>
                  <w:tcW w:w="707" w:type="pct"/>
                  <w:tcBorders>
                    <w:tl2br w:val="nil"/>
                    <w:tr2bl w:val="nil"/>
                  </w:tcBorders>
                  <w:noWrap w:val="0"/>
                  <w:vAlign w:val="center"/>
                </w:tcPr>
                <w:p w14:paraId="6DC6A540">
                  <w:pPr>
                    <w:spacing w:beforeLines="0" w:afterLines="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达标</w:t>
                  </w:r>
                </w:p>
              </w:tc>
            </w:tr>
            <w:tr w14:paraId="0E264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792" w:type="pct"/>
                  <w:tcBorders>
                    <w:tl2br w:val="nil"/>
                    <w:tr2bl w:val="nil"/>
                  </w:tcBorders>
                  <w:noWrap w:val="0"/>
                  <w:vAlign w:val="center"/>
                </w:tcPr>
                <w:p w14:paraId="7A1BE354">
                  <w:pPr>
                    <w:pStyle w:val="63"/>
                    <w:spacing w:beforeLines="0" w:afterLines="0"/>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PM</w:t>
                  </w:r>
                  <w:r>
                    <w:rPr>
                      <w:rFonts w:hint="default" w:ascii="Times New Roman" w:hAnsi="Times New Roman" w:cs="Times New Roman"/>
                      <w:color w:val="auto"/>
                      <w:sz w:val="21"/>
                      <w:szCs w:val="21"/>
                      <w:highlight w:val="none"/>
                      <w:u w:val="none" w:color="auto"/>
                      <w:vertAlign w:val="subscript"/>
                    </w:rPr>
                    <w:t>2.5</w:t>
                  </w:r>
                </w:p>
              </w:tc>
              <w:tc>
                <w:tcPr>
                  <w:tcW w:w="1147" w:type="pct"/>
                  <w:tcBorders>
                    <w:tl2br w:val="nil"/>
                    <w:tr2bl w:val="nil"/>
                  </w:tcBorders>
                  <w:noWrap w:val="0"/>
                  <w:vAlign w:val="center"/>
                </w:tcPr>
                <w:p w14:paraId="35E3122A">
                  <w:pPr>
                    <w:pStyle w:val="63"/>
                    <w:spacing w:beforeLines="0" w:afterLines="0"/>
                    <w:rPr>
                      <w:rFonts w:hint="eastAsia" w:ascii="Times New Roman" w:hAnsi="Times New Roman" w:cs="Times New Roman"/>
                      <w:color w:val="auto"/>
                      <w:sz w:val="21"/>
                      <w:szCs w:val="21"/>
                      <w:highlight w:val="none"/>
                      <w:u w:val="none" w:color="auto"/>
                      <w:lang w:val="en-US" w:eastAsia="zh-CN"/>
                    </w:rPr>
                  </w:pPr>
                  <w:r>
                    <w:rPr>
                      <w:rFonts w:hint="eastAsia" w:ascii="Times New Roman" w:hAnsi="Times New Roman" w:cs="Times New Roman"/>
                      <w:color w:val="auto"/>
                      <w:sz w:val="21"/>
                      <w:szCs w:val="21"/>
                      <w:highlight w:val="none"/>
                      <w:u w:val="none" w:color="auto"/>
                      <w:lang w:val="en-US" w:eastAsia="zh-CN"/>
                    </w:rPr>
                    <w:t>年平均质量浓度</w:t>
                  </w:r>
                </w:p>
              </w:tc>
              <w:tc>
                <w:tcPr>
                  <w:tcW w:w="781" w:type="pct"/>
                  <w:tcBorders>
                    <w:tl2br w:val="nil"/>
                    <w:tr2bl w:val="nil"/>
                  </w:tcBorders>
                  <w:noWrap w:val="0"/>
                  <w:vAlign w:val="center"/>
                </w:tcPr>
                <w:p w14:paraId="20C7F444">
                  <w:pPr>
                    <w:spacing w:beforeLines="0" w:afterLines="0"/>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34</w:t>
                  </w:r>
                </w:p>
              </w:tc>
              <w:tc>
                <w:tcPr>
                  <w:tcW w:w="917" w:type="pct"/>
                  <w:tcBorders>
                    <w:tl2br w:val="nil"/>
                    <w:tr2bl w:val="nil"/>
                  </w:tcBorders>
                  <w:noWrap w:val="0"/>
                  <w:vAlign w:val="center"/>
                </w:tcPr>
                <w:p w14:paraId="73A6259D">
                  <w:pPr>
                    <w:spacing w:beforeLines="0" w:afterLines="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35</w:t>
                  </w:r>
                </w:p>
              </w:tc>
              <w:tc>
                <w:tcPr>
                  <w:tcW w:w="654" w:type="pct"/>
                  <w:tcBorders>
                    <w:tl2br w:val="nil"/>
                    <w:tr2bl w:val="nil"/>
                  </w:tcBorders>
                  <w:noWrap w:val="0"/>
                  <w:vAlign w:val="center"/>
                </w:tcPr>
                <w:p w14:paraId="178F13DB">
                  <w:pPr>
                    <w:pStyle w:val="63"/>
                    <w:spacing w:beforeLines="0" w:afterLines="0"/>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97.1</w:t>
                  </w:r>
                </w:p>
              </w:tc>
              <w:tc>
                <w:tcPr>
                  <w:tcW w:w="707" w:type="pct"/>
                  <w:tcBorders>
                    <w:tl2br w:val="nil"/>
                    <w:tr2bl w:val="nil"/>
                  </w:tcBorders>
                  <w:noWrap w:val="0"/>
                  <w:vAlign w:val="center"/>
                </w:tcPr>
                <w:p w14:paraId="1B874A92">
                  <w:pPr>
                    <w:spacing w:beforeLines="0" w:afterLines="0"/>
                    <w:jc w:val="center"/>
                    <w:rPr>
                      <w:rFonts w:hint="default" w:ascii="Times New Roman" w:hAnsi="Times New Roman" w:cs="Times New Roman"/>
                      <w:color w:val="auto"/>
                      <w:sz w:val="21"/>
                      <w:szCs w:val="21"/>
                      <w:highlight w:val="none"/>
                      <w:u w:val="none" w:color="auto"/>
                    </w:rPr>
                  </w:pPr>
                  <w:r>
                    <w:rPr>
                      <w:rFonts w:hint="default" w:ascii="Times New Roman" w:hAnsi="Times New Roman" w:cs="Times New Roman"/>
                      <w:color w:val="auto"/>
                      <w:sz w:val="21"/>
                      <w:szCs w:val="21"/>
                      <w:highlight w:val="none"/>
                      <w:u w:val="none" w:color="auto"/>
                    </w:rPr>
                    <w:t>达标</w:t>
                  </w:r>
                </w:p>
              </w:tc>
            </w:tr>
          </w:tbl>
          <w:p w14:paraId="19126FC6">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rPr>
            </w:pPr>
            <w:r>
              <w:rPr>
                <w:rFonts w:hint="default" w:ascii="Times New Roman" w:hAnsi="Times New Roman" w:eastAsia="宋体" w:cs="Times New Roman"/>
                <w:color w:val="auto"/>
                <w:spacing w:val="0"/>
                <w:kern w:val="21"/>
                <w:sz w:val="24"/>
                <w:szCs w:val="24"/>
                <w:highlight w:val="none"/>
                <w:u w:val="none" w:color="auto"/>
                <w:lang w:val="en-US" w:eastAsia="zh-CN"/>
              </w:rPr>
              <w:t>吉林市202</w:t>
            </w:r>
            <w:r>
              <w:rPr>
                <w:rFonts w:hint="eastAsia" w:cs="Times New Roman"/>
                <w:color w:val="auto"/>
                <w:spacing w:val="0"/>
                <w:kern w:val="21"/>
                <w:sz w:val="24"/>
                <w:szCs w:val="24"/>
                <w:highlight w:val="none"/>
                <w:u w:val="none" w:color="auto"/>
                <w:lang w:val="en-US" w:eastAsia="zh-CN"/>
              </w:rPr>
              <w:t>4</w:t>
            </w:r>
            <w:r>
              <w:rPr>
                <w:rFonts w:hint="default" w:ascii="Times New Roman" w:hAnsi="Times New Roman" w:eastAsia="宋体" w:cs="Times New Roman"/>
                <w:color w:val="auto"/>
                <w:spacing w:val="0"/>
                <w:kern w:val="21"/>
                <w:sz w:val="24"/>
                <w:szCs w:val="24"/>
                <w:highlight w:val="none"/>
                <w:u w:val="none" w:color="auto"/>
                <w:lang w:val="en-US" w:eastAsia="zh-CN"/>
              </w:rPr>
              <w:t>年SO</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2</w:t>
            </w:r>
            <w:r>
              <w:rPr>
                <w:rFonts w:hint="default" w:ascii="Times New Roman" w:hAnsi="Times New Roman" w:eastAsia="宋体" w:cs="Times New Roman"/>
                <w:color w:val="auto"/>
                <w:spacing w:val="0"/>
                <w:kern w:val="21"/>
                <w:sz w:val="24"/>
                <w:szCs w:val="24"/>
                <w:highlight w:val="none"/>
                <w:u w:val="none" w:color="auto"/>
                <w:lang w:val="en-US" w:eastAsia="zh-CN"/>
              </w:rPr>
              <w:t>、NO</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2</w:t>
            </w:r>
            <w:r>
              <w:rPr>
                <w:rFonts w:hint="default" w:ascii="Times New Roman" w:hAnsi="Times New Roman" w:eastAsia="宋体" w:cs="Times New Roman"/>
                <w:color w:val="auto"/>
                <w:spacing w:val="0"/>
                <w:kern w:val="21"/>
                <w:sz w:val="24"/>
                <w:szCs w:val="24"/>
                <w:highlight w:val="none"/>
                <w:u w:val="none" w:color="auto"/>
                <w:lang w:val="en-US" w:eastAsia="zh-CN"/>
              </w:rPr>
              <w:t>、PM</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10</w:t>
            </w:r>
            <w:r>
              <w:rPr>
                <w:rFonts w:hint="default" w:ascii="Times New Roman" w:hAnsi="Times New Roman" w:eastAsia="宋体" w:cs="Times New Roman"/>
                <w:color w:val="auto"/>
                <w:spacing w:val="0"/>
                <w:kern w:val="21"/>
                <w:sz w:val="24"/>
                <w:szCs w:val="24"/>
                <w:highlight w:val="none"/>
                <w:u w:val="none" w:color="auto"/>
                <w:lang w:val="en-US" w:eastAsia="zh-CN"/>
              </w:rPr>
              <w:t>、PM</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2.5</w:t>
            </w:r>
            <w:r>
              <w:rPr>
                <w:rFonts w:hint="default" w:ascii="Times New Roman" w:hAnsi="Times New Roman" w:eastAsia="宋体" w:cs="Times New Roman"/>
                <w:color w:val="auto"/>
                <w:spacing w:val="0"/>
                <w:kern w:val="21"/>
                <w:sz w:val="24"/>
                <w:szCs w:val="24"/>
                <w:highlight w:val="none"/>
                <w:u w:val="none" w:color="auto"/>
                <w:lang w:val="en-US" w:eastAsia="zh-CN"/>
              </w:rPr>
              <w:t>年均浓度分别为</w:t>
            </w:r>
            <w:r>
              <w:rPr>
                <w:rFonts w:hint="eastAsia" w:ascii="Times New Roman" w:hAnsi="Times New Roman" w:eastAsia="宋体" w:cs="Times New Roman"/>
                <w:color w:val="auto"/>
                <w:spacing w:val="0"/>
                <w:kern w:val="21"/>
                <w:sz w:val="24"/>
                <w:szCs w:val="24"/>
                <w:highlight w:val="none"/>
                <w:u w:val="none" w:color="auto"/>
                <w:lang w:val="en-US" w:eastAsia="zh-CN"/>
              </w:rPr>
              <w:t>9</w:t>
            </w:r>
            <w:r>
              <w:rPr>
                <w:rFonts w:hint="default" w:ascii="Times New Roman" w:hAnsi="Times New Roman" w:eastAsia="宋体" w:cs="Times New Roman"/>
                <w:color w:val="auto"/>
                <w:spacing w:val="0"/>
                <w:kern w:val="21"/>
                <w:sz w:val="24"/>
                <w:szCs w:val="24"/>
                <w:highlight w:val="none"/>
                <w:u w:val="none" w:color="auto"/>
                <w:lang w:val="en-US" w:eastAsia="zh-CN"/>
              </w:rPr>
              <w:t>μg/m</w:t>
            </w:r>
            <w:r>
              <w:rPr>
                <w:rFonts w:hint="default" w:ascii="Times New Roman" w:hAnsi="Times New Roman" w:eastAsia="宋体" w:cs="Times New Roman"/>
                <w:color w:val="auto"/>
                <w:spacing w:val="0"/>
                <w:kern w:val="21"/>
                <w:sz w:val="24"/>
                <w:szCs w:val="24"/>
                <w:highlight w:val="none"/>
                <w:u w:val="none" w:color="auto"/>
                <w:vertAlign w:val="superscript"/>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w:t>
            </w:r>
            <w:r>
              <w:rPr>
                <w:rFonts w:hint="eastAsia" w:ascii="Times New Roman" w:hAnsi="Times New Roman" w:eastAsia="宋体" w:cs="Times New Roman"/>
                <w:color w:val="auto"/>
                <w:spacing w:val="0"/>
                <w:kern w:val="21"/>
                <w:sz w:val="24"/>
                <w:szCs w:val="24"/>
                <w:highlight w:val="none"/>
                <w:u w:val="none" w:color="auto"/>
                <w:lang w:val="en-US" w:eastAsia="zh-CN"/>
              </w:rPr>
              <w:t>2</w:t>
            </w:r>
            <w:r>
              <w:rPr>
                <w:rFonts w:hint="eastAsia" w:cs="Times New Roman"/>
                <w:color w:val="auto"/>
                <w:spacing w:val="0"/>
                <w:kern w:val="21"/>
                <w:sz w:val="24"/>
                <w:szCs w:val="24"/>
                <w:highlight w:val="none"/>
                <w:u w:val="none" w:color="auto"/>
                <w:lang w:val="en-US" w:eastAsia="zh-CN"/>
              </w:rPr>
              <w:t>2</w:t>
            </w:r>
            <w:r>
              <w:rPr>
                <w:rFonts w:hint="default" w:ascii="Times New Roman" w:hAnsi="Times New Roman" w:eastAsia="宋体" w:cs="Times New Roman"/>
                <w:color w:val="auto"/>
                <w:spacing w:val="0"/>
                <w:kern w:val="21"/>
                <w:sz w:val="24"/>
                <w:szCs w:val="24"/>
                <w:highlight w:val="none"/>
                <w:u w:val="none" w:color="auto"/>
                <w:lang w:val="en-US" w:eastAsia="zh-CN"/>
              </w:rPr>
              <w:t>μg/m</w:t>
            </w:r>
            <w:r>
              <w:rPr>
                <w:rFonts w:hint="default" w:ascii="Times New Roman" w:hAnsi="Times New Roman" w:eastAsia="宋体" w:cs="Times New Roman"/>
                <w:color w:val="auto"/>
                <w:spacing w:val="0"/>
                <w:kern w:val="21"/>
                <w:sz w:val="24"/>
                <w:szCs w:val="24"/>
                <w:highlight w:val="none"/>
                <w:u w:val="none" w:color="auto"/>
                <w:vertAlign w:val="superscript"/>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、5</w:t>
            </w:r>
            <w:r>
              <w:rPr>
                <w:rFonts w:hint="eastAsia" w:cs="Times New Roman"/>
                <w:color w:val="auto"/>
                <w:spacing w:val="0"/>
                <w:kern w:val="21"/>
                <w:sz w:val="24"/>
                <w:szCs w:val="24"/>
                <w:highlight w:val="none"/>
                <w:u w:val="none" w:color="auto"/>
                <w:lang w:val="en-US" w:eastAsia="zh-CN"/>
              </w:rPr>
              <w:t>1</w:t>
            </w:r>
            <w:r>
              <w:rPr>
                <w:rFonts w:hint="default" w:ascii="Times New Roman" w:hAnsi="Times New Roman" w:eastAsia="宋体" w:cs="Times New Roman"/>
                <w:color w:val="auto"/>
                <w:spacing w:val="0"/>
                <w:kern w:val="21"/>
                <w:sz w:val="24"/>
                <w:szCs w:val="24"/>
                <w:highlight w:val="none"/>
                <w:u w:val="none" w:color="auto"/>
                <w:lang w:val="en-US" w:eastAsia="zh-CN"/>
              </w:rPr>
              <w:t>μg/m</w:t>
            </w:r>
            <w:r>
              <w:rPr>
                <w:rFonts w:hint="default" w:ascii="Times New Roman" w:hAnsi="Times New Roman" w:eastAsia="宋体" w:cs="Times New Roman"/>
                <w:color w:val="auto"/>
                <w:spacing w:val="0"/>
                <w:kern w:val="21"/>
                <w:sz w:val="24"/>
                <w:szCs w:val="24"/>
                <w:highlight w:val="none"/>
                <w:u w:val="none" w:color="auto"/>
                <w:vertAlign w:val="superscript"/>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w:t>
            </w:r>
            <w:r>
              <w:rPr>
                <w:rFonts w:hint="eastAsia" w:ascii="Times New Roman" w:hAnsi="Times New Roman" w:eastAsia="宋体" w:cs="Times New Roman"/>
                <w:color w:val="auto"/>
                <w:spacing w:val="0"/>
                <w:kern w:val="21"/>
                <w:sz w:val="24"/>
                <w:szCs w:val="24"/>
                <w:highlight w:val="none"/>
                <w:u w:val="none" w:color="auto"/>
                <w:lang w:val="en-US" w:eastAsia="zh-CN"/>
              </w:rPr>
              <w:t>3</w:t>
            </w:r>
            <w:r>
              <w:rPr>
                <w:rFonts w:hint="eastAsia" w:cs="Times New Roman"/>
                <w:color w:val="auto"/>
                <w:spacing w:val="0"/>
                <w:kern w:val="21"/>
                <w:sz w:val="24"/>
                <w:szCs w:val="24"/>
                <w:highlight w:val="none"/>
                <w:u w:val="none" w:color="auto"/>
                <w:lang w:val="en-US" w:eastAsia="zh-CN"/>
              </w:rPr>
              <w:t>4</w:t>
            </w:r>
            <w:r>
              <w:rPr>
                <w:rFonts w:hint="default" w:ascii="Times New Roman" w:hAnsi="Times New Roman" w:eastAsia="宋体" w:cs="Times New Roman"/>
                <w:color w:val="auto"/>
                <w:spacing w:val="0"/>
                <w:kern w:val="21"/>
                <w:sz w:val="24"/>
                <w:szCs w:val="24"/>
                <w:highlight w:val="none"/>
                <w:u w:val="none" w:color="auto"/>
                <w:lang w:val="en-US" w:eastAsia="zh-CN"/>
              </w:rPr>
              <w:t>μg/m</w:t>
            </w:r>
            <w:r>
              <w:rPr>
                <w:rFonts w:hint="default" w:ascii="Times New Roman" w:hAnsi="Times New Roman" w:eastAsia="宋体" w:cs="Times New Roman"/>
                <w:color w:val="auto"/>
                <w:spacing w:val="0"/>
                <w:kern w:val="21"/>
                <w:sz w:val="24"/>
                <w:szCs w:val="24"/>
                <w:highlight w:val="none"/>
                <w:u w:val="none" w:color="auto"/>
                <w:vertAlign w:val="superscript"/>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；CO24小时平均第95百分位数为</w:t>
            </w:r>
            <w:r>
              <w:rPr>
                <w:rFonts w:hint="eastAsia" w:cs="Times New Roman"/>
                <w:color w:val="auto"/>
                <w:spacing w:val="0"/>
                <w:kern w:val="21"/>
                <w:sz w:val="24"/>
                <w:szCs w:val="24"/>
                <w:highlight w:val="none"/>
                <w:u w:val="none" w:color="auto"/>
                <w:lang w:val="en-US" w:eastAsia="zh-CN"/>
              </w:rPr>
              <w:t>1.2</w:t>
            </w:r>
            <w:r>
              <w:rPr>
                <w:rFonts w:hint="default" w:ascii="Times New Roman" w:hAnsi="Times New Roman" w:eastAsia="宋体" w:cs="Times New Roman"/>
                <w:color w:val="auto"/>
                <w:spacing w:val="0"/>
                <w:kern w:val="21"/>
                <w:sz w:val="24"/>
                <w:szCs w:val="24"/>
                <w:highlight w:val="none"/>
                <w:u w:val="none" w:color="auto"/>
                <w:lang w:val="en-US" w:eastAsia="zh-CN"/>
              </w:rPr>
              <w:t>mg/m</w:t>
            </w:r>
            <w:r>
              <w:rPr>
                <w:rFonts w:hint="default" w:ascii="Times New Roman" w:hAnsi="Times New Roman" w:eastAsia="宋体" w:cs="Times New Roman"/>
                <w:color w:val="auto"/>
                <w:spacing w:val="0"/>
                <w:kern w:val="21"/>
                <w:sz w:val="24"/>
                <w:szCs w:val="24"/>
                <w:highlight w:val="none"/>
                <w:u w:val="none" w:color="auto"/>
                <w:vertAlign w:val="superscript"/>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，O</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日最大8小时平均第90百分位数为</w:t>
            </w:r>
            <w:r>
              <w:rPr>
                <w:rFonts w:hint="eastAsia" w:cs="Times New Roman"/>
                <w:color w:val="auto"/>
                <w:spacing w:val="0"/>
                <w:kern w:val="21"/>
                <w:sz w:val="24"/>
                <w:szCs w:val="24"/>
                <w:highlight w:val="none"/>
                <w:u w:val="none" w:color="auto"/>
                <w:lang w:val="en-US" w:eastAsia="zh-CN"/>
              </w:rPr>
              <w:t>135</w:t>
            </w:r>
            <w:r>
              <w:rPr>
                <w:rFonts w:hint="default" w:ascii="Times New Roman" w:hAnsi="Times New Roman" w:eastAsia="宋体" w:cs="Times New Roman"/>
                <w:color w:val="auto"/>
                <w:spacing w:val="0"/>
                <w:kern w:val="21"/>
                <w:sz w:val="24"/>
                <w:szCs w:val="24"/>
                <w:highlight w:val="none"/>
                <w:u w:val="none" w:color="auto"/>
                <w:lang w:val="en-US" w:eastAsia="zh-CN"/>
              </w:rPr>
              <w:t>μg/m</w:t>
            </w:r>
            <w:r>
              <w:rPr>
                <w:rFonts w:hint="default" w:ascii="Times New Roman" w:hAnsi="Times New Roman" w:eastAsia="宋体" w:cs="Times New Roman"/>
                <w:color w:val="auto"/>
                <w:spacing w:val="0"/>
                <w:kern w:val="21"/>
                <w:sz w:val="24"/>
                <w:szCs w:val="24"/>
                <w:highlight w:val="none"/>
                <w:u w:val="none" w:color="auto"/>
                <w:vertAlign w:val="superscript"/>
                <w:lang w:val="en-US" w:eastAsia="zh-CN"/>
              </w:rPr>
              <w:t>3</w:t>
            </w:r>
            <w:r>
              <w:rPr>
                <w:rFonts w:hint="default" w:ascii="Times New Roman" w:hAnsi="Times New Roman" w:eastAsia="宋体" w:cs="Times New Roman"/>
                <w:color w:val="auto"/>
                <w:spacing w:val="0"/>
                <w:kern w:val="21"/>
                <w:sz w:val="24"/>
                <w:szCs w:val="24"/>
                <w:highlight w:val="none"/>
                <w:u w:val="none" w:color="auto"/>
                <w:lang w:val="en-US" w:eastAsia="zh-CN"/>
              </w:rPr>
              <w:t>；上述污染物满足《环境空气质量标准》（GB3095-20</w:t>
            </w:r>
            <w:r>
              <w:rPr>
                <w:rFonts w:hint="eastAsia" w:cs="Times New Roman"/>
                <w:color w:val="auto"/>
                <w:spacing w:val="0"/>
                <w:kern w:val="21"/>
                <w:sz w:val="24"/>
                <w:szCs w:val="24"/>
                <w:highlight w:val="none"/>
                <w:u w:val="none" w:color="auto"/>
                <w:lang w:val="en-US" w:eastAsia="zh-CN"/>
              </w:rPr>
              <w:t>12</w:t>
            </w:r>
            <w:r>
              <w:rPr>
                <w:rFonts w:hint="default" w:ascii="Times New Roman" w:hAnsi="Times New Roman" w:eastAsia="宋体" w:cs="Times New Roman"/>
                <w:color w:val="auto"/>
                <w:spacing w:val="0"/>
                <w:kern w:val="21"/>
                <w:sz w:val="24"/>
                <w:szCs w:val="24"/>
                <w:highlight w:val="none"/>
                <w:u w:val="none" w:color="auto"/>
                <w:lang w:val="en-US" w:eastAsia="zh-CN"/>
              </w:rPr>
              <w:t>）中二级</w:t>
            </w:r>
            <w:r>
              <w:rPr>
                <w:rFonts w:hint="eastAsia" w:cs="Times New Roman"/>
                <w:color w:val="auto"/>
                <w:spacing w:val="0"/>
                <w:kern w:val="21"/>
                <w:sz w:val="24"/>
                <w:szCs w:val="24"/>
                <w:highlight w:val="none"/>
                <w:u w:val="none" w:color="auto"/>
                <w:lang w:val="en-US" w:eastAsia="zh-CN"/>
              </w:rPr>
              <w:t>浓度</w:t>
            </w:r>
            <w:r>
              <w:rPr>
                <w:rFonts w:hint="default" w:ascii="Times New Roman" w:hAnsi="Times New Roman" w:eastAsia="宋体" w:cs="Times New Roman"/>
                <w:color w:val="auto"/>
                <w:spacing w:val="0"/>
                <w:kern w:val="21"/>
                <w:sz w:val="24"/>
                <w:szCs w:val="24"/>
                <w:highlight w:val="none"/>
                <w:u w:val="none" w:color="auto"/>
                <w:lang w:val="en-US" w:eastAsia="zh-CN"/>
              </w:rPr>
              <w:t>限值。由此判断项目所在区域吉林市202</w:t>
            </w:r>
            <w:r>
              <w:rPr>
                <w:rFonts w:hint="eastAsia" w:cs="Times New Roman"/>
                <w:color w:val="auto"/>
                <w:spacing w:val="0"/>
                <w:kern w:val="21"/>
                <w:sz w:val="24"/>
                <w:szCs w:val="24"/>
                <w:highlight w:val="none"/>
                <w:u w:val="none" w:color="auto"/>
                <w:lang w:val="en-US" w:eastAsia="zh-CN"/>
              </w:rPr>
              <w:t>4</w:t>
            </w:r>
            <w:r>
              <w:rPr>
                <w:rFonts w:hint="default" w:ascii="Times New Roman" w:hAnsi="Times New Roman" w:eastAsia="宋体" w:cs="Times New Roman"/>
                <w:color w:val="auto"/>
                <w:spacing w:val="0"/>
                <w:kern w:val="21"/>
                <w:sz w:val="24"/>
                <w:szCs w:val="24"/>
                <w:highlight w:val="none"/>
                <w:u w:val="none" w:color="auto"/>
                <w:lang w:val="en-US" w:eastAsia="zh-CN"/>
              </w:rPr>
              <w:t>年为环境空气质量达标区。</w:t>
            </w:r>
          </w:p>
          <w:p w14:paraId="02A697C8">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pacing w:val="0"/>
                <w:kern w:val="21"/>
                <w:sz w:val="24"/>
                <w:szCs w:val="24"/>
                <w:highlight w:val="none"/>
                <w:u w:val="none" w:color="auto"/>
                <w:lang w:val="en-US" w:eastAsia="zh-CN"/>
              </w:rPr>
            </w:pPr>
            <w:r>
              <w:rPr>
                <w:rFonts w:hint="eastAsia" w:cs="Times New Roman"/>
                <w:color w:val="auto"/>
                <w:spacing w:val="0"/>
                <w:kern w:val="21"/>
                <w:sz w:val="24"/>
                <w:szCs w:val="24"/>
                <w:highlight w:val="none"/>
                <w:u w:val="none" w:color="auto"/>
                <w:lang w:val="en-US" w:eastAsia="zh-CN"/>
              </w:rPr>
              <w:t>3.</w:t>
            </w:r>
            <w:r>
              <w:rPr>
                <w:rFonts w:hint="eastAsia" w:ascii="Times New Roman" w:hAnsi="Times New Roman" w:eastAsia="宋体" w:cs="Times New Roman"/>
                <w:color w:val="auto"/>
                <w:spacing w:val="0"/>
                <w:kern w:val="21"/>
                <w:sz w:val="24"/>
                <w:szCs w:val="24"/>
                <w:highlight w:val="none"/>
                <w:u w:val="none" w:color="auto"/>
                <w:lang w:val="en-US" w:eastAsia="zh-CN"/>
              </w:rPr>
              <w:t>1.2补充监测</w:t>
            </w:r>
          </w:p>
          <w:p w14:paraId="440EA70B">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pacing w:val="0"/>
                <w:kern w:val="21"/>
                <w:sz w:val="24"/>
                <w:szCs w:val="24"/>
                <w:highlight w:val="none"/>
                <w:u w:val="none" w:color="auto"/>
                <w:lang w:val="en-US" w:eastAsia="zh-CN"/>
              </w:rPr>
            </w:pPr>
            <w:r>
              <w:rPr>
                <w:rFonts w:hint="eastAsia" w:ascii="Times New Roman" w:hAnsi="Times New Roman" w:eastAsia="宋体" w:cs="Times New Roman"/>
                <w:color w:val="auto"/>
                <w:spacing w:val="0"/>
                <w:kern w:val="21"/>
                <w:sz w:val="24"/>
                <w:szCs w:val="24"/>
                <w:highlight w:val="none"/>
                <w:u w:val="none" w:color="auto"/>
                <w:lang w:val="en-US" w:eastAsia="zh-CN"/>
              </w:rPr>
              <w:t>（1）监测项目、监测单位及时间</w:t>
            </w:r>
          </w:p>
          <w:p w14:paraId="4504A935">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pacing w:val="0"/>
                <w:kern w:val="21"/>
                <w:sz w:val="24"/>
                <w:szCs w:val="24"/>
                <w:highlight w:val="none"/>
                <w:u w:val="none" w:color="auto"/>
                <w:lang w:val="en-US" w:eastAsia="zh-CN"/>
              </w:rPr>
            </w:pPr>
            <w:r>
              <w:rPr>
                <w:rFonts w:hint="eastAsia" w:ascii="Times New Roman" w:hAnsi="Times New Roman" w:eastAsia="宋体" w:cs="Times New Roman"/>
                <w:color w:val="auto"/>
                <w:spacing w:val="0"/>
                <w:kern w:val="21"/>
                <w:sz w:val="24"/>
                <w:szCs w:val="24"/>
                <w:highlight w:val="none"/>
                <w:u w:val="none" w:color="auto"/>
                <w:lang w:val="en-US" w:eastAsia="zh-CN"/>
              </w:rPr>
              <w:t>本项目特征污染物：</w:t>
            </w:r>
            <w:r>
              <w:rPr>
                <w:rFonts w:hint="eastAsia" w:cs="Times New Roman"/>
                <w:color w:val="auto"/>
                <w:spacing w:val="0"/>
                <w:kern w:val="21"/>
                <w:sz w:val="24"/>
                <w:szCs w:val="24"/>
                <w:highlight w:val="none"/>
                <w:u w:val="none" w:color="auto"/>
                <w:lang w:val="en-US" w:eastAsia="zh-CN"/>
              </w:rPr>
              <w:t>TSP、氮氧化物</w:t>
            </w:r>
            <w:r>
              <w:rPr>
                <w:rFonts w:hint="eastAsia" w:ascii="Times New Roman" w:hAnsi="Times New Roman" w:eastAsia="宋体" w:cs="Times New Roman"/>
                <w:color w:val="auto"/>
                <w:spacing w:val="0"/>
                <w:kern w:val="21"/>
                <w:sz w:val="24"/>
                <w:szCs w:val="24"/>
                <w:highlight w:val="none"/>
                <w:u w:val="none" w:color="auto"/>
                <w:lang w:val="en-US" w:eastAsia="zh-CN"/>
              </w:rPr>
              <w:t>。</w:t>
            </w:r>
          </w:p>
          <w:p w14:paraId="32B8439E">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pacing w:val="0"/>
                <w:kern w:val="21"/>
                <w:sz w:val="24"/>
                <w:szCs w:val="24"/>
                <w:highlight w:val="none"/>
                <w:u w:val="none" w:color="auto"/>
                <w:lang w:val="en-US" w:eastAsia="zh-CN"/>
              </w:rPr>
            </w:pPr>
            <w:r>
              <w:rPr>
                <w:rFonts w:hint="eastAsia"/>
                <w:color w:val="auto"/>
                <w:sz w:val="24"/>
              </w:rPr>
              <w:t>吉林市环投信息技术咨询有限公司于202</w:t>
            </w:r>
            <w:r>
              <w:rPr>
                <w:rFonts w:hint="eastAsia"/>
                <w:color w:val="auto"/>
                <w:sz w:val="24"/>
                <w:highlight w:val="none"/>
                <w:lang w:val="en-US" w:eastAsia="zh-CN"/>
              </w:rPr>
              <w:t>5</w:t>
            </w:r>
            <w:r>
              <w:rPr>
                <w:rFonts w:hint="eastAsia"/>
                <w:color w:val="auto"/>
                <w:sz w:val="24"/>
                <w:highlight w:val="none"/>
              </w:rPr>
              <w:t>年</w:t>
            </w:r>
            <w:r>
              <w:rPr>
                <w:rFonts w:hint="eastAsia"/>
                <w:color w:val="auto"/>
                <w:sz w:val="24"/>
                <w:highlight w:val="none"/>
                <w:lang w:val="en-US" w:eastAsia="zh-CN"/>
              </w:rPr>
              <w:t>12</w:t>
            </w:r>
            <w:r>
              <w:rPr>
                <w:rFonts w:hint="eastAsia"/>
                <w:color w:val="auto"/>
                <w:sz w:val="24"/>
                <w:highlight w:val="none"/>
              </w:rPr>
              <w:t>月1</w:t>
            </w:r>
            <w:r>
              <w:rPr>
                <w:rFonts w:hint="eastAsia"/>
                <w:color w:val="auto"/>
                <w:sz w:val="24"/>
                <w:highlight w:val="none"/>
                <w:lang w:val="en-US" w:eastAsia="zh-CN"/>
              </w:rPr>
              <w:t>6</w:t>
            </w:r>
            <w:r>
              <w:rPr>
                <w:rFonts w:hint="eastAsia"/>
                <w:color w:val="auto"/>
                <w:sz w:val="24"/>
                <w:highlight w:val="none"/>
              </w:rPr>
              <w:t>日-</w:t>
            </w:r>
            <w:r>
              <w:rPr>
                <w:rFonts w:hint="eastAsia"/>
                <w:color w:val="auto"/>
                <w:sz w:val="24"/>
                <w:highlight w:val="none"/>
                <w:lang w:val="en-US" w:eastAsia="zh-CN"/>
              </w:rPr>
              <w:t>18</w:t>
            </w:r>
            <w:r>
              <w:rPr>
                <w:rFonts w:hint="eastAsia"/>
                <w:color w:val="auto"/>
                <w:sz w:val="24"/>
                <w:highlight w:val="none"/>
              </w:rPr>
              <w:t>日连</w:t>
            </w:r>
            <w:r>
              <w:rPr>
                <w:rFonts w:hint="eastAsia"/>
                <w:color w:val="auto"/>
                <w:sz w:val="24"/>
              </w:rPr>
              <w:t>续监测3</w:t>
            </w:r>
            <w:r>
              <w:rPr>
                <w:rFonts w:hint="eastAsia"/>
                <w:color w:val="auto"/>
                <w:sz w:val="24"/>
                <w:lang w:eastAsia="zh-CN"/>
              </w:rPr>
              <w:t>天</w:t>
            </w:r>
            <w:r>
              <w:rPr>
                <w:rFonts w:hint="eastAsia" w:ascii="Times New Roman" w:hAnsi="Times New Roman" w:eastAsia="宋体" w:cs="Times New Roman"/>
                <w:color w:val="auto"/>
                <w:spacing w:val="0"/>
                <w:kern w:val="21"/>
                <w:sz w:val="24"/>
                <w:szCs w:val="24"/>
                <w:highlight w:val="none"/>
                <w:u w:val="none" w:color="auto"/>
                <w:lang w:val="en-US" w:eastAsia="zh-CN"/>
              </w:rPr>
              <w:t>。具体见下表，监测点位图见附图</w:t>
            </w:r>
            <w:r>
              <w:rPr>
                <w:rFonts w:hint="eastAsia" w:cs="Times New Roman"/>
                <w:color w:val="auto"/>
                <w:spacing w:val="0"/>
                <w:kern w:val="21"/>
                <w:sz w:val="24"/>
                <w:szCs w:val="24"/>
                <w:highlight w:val="none"/>
                <w:u w:val="none" w:color="auto"/>
                <w:lang w:val="en-US" w:eastAsia="zh-CN"/>
              </w:rPr>
              <w:t>4</w:t>
            </w:r>
            <w:r>
              <w:rPr>
                <w:rFonts w:hint="eastAsia" w:ascii="Times New Roman" w:hAnsi="Times New Roman" w:eastAsia="宋体" w:cs="Times New Roman"/>
                <w:color w:val="auto"/>
                <w:spacing w:val="0"/>
                <w:kern w:val="21"/>
                <w:sz w:val="24"/>
                <w:szCs w:val="24"/>
                <w:highlight w:val="none"/>
                <w:u w:val="none" w:color="auto"/>
                <w:lang w:val="en-US" w:eastAsia="zh-CN"/>
              </w:rPr>
              <w:t>。</w:t>
            </w:r>
          </w:p>
          <w:p w14:paraId="55617E26">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pacing w:val="0"/>
                <w:kern w:val="21"/>
                <w:sz w:val="24"/>
                <w:szCs w:val="24"/>
                <w:highlight w:val="none"/>
                <w:u w:val="none" w:color="auto"/>
                <w:lang w:val="en-US" w:eastAsia="zh-CN"/>
              </w:rPr>
            </w:pPr>
            <w:r>
              <w:rPr>
                <w:rFonts w:hint="eastAsia" w:ascii="Times New Roman" w:hAnsi="Times New Roman" w:eastAsia="宋体" w:cs="Times New Roman"/>
                <w:color w:val="auto"/>
                <w:spacing w:val="0"/>
                <w:kern w:val="21"/>
                <w:sz w:val="24"/>
                <w:szCs w:val="24"/>
                <w:highlight w:val="none"/>
                <w:u w:val="none" w:color="auto"/>
                <w:lang w:val="en-US" w:eastAsia="zh-CN"/>
              </w:rPr>
              <w:t>（2）监测点位</w:t>
            </w:r>
          </w:p>
          <w:p w14:paraId="593F3D7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pacing w:val="0"/>
                <w:kern w:val="21"/>
                <w:sz w:val="24"/>
                <w:szCs w:val="24"/>
                <w:highlight w:val="none"/>
                <w:u w:val="none" w:color="auto"/>
                <w:lang w:val="en-US" w:eastAsia="zh-CN"/>
              </w:rPr>
            </w:pPr>
            <w:r>
              <w:rPr>
                <w:rFonts w:hint="eastAsia" w:ascii="Times New Roman" w:hAnsi="Times New Roman" w:eastAsia="宋体" w:cs="Times New Roman"/>
                <w:color w:val="auto"/>
                <w:spacing w:val="0"/>
                <w:kern w:val="21"/>
                <w:sz w:val="24"/>
                <w:szCs w:val="24"/>
                <w:highlight w:val="none"/>
                <w:u w:val="none" w:color="auto"/>
                <w:lang w:val="en-US" w:eastAsia="zh-CN"/>
              </w:rPr>
              <w:t>根据《环境影响评价技术导则 大气环境》（HJ2.2-2018）6.3.2，本项目补充监测点位</w:t>
            </w:r>
            <w:r>
              <w:rPr>
                <w:rFonts w:hint="eastAsia" w:cs="Times New Roman"/>
                <w:color w:val="auto"/>
                <w:spacing w:val="0"/>
                <w:kern w:val="21"/>
                <w:sz w:val="24"/>
                <w:szCs w:val="24"/>
                <w:highlight w:val="none"/>
                <w:u w:val="none" w:color="auto"/>
                <w:lang w:val="en-US" w:eastAsia="zh-CN"/>
              </w:rPr>
              <w:t>位于</w:t>
            </w:r>
            <w:r>
              <w:rPr>
                <w:rFonts w:hint="eastAsia" w:ascii="Times New Roman" w:hAnsi="Times New Roman" w:eastAsia="宋体" w:cs="Times New Roman"/>
                <w:color w:val="auto"/>
                <w:spacing w:val="0"/>
                <w:kern w:val="21"/>
                <w:sz w:val="24"/>
                <w:szCs w:val="24"/>
                <w:highlight w:val="none"/>
                <w:u w:val="none" w:color="auto"/>
                <w:lang w:val="en-US" w:eastAsia="zh-CN"/>
              </w:rPr>
              <w:t>该项目</w:t>
            </w:r>
            <w:r>
              <w:rPr>
                <w:rFonts w:hint="eastAsia" w:cs="Times New Roman"/>
                <w:color w:val="auto"/>
                <w:spacing w:val="0"/>
                <w:kern w:val="21"/>
                <w:sz w:val="24"/>
                <w:szCs w:val="24"/>
                <w:highlight w:val="none"/>
                <w:u w:val="none" w:color="auto"/>
                <w:lang w:val="en-US" w:eastAsia="zh-CN"/>
              </w:rPr>
              <w:t>所在区域主导风向下风向50m</w:t>
            </w:r>
            <w:r>
              <w:rPr>
                <w:rFonts w:hint="eastAsia" w:ascii="Times New Roman" w:hAnsi="Times New Roman" w:eastAsia="宋体" w:cs="Times New Roman"/>
                <w:color w:val="auto"/>
                <w:spacing w:val="0"/>
                <w:kern w:val="21"/>
                <w:sz w:val="24"/>
                <w:szCs w:val="24"/>
                <w:highlight w:val="none"/>
                <w:u w:val="none" w:color="auto"/>
                <w:lang w:val="en-US" w:eastAsia="zh-CN"/>
              </w:rPr>
              <w:t>。补充监测详见下表，监测点位置见附图。</w:t>
            </w:r>
          </w:p>
          <w:p w14:paraId="5E1FD810">
            <w:pPr>
              <w:pStyle w:val="61"/>
              <w:widowControl/>
              <w:spacing w:beforeLines="0" w:afterLines="0" w:line="360" w:lineRule="auto"/>
              <w:ind w:firstLine="0" w:firstLineChars="0"/>
              <w:jc w:val="center"/>
              <w:rPr>
                <w:rFonts w:hint="default" w:ascii="Times New Roman" w:hAnsi="Times New Roman" w:eastAsia="宋体" w:cs="Times New Roman"/>
                <w:b/>
                <w:bCs/>
                <w:color w:val="auto"/>
                <w:kern w:val="2"/>
                <w:sz w:val="24"/>
                <w:szCs w:val="24"/>
                <w:highlight w:val="none"/>
                <w:u w:val="none" w:color="auto"/>
                <w:lang w:val="en-US" w:eastAsia="zh-CN" w:bidi="ar-SA"/>
              </w:rPr>
            </w:pPr>
            <w:r>
              <w:rPr>
                <w:rFonts w:hint="default" w:ascii="Times New Roman" w:hAnsi="Times New Roman" w:eastAsia="宋体" w:cs="Times New Roman"/>
                <w:b/>
                <w:bCs/>
                <w:color w:val="auto"/>
                <w:kern w:val="2"/>
                <w:sz w:val="24"/>
                <w:szCs w:val="24"/>
                <w:highlight w:val="none"/>
                <w:u w:val="none" w:color="auto"/>
                <w:lang w:val="en-US" w:eastAsia="zh-CN" w:bidi="ar-SA"/>
              </w:rPr>
              <w:t>表</w:t>
            </w:r>
            <w:r>
              <w:rPr>
                <w:rFonts w:hint="eastAsia" w:ascii="Times New Roman" w:hAnsi="Times New Roman" w:eastAsia="宋体" w:cs="Times New Roman"/>
                <w:b/>
                <w:bCs/>
                <w:color w:val="auto"/>
                <w:kern w:val="2"/>
                <w:sz w:val="24"/>
                <w:szCs w:val="24"/>
                <w:highlight w:val="none"/>
                <w:u w:val="none" w:color="auto"/>
                <w:lang w:val="en-US" w:eastAsia="zh-CN" w:bidi="ar-SA"/>
              </w:rPr>
              <w:t>3-2 环境空气补充监测点位基本信息</w:t>
            </w:r>
          </w:p>
          <w:tbl>
            <w:tblPr>
              <w:tblStyle w:val="28"/>
              <w:tblW w:w="7418" w:type="dxa"/>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835"/>
              <w:gridCol w:w="1200"/>
              <w:gridCol w:w="1703"/>
              <w:gridCol w:w="1259"/>
              <w:gridCol w:w="1421"/>
            </w:tblGrid>
            <w:tr w14:paraId="3550C8CE">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236" w:type="pct"/>
                  <w:vMerge w:val="restart"/>
                  <w:tcBorders>
                    <w:top w:val="single" w:color="auto" w:sz="12" w:space="0"/>
                    <w:left w:val="nil"/>
                    <w:bottom w:val="single" w:color="auto" w:sz="4" w:space="0"/>
                    <w:right w:val="single" w:color="auto" w:sz="4" w:space="0"/>
                  </w:tcBorders>
                  <w:noWrap w:val="0"/>
                  <w:vAlign w:val="center"/>
                </w:tcPr>
                <w:p w14:paraId="526575D1">
                  <w:pPr>
                    <w:keepNext w:val="0"/>
                    <w:keepLines w:val="0"/>
                    <w:suppressLineNumbers w:val="0"/>
                    <w:adjustRightInd w:val="0"/>
                    <w:snapToGrid w:val="0"/>
                    <w:spacing w:before="100" w:beforeAutospacing="1" w:after="100" w:afterAutospacing="1" w:line="240" w:lineRule="auto"/>
                    <w:ind w:left="-31" w:leftChars="-15" w:right="-31" w:rightChars="-15"/>
                    <w:jc w:val="center"/>
                    <w:rPr>
                      <w:rFonts w:hint="default" w:ascii="Times New Roman" w:hAnsi="Times New Roman" w:eastAsia="宋体"/>
                      <w:color w:val="auto"/>
                      <w:szCs w:val="21"/>
                      <w:highlight w:val="none"/>
                      <w:u w:val="none" w:color="auto"/>
                      <w:lang w:val="en-US" w:eastAsia="zh-CN"/>
                    </w:rPr>
                  </w:pPr>
                  <w:r>
                    <w:rPr>
                      <w:rFonts w:hint="eastAsia" w:cs="宋体"/>
                      <w:color w:val="auto"/>
                      <w:szCs w:val="21"/>
                      <w:highlight w:val="none"/>
                      <w:u w:val="none" w:color="auto"/>
                      <w:lang w:eastAsia="zh-CN" w:bidi="ar"/>
                    </w:rPr>
                    <w:t>监测点名称</w:t>
                  </w:r>
                  <w:r>
                    <w:rPr>
                      <w:rFonts w:hint="eastAsia" w:cs="宋体"/>
                      <w:color w:val="auto"/>
                      <w:szCs w:val="21"/>
                      <w:highlight w:val="none"/>
                      <w:u w:val="none" w:color="auto"/>
                      <w:lang w:val="en-US" w:eastAsia="zh-CN" w:bidi="ar"/>
                    </w:rPr>
                    <w:t>及坐标</w:t>
                  </w:r>
                </w:p>
              </w:tc>
              <w:tc>
                <w:tcPr>
                  <w:tcW w:w="808" w:type="pct"/>
                  <w:vMerge w:val="restart"/>
                  <w:tcBorders>
                    <w:top w:val="single" w:color="auto" w:sz="12" w:space="0"/>
                    <w:left w:val="single" w:color="auto" w:sz="4" w:space="0"/>
                    <w:bottom w:val="single" w:color="auto" w:sz="4" w:space="0"/>
                    <w:right w:val="single" w:color="auto" w:sz="4" w:space="0"/>
                  </w:tcBorders>
                  <w:noWrap w:val="0"/>
                  <w:vAlign w:val="center"/>
                </w:tcPr>
                <w:p w14:paraId="07C4C015">
                  <w:pPr>
                    <w:keepNext w:val="0"/>
                    <w:keepLines w:val="0"/>
                    <w:suppressLineNumbers w:val="0"/>
                    <w:adjustRightInd w:val="0"/>
                    <w:snapToGrid w:val="0"/>
                    <w:spacing w:before="100" w:beforeAutospacing="1" w:after="100" w:afterAutospacing="1" w:line="240" w:lineRule="auto"/>
                    <w:ind w:left="-31" w:leftChars="-15" w:right="-31" w:rightChars="-15"/>
                    <w:jc w:val="center"/>
                    <w:rPr>
                      <w:rFonts w:hint="default" w:ascii="Times New Roman" w:hAnsi="Times New Roman" w:eastAsia="宋体"/>
                      <w:color w:val="auto"/>
                      <w:szCs w:val="21"/>
                      <w:highlight w:val="none"/>
                      <w:u w:val="none" w:color="auto"/>
                    </w:rPr>
                  </w:pPr>
                  <w:r>
                    <w:rPr>
                      <w:rFonts w:hint="eastAsia" w:ascii="Times New Roman" w:hAnsi="Times New Roman" w:eastAsia="宋体" w:cs="宋体"/>
                      <w:color w:val="auto"/>
                      <w:szCs w:val="21"/>
                      <w:highlight w:val="none"/>
                      <w:u w:val="none" w:color="auto"/>
                      <w:lang w:bidi="ar"/>
                    </w:rPr>
                    <w:t>监测因子</w:t>
                  </w:r>
                </w:p>
              </w:tc>
              <w:tc>
                <w:tcPr>
                  <w:tcW w:w="1147" w:type="pct"/>
                  <w:vMerge w:val="restart"/>
                  <w:tcBorders>
                    <w:top w:val="single" w:color="auto" w:sz="12" w:space="0"/>
                    <w:left w:val="single" w:color="auto" w:sz="4" w:space="0"/>
                    <w:right w:val="single" w:color="auto" w:sz="4" w:space="0"/>
                  </w:tcBorders>
                  <w:noWrap w:val="0"/>
                  <w:vAlign w:val="center"/>
                </w:tcPr>
                <w:p w14:paraId="5857015D">
                  <w:pPr>
                    <w:keepNext w:val="0"/>
                    <w:keepLines w:val="0"/>
                    <w:suppressLineNumbers w:val="0"/>
                    <w:adjustRightInd w:val="0"/>
                    <w:snapToGrid w:val="0"/>
                    <w:spacing w:before="100" w:beforeAutospacing="1" w:after="100" w:afterAutospacing="1" w:line="240" w:lineRule="auto"/>
                    <w:ind w:left="-31" w:leftChars="-15" w:right="-31" w:rightChars="-15"/>
                    <w:jc w:val="center"/>
                    <w:rPr>
                      <w:rFonts w:hint="eastAsia" w:ascii="Times New Roman" w:hAnsi="Times New Roman" w:eastAsia="宋体" w:cs="宋体"/>
                      <w:color w:val="auto"/>
                      <w:szCs w:val="21"/>
                      <w:highlight w:val="none"/>
                      <w:u w:val="none" w:color="auto"/>
                      <w:lang w:eastAsia="zh-CN" w:bidi="ar"/>
                    </w:rPr>
                  </w:pPr>
                  <w:r>
                    <w:rPr>
                      <w:rFonts w:hint="eastAsia" w:cs="宋体"/>
                      <w:color w:val="auto"/>
                      <w:szCs w:val="21"/>
                      <w:highlight w:val="none"/>
                      <w:u w:val="none" w:color="auto"/>
                      <w:lang w:eastAsia="zh-CN" w:bidi="ar"/>
                    </w:rPr>
                    <w:t>监测时段</w:t>
                  </w:r>
                </w:p>
              </w:tc>
              <w:tc>
                <w:tcPr>
                  <w:tcW w:w="848" w:type="pct"/>
                  <w:vMerge w:val="restart"/>
                  <w:tcBorders>
                    <w:top w:val="single" w:color="auto" w:sz="12" w:space="0"/>
                    <w:left w:val="single" w:color="auto" w:sz="4" w:space="0"/>
                    <w:bottom w:val="single" w:color="auto" w:sz="4" w:space="0"/>
                    <w:right w:val="single" w:color="auto" w:sz="4" w:space="0"/>
                  </w:tcBorders>
                  <w:noWrap w:val="0"/>
                  <w:vAlign w:val="center"/>
                </w:tcPr>
                <w:p w14:paraId="095541F6">
                  <w:pPr>
                    <w:keepNext w:val="0"/>
                    <w:keepLines w:val="0"/>
                    <w:suppressLineNumbers w:val="0"/>
                    <w:adjustRightInd w:val="0"/>
                    <w:snapToGrid w:val="0"/>
                    <w:spacing w:before="100" w:beforeAutospacing="1" w:after="100" w:afterAutospacing="1" w:line="240" w:lineRule="auto"/>
                    <w:ind w:left="-31" w:leftChars="-15" w:right="-31" w:rightChars="-15"/>
                    <w:jc w:val="center"/>
                    <w:rPr>
                      <w:rFonts w:hint="default" w:ascii="Times New Roman" w:hAnsi="Times New Roman" w:eastAsia="宋体"/>
                      <w:color w:val="auto"/>
                      <w:szCs w:val="21"/>
                      <w:highlight w:val="none"/>
                      <w:u w:val="none" w:color="auto"/>
                    </w:rPr>
                  </w:pPr>
                  <w:r>
                    <w:rPr>
                      <w:rFonts w:hint="eastAsia" w:ascii="Times New Roman" w:hAnsi="Times New Roman" w:eastAsia="宋体" w:cs="宋体"/>
                      <w:color w:val="auto"/>
                      <w:szCs w:val="21"/>
                      <w:highlight w:val="none"/>
                      <w:u w:val="none" w:color="auto"/>
                      <w:lang w:bidi="ar"/>
                    </w:rPr>
                    <w:t>相对厂址方位</w:t>
                  </w:r>
                </w:p>
              </w:tc>
              <w:tc>
                <w:tcPr>
                  <w:tcW w:w="957" w:type="pct"/>
                  <w:vMerge w:val="restart"/>
                  <w:tcBorders>
                    <w:top w:val="single" w:color="auto" w:sz="12" w:space="0"/>
                    <w:left w:val="single" w:color="auto" w:sz="4" w:space="0"/>
                    <w:bottom w:val="single" w:color="auto" w:sz="4" w:space="0"/>
                    <w:right w:val="nil"/>
                  </w:tcBorders>
                  <w:noWrap w:val="0"/>
                  <w:vAlign w:val="center"/>
                </w:tcPr>
                <w:p w14:paraId="3C096C2A">
                  <w:pPr>
                    <w:keepNext w:val="0"/>
                    <w:keepLines w:val="0"/>
                    <w:suppressLineNumbers w:val="0"/>
                    <w:adjustRightInd w:val="0"/>
                    <w:snapToGrid w:val="0"/>
                    <w:spacing w:before="100" w:beforeAutospacing="1" w:after="100" w:afterAutospacing="1" w:line="240" w:lineRule="auto"/>
                    <w:ind w:left="-31" w:leftChars="-15" w:right="-31" w:rightChars="-15"/>
                    <w:jc w:val="center"/>
                    <w:rPr>
                      <w:rFonts w:hint="default" w:ascii="Times New Roman" w:hAnsi="Times New Roman" w:eastAsia="宋体"/>
                      <w:color w:val="auto"/>
                      <w:szCs w:val="21"/>
                      <w:highlight w:val="none"/>
                      <w:u w:val="none" w:color="auto"/>
                    </w:rPr>
                  </w:pPr>
                  <w:r>
                    <w:rPr>
                      <w:rFonts w:hint="eastAsia" w:ascii="Times New Roman" w:hAnsi="Times New Roman" w:eastAsia="宋体" w:cs="宋体"/>
                      <w:color w:val="auto"/>
                      <w:szCs w:val="21"/>
                      <w:highlight w:val="none"/>
                      <w:u w:val="none" w:color="auto"/>
                      <w:lang w:bidi="ar"/>
                    </w:rPr>
                    <w:t>相对厂界距离</w:t>
                  </w:r>
                  <w:r>
                    <w:rPr>
                      <w:rFonts w:hint="default" w:ascii="Times New Roman" w:hAnsi="Times New Roman" w:eastAsia="宋体"/>
                      <w:color w:val="auto"/>
                      <w:szCs w:val="21"/>
                      <w:highlight w:val="none"/>
                      <w:u w:val="none" w:color="auto"/>
                      <w:lang w:bidi="ar"/>
                    </w:rPr>
                    <w:t>/m</w:t>
                  </w:r>
                </w:p>
              </w:tc>
            </w:tr>
            <w:tr w14:paraId="7AC9D4F0">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36" w:type="pct"/>
                  <w:vMerge w:val="continue"/>
                  <w:tcBorders>
                    <w:top w:val="single" w:color="auto" w:sz="12" w:space="0"/>
                    <w:left w:val="nil"/>
                    <w:bottom w:val="single" w:color="auto" w:sz="4" w:space="0"/>
                    <w:right w:val="single" w:color="auto" w:sz="4" w:space="0"/>
                  </w:tcBorders>
                  <w:noWrap w:val="0"/>
                  <w:vAlign w:val="center"/>
                </w:tcPr>
                <w:p w14:paraId="246609F0">
                  <w:pPr>
                    <w:keepNext w:val="0"/>
                    <w:keepLines w:val="0"/>
                    <w:suppressLineNumbers w:val="0"/>
                    <w:spacing w:before="0" w:beforeAutospacing="0" w:after="0" w:afterAutospacing="0" w:line="240" w:lineRule="auto"/>
                    <w:ind w:left="0" w:right="0"/>
                    <w:rPr>
                      <w:rFonts w:hint="default" w:ascii="Times New Roman" w:hAnsi="Times New Roman" w:eastAsia="宋体"/>
                      <w:color w:val="auto"/>
                      <w:szCs w:val="21"/>
                      <w:highlight w:val="none"/>
                      <w:u w:val="none" w:color="auto"/>
                    </w:rPr>
                  </w:pPr>
                </w:p>
              </w:tc>
              <w:tc>
                <w:tcPr>
                  <w:tcW w:w="808" w:type="pct"/>
                  <w:vMerge w:val="continue"/>
                  <w:tcBorders>
                    <w:top w:val="single" w:color="auto" w:sz="12" w:space="0"/>
                    <w:left w:val="single" w:color="auto" w:sz="4" w:space="0"/>
                    <w:bottom w:val="single" w:color="auto" w:sz="4" w:space="0"/>
                    <w:right w:val="single" w:color="auto" w:sz="4" w:space="0"/>
                  </w:tcBorders>
                  <w:noWrap w:val="0"/>
                  <w:vAlign w:val="center"/>
                </w:tcPr>
                <w:p w14:paraId="67C97FD1">
                  <w:pPr>
                    <w:keepNext w:val="0"/>
                    <w:keepLines w:val="0"/>
                    <w:suppressLineNumbers w:val="0"/>
                    <w:spacing w:before="0" w:beforeAutospacing="0" w:after="0" w:afterAutospacing="0" w:line="240" w:lineRule="auto"/>
                    <w:ind w:left="0" w:right="0"/>
                    <w:rPr>
                      <w:rFonts w:hint="default" w:ascii="Times New Roman" w:hAnsi="Times New Roman" w:eastAsia="宋体"/>
                      <w:color w:val="auto"/>
                      <w:szCs w:val="21"/>
                      <w:highlight w:val="none"/>
                      <w:u w:val="none" w:color="auto"/>
                    </w:rPr>
                  </w:pPr>
                </w:p>
              </w:tc>
              <w:tc>
                <w:tcPr>
                  <w:tcW w:w="1147" w:type="pct"/>
                  <w:vMerge w:val="continue"/>
                  <w:tcBorders>
                    <w:left w:val="single" w:color="auto" w:sz="4" w:space="0"/>
                    <w:bottom w:val="single" w:color="auto" w:sz="4" w:space="0"/>
                    <w:right w:val="single" w:color="auto" w:sz="4" w:space="0"/>
                  </w:tcBorders>
                  <w:noWrap w:val="0"/>
                  <w:vAlign w:val="center"/>
                </w:tcPr>
                <w:p w14:paraId="763BD9FF">
                  <w:pPr>
                    <w:keepNext w:val="0"/>
                    <w:keepLines w:val="0"/>
                    <w:suppressLineNumbers w:val="0"/>
                    <w:spacing w:before="0" w:beforeAutospacing="0" w:after="0" w:afterAutospacing="0" w:line="240" w:lineRule="auto"/>
                    <w:ind w:left="0" w:right="0"/>
                    <w:rPr>
                      <w:rFonts w:hint="default" w:ascii="Times New Roman" w:hAnsi="Times New Roman" w:eastAsia="宋体"/>
                      <w:color w:val="auto"/>
                      <w:szCs w:val="21"/>
                      <w:highlight w:val="none"/>
                      <w:u w:val="none" w:color="auto"/>
                    </w:rPr>
                  </w:pPr>
                </w:p>
              </w:tc>
              <w:tc>
                <w:tcPr>
                  <w:tcW w:w="848" w:type="pct"/>
                  <w:vMerge w:val="continue"/>
                  <w:tcBorders>
                    <w:top w:val="single" w:color="auto" w:sz="12" w:space="0"/>
                    <w:left w:val="single" w:color="auto" w:sz="4" w:space="0"/>
                    <w:bottom w:val="single" w:color="auto" w:sz="4" w:space="0"/>
                    <w:right w:val="single" w:color="auto" w:sz="4" w:space="0"/>
                  </w:tcBorders>
                  <w:noWrap w:val="0"/>
                  <w:vAlign w:val="center"/>
                </w:tcPr>
                <w:p w14:paraId="171C8C87">
                  <w:pPr>
                    <w:keepNext w:val="0"/>
                    <w:keepLines w:val="0"/>
                    <w:suppressLineNumbers w:val="0"/>
                    <w:spacing w:before="0" w:beforeAutospacing="0" w:after="0" w:afterAutospacing="0" w:line="240" w:lineRule="auto"/>
                    <w:ind w:left="0" w:right="0"/>
                    <w:rPr>
                      <w:rFonts w:hint="default" w:ascii="Times New Roman" w:hAnsi="Times New Roman" w:eastAsia="宋体"/>
                      <w:color w:val="auto"/>
                      <w:szCs w:val="21"/>
                      <w:highlight w:val="none"/>
                      <w:u w:val="none" w:color="auto"/>
                    </w:rPr>
                  </w:pPr>
                </w:p>
              </w:tc>
              <w:tc>
                <w:tcPr>
                  <w:tcW w:w="957" w:type="pct"/>
                  <w:vMerge w:val="continue"/>
                  <w:tcBorders>
                    <w:top w:val="single" w:color="auto" w:sz="12" w:space="0"/>
                    <w:left w:val="single" w:color="auto" w:sz="4" w:space="0"/>
                    <w:bottom w:val="single" w:color="auto" w:sz="4" w:space="0"/>
                    <w:right w:val="nil"/>
                  </w:tcBorders>
                  <w:noWrap w:val="0"/>
                  <w:vAlign w:val="center"/>
                </w:tcPr>
                <w:p w14:paraId="06B6E21E">
                  <w:pPr>
                    <w:keepNext w:val="0"/>
                    <w:keepLines w:val="0"/>
                    <w:suppressLineNumbers w:val="0"/>
                    <w:spacing w:before="0" w:beforeAutospacing="0" w:after="0" w:afterAutospacing="0" w:line="240" w:lineRule="auto"/>
                    <w:ind w:left="0" w:right="0"/>
                    <w:rPr>
                      <w:rFonts w:hint="default" w:ascii="Times New Roman" w:hAnsi="Times New Roman" w:eastAsia="宋体"/>
                      <w:color w:val="auto"/>
                      <w:szCs w:val="21"/>
                      <w:highlight w:val="none"/>
                      <w:u w:val="none" w:color="auto"/>
                    </w:rPr>
                  </w:pPr>
                </w:p>
              </w:tc>
            </w:tr>
            <w:tr w14:paraId="0D75BABD">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236" w:type="pct"/>
                  <w:tcBorders>
                    <w:top w:val="single" w:color="auto" w:sz="4" w:space="0"/>
                    <w:left w:val="nil"/>
                    <w:bottom w:val="single" w:color="auto" w:sz="12" w:space="0"/>
                    <w:right w:val="single" w:color="auto" w:sz="4" w:space="0"/>
                  </w:tcBorders>
                  <w:noWrap w:val="0"/>
                  <w:vAlign w:val="center"/>
                </w:tcPr>
                <w:p w14:paraId="6E4E524C">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jc w:val="center"/>
                    <w:textAlignment w:val="auto"/>
                    <w:rPr>
                      <w:rFonts w:hint="eastAsia" w:ascii="Times New Roman" w:hAnsi="Times New Roman" w:eastAsia="宋体" w:cs="Times New Roman"/>
                      <w:b w:val="0"/>
                      <w:bCs w:val="0"/>
                      <w:color w:val="auto"/>
                      <w:sz w:val="21"/>
                      <w:szCs w:val="21"/>
                      <w:highlight w:val="none"/>
                      <w:u w:val="none" w:color="auto"/>
                      <w:vertAlign w:val="baseline"/>
                      <w:lang w:val="en-US" w:eastAsia="zh-CN"/>
                    </w:rPr>
                  </w:pPr>
                  <w:r>
                    <w:rPr>
                      <w:rFonts w:hint="eastAsia" w:ascii="Times New Roman" w:hAnsi="Times New Roman" w:eastAsia="宋体" w:cs="Times New Roman"/>
                      <w:b w:val="0"/>
                      <w:bCs w:val="0"/>
                      <w:color w:val="auto"/>
                      <w:sz w:val="21"/>
                      <w:szCs w:val="21"/>
                      <w:highlight w:val="none"/>
                      <w:u w:val="none" w:color="auto"/>
                      <w:vertAlign w:val="baseline"/>
                      <w:lang w:val="en-US" w:eastAsia="zh-CN"/>
                    </w:rPr>
                    <w:t>A1</w:t>
                  </w:r>
                </w:p>
                <w:p w14:paraId="7E29D560">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jc w:val="center"/>
                    <w:textAlignment w:val="auto"/>
                    <w:rPr>
                      <w:rFonts w:hint="default" w:ascii="Times New Roman" w:hAnsi="Times New Roman" w:cs="Times New Roman"/>
                      <w:b w:val="0"/>
                      <w:bCs w:val="0"/>
                      <w:color w:val="auto"/>
                      <w:sz w:val="21"/>
                      <w:szCs w:val="21"/>
                      <w:highlight w:val="none"/>
                      <w:u w:val="none" w:color="auto"/>
                      <w:vertAlign w:val="baseline"/>
                      <w:lang w:val="en-US" w:eastAsia="zh-CN"/>
                    </w:rPr>
                  </w:pPr>
                  <w:r>
                    <w:rPr>
                      <w:rFonts w:hint="eastAsia" w:cs="Times New Roman"/>
                      <w:b w:val="0"/>
                      <w:bCs w:val="0"/>
                      <w:color w:val="auto"/>
                      <w:sz w:val="21"/>
                      <w:szCs w:val="21"/>
                      <w:highlight w:val="none"/>
                      <w:u w:val="none" w:color="auto"/>
                      <w:vertAlign w:val="baseline"/>
                      <w:lang w:val="en-US" w:eastAsia="zh-CN"/>
                    </w:rPr>
                    <w:t>N126.18159413</w:t>
                  </w:r>
                  <w:r>
                    <w:rPr>
                      <w:rFonts w:hint="default" w:ascii="Times New Roman" w:hAnsi="Times New Roman" w:cs="Times New Roman"/>
                      <w:b w:val="0"/>
                      <w:bCs w:val="0"/>
                      <w:color w:val="auto"/>
                      <w:sz w:val="21"/>
                      <w:szCs w:val="21"/>
                      <w:highlight w:val="none"/>
                      <w:u w:val="none" w:color="auto"/>
                      <w:vertAlign w:val="baseline"/>
                      <w:lang w:val="en-US" w:eastAsia="zh-CN"/>
                    </w:rPr>
                    <w:t>°</w:t>
                  </w:r>
                </w:p>
                <w:p w14:paraId="7A5D83F2">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jc w:val="center"/>
                    <w:textAlignment w:val="auto"/>
                    <w:rPr>
                      <w:rFonts w:hint="default" w:cs="Times New Roman"/>
                      <w:b w:val="0"/>
                      <w:bCs w:val="0"/>
                      <w:color w:val="auto"/>
                      <w:sz w:val="21"/>
                      <w:szCs w:val="21"/>
                      <w:highlight w:val="none"/>
                      <w:u w:val="none" w:color="auto"/>
                      <w:vertAlign w:val="baseline"/>
                      <w:lang w:val="en-US" w:eastAsia="zh-CN"/>
                    </w:rPr>
                  </w:pPr>
                  <w:r>
                    <w:rPr>
                      <w:rFonts w:hint="eastAsia" w:cs="Times New Roman"/>
                      <w:b w:val="0"/>
                      <w:bCs w:val="0"/>
                      <w:color w:val="auto"/>
                      <w:sz w:val="21"/>
                      <w:szCs w:val="21"/>
                      <w:highlight w:val="none"/>
                      <w:u w:val="none" w:color="auto"/>
                      <w:vertAlign w:val="baseline"/>
                      <w:lang w:val="en-US" w:eastAsia="zh-CN"/>
                    </w:rPr>
                    <w:t>E43.46483411</w:t>
                  </w:r>
                  <w:r>
                    <w:rPr>
                      <w:rFonts w:hint="default" w:ascii="Times New Roman" w:hAnsi="Times New Roman" w:cs="Times New Roman"/>
                      <w:b w:val="0"/>
                      <w:bCs w:val="0"/>
                      <w:color w:val="auto"/>
                      <w:sz w:val="21"/>
                      <w:szCs w:val="21"/>
                      <w:highlight w:val="none"/>
                      <w:u w:val="none" w:color="auto"/>
                      <w:vertAlign w:val="baseline"/>
                      <w:lang w:val="en-US" w:eastAsia="zh-CN"/>
                    </w:rPr>
                    <w:t>°</w:t>
                  </w:r>
                </w:p>
              </w:tc>
              <w:tc>
                <w:tcPr>
                  <w:tcW w:w="808" w:type="pct"/>
                  <w:tcBorders>
                    <w:top w:val="single" w:color="auto" w:sz="4" w:space="0"/>
                    <w:left w:val="single" w:color="auto" w:sz="4" w:space="0"/>
                    <w:bottom w:val="single" w:color="auto" w:sz="12" w:space="0"/>
                    <w:right w:val="single" w:color="auto" w:sz="4" w:space="0"/>
                  </w:tcBorders>
                  <w:noWrap w:val="0"/>
                  <w:vAlign w:val="center"/>
                </w:tcPr>
                <w:p w14:paraId="6195BD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31" w:leftChars="-15" w:right="-31" w:rightChars="-15"/>
                    <w:jc w:val="center"/>
                    <w:textAlignment w:val="auto"/>
                    <w:rPr>
                      <w:rFonts w:hint="eastAsia" w:cs="Times New Roman"/>
                      <w:color w:val="auto"/>
                      <w:spacing w:val="0"/>
                      <w:kern w:val="21"/>
                      <w:sz w:val="21"/>
                      <w:szCs w:val="21"/>
                      <w:highlight w:val="none"/>
                      <w:u w:val="none" w:color="auto"/>
                      <w:lang w:val="en-US" w:eastAsia="zh-CN"/>
                    </w:rPr>
                  </w:pPr>
                  <w:r>
                    <w:rPr>
                      <w:rFonts w:hint="eastAsia" w:cs="Times New Roman"/>
                      <w:color w:val="auto"/>
                      <w:spacing w:val="0"/>
                      <w:kern w:val="21"/>
                      <w:sz w:val="21"/>
                      <w:szCs w:val="21"/>
                      <w:highlight w:val="none"/>
                      <w:u w:val="none" w:color="auto"/>
                      <w:lang w:val="en-US" w:eastAsia="zh-CN"/>
                    </w:rPr>
                    <w:t>TSP</w:t>
                  </w:r>
                </w:p>
                <w:p w14:paraId="743F3D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31" w:leftChars="-15" w:right="-31" w:rightChars="-15"/>
                    <w:jc w:val="center"/>
                    <w:textAlignment w:val="auto"/>
                    <w:rPr>
                      <w:rFonts w:hint="default" w:cs="Times New Roman"/>
                      <w:color w:val="auto"/>
                      <w:kern w:val="2"/>
                      <w:sz w:val="18"/>
                      <w:szCs w:val="18"/>
                      <w:highlight w:val="none"/>
                      <w:u w:val="none" w:color="auto"/>
                      <w:vertAlign w:val="baseline"/>
                      <w:lang w:val="en-US" w:eastAsia="zh-CN" w:bidi="ar"/>
                    </w:rPr>
                  </w:pPr>
                  <w:r>
                    <w:rPr>
                      <w:rFonts w:hint="eastAsia" w:cs="Times New Roman"/>
                      <w:color w:val="auto"/>
                      <w:spacing w:val="0"/>
                      <w:kern w:val="21"/>
                      <w:sz w:val="21"/>
                      <w:szCs w:val="21"/>
                      <w:highlight w:val="none"/>
                      <w:u w:val="none" w:color="auto"/>
                      <w:lang w:val="en-US" w:eastAsia="zh-CN"/>
                    </w:rPr>
                    <w:t>氮氧化物</w:t>
                  </w:r>
                </w:p>
              </w:tc>
              <w:tc>
                <w:tcPr>
                  <w:tcW w:w="1147" w:type="pct"/>
                  <w:tcBorders>
                    <w:top w:val="single" w:color="auto" w:sz="4" w:space="0"/>
                    <w:left w:val="single" w:color="auto" w:sz="4" w:space="0"/>
                    <w:bottom w:val="single" w:color="auto" w:sz="12" w:space="0"/>
                    <w:right w:val="single" w:color="auto" w:sz="4" w:space="0"/>
                  </w:tcBorders>
                  <w:noWrap w:val="0"/>
                  <w:vAlign w:val="center"/>
                </w:tcPr>
                <w:p w14:paraId="5A9469E1">
                  <w:pPr>
                    <w:keepNext w:val="0"/>
                    <w:keepLines w:val="0"/>
                    <w:suppressLineNumbers w:val="0"/>
                    <w:adjustRightInd w:val="0"/>
                    <w:snapToGrid w:val="0"/>
                    <w:spacing w:before="100" w:beforeAutospacing="1" w:after="100" w:afterAutospacing="1" w:line="240" w:lineRule="auto"/>
                    <w:ind w:left="-31" w:leftChars="-15" w:right="-31" w:rightChars="-15"/>
                    <w:jc w:val="center"/>
                    <w:rPr>
                      <w:rFonts w:hint="default" w:ascii="Times New Roman" w:hAnsi="Times New Roman" w:eastAsia="宋体" w:cs="Times New Roman"/>
                      <w:color w:val="auto"/>
                      <w:kern w:val="2"/>
                      <w:sz w:val="21"/>
                      <w:szCs w:val="21"/>
                      <w:highlight w:val="none"/>
                      <w:u w:val="none" w:color="auto"/>
                      <w:lang w:val="en-US" w:eastAsia="zh-CN" w:bidi="ar"/>
                    </w:rPr>
                  </w:pPr>
                  <w:r>
                    <w:rPr>
                      <w:rFonts w:hint="eastAsia" w:cs="Times New Roman"/>
                      <w:color w:val="auto"/>
                      <w:kern w:val="2"/>
                      <w:sz w:val="21"/>
                      <w:szCs w:val="21"/>
                      <w:highlight w:val="none"/>
                      <w:u w:val="none" w:color="auto"/>
                      <w:lang w:val="en-US" w:eastAsia="zh-CN" w:bidi="ar"/>
                    </w:rPr>
                    <w:t>2025.12.16~2025.12.18连续3天</w:t>
                  </w:r>
                </w:p>
              </w:tc>
              <w:tc>
                <w:tcPr>
                  <w:tcW w:w="848" w:type="pct"/>
                  <w:tcBorders>
                    <w:top w:val="single" w:color="auto" w:sz="4" w:space="0"/>
                    <w:left w:val="single" w:color="auto" w:sz="4" w:space="0"/>
                    <w:bottom w:val="single" w:color="auto" w:sz="12" w:space="0"/>
                    <w:right w:val="single" w:color="auto" w:sz="4" w:space="0"/>
                  </w:tcBorders>
                  <w:noWrap w:val="0"/>
                  <w:vAlign w:val="center"/>
                </w:tcPr>
                <w:p w14:paraId="408ED50B">
                  <w:pPr>
                    <w:keepNext w:val="0"/>
                    <w:keepLines w:val="0"/>
                    <w:suppressLineNumbers w:val="0"/>
                    <w:adjustRightInd w:val="0"/>
                    <w:snapToGrid w:val="0"/>
                    <w:spacing w:before="100" w:beforeAutospacing="1" w:after="100" w:afterAutospacing="1" w:line="240" w:lineRule="auto"/>
                    <w:ind w:left="-31" w:leftChars="-15" w:right="-31" w:rightChars="-15"/>
                    <w:jc w:val="center"/>
                    <w:rPr>
                      <w:rFonts w:hint="default" w:ascii="Times New Roman" w:hAnsi="Times New Roman" w:eastAsia="宋体" w:cs="Times New Roman"/>
                      <w:color w:val="auto"/>
                      <w:kern w:val="2"/>
                      <w:sz w:val="21"/>
                      <w:szCs w:val="21"/>
                      <w:highlight w:val="none"/>
                      <w:u w:val="none" w:color="auto"/>
                      <w:lang w:val="en-US" w:eastAsia="zh-CN" w:bidi="ar"/>
                    </w:rPr>
                  </w:pPr>
                  <w:r>
                    <w:rPr>
                      <w:rFonts w:hint="eastAsia" w:ascii="Times New Roman" w:hAnsi="Times New Roman" w:eastAsia="宋体" w:cs="Times New Roman"/>
                      <w:color w:val="auto"/>
                      <w:kern w:val="2"/>
                      <w:sz w:val="21"/>
                      <w:szCs w:val="21"/>
                      <w:highlight w:val="none"/>
                      <w:u w:val="none" w:color="auto"/>
                      <w:lang w:val="en-US" w:eastAsia="zh-CN" w:bidi="ar"/>
                    </w:rPr>
                    <w:t>东北</w:t>
                  </w:r>
                </w:p>
              </w:tc>
              <w:tc>
                <w:tcPr>
                  <w:tcW w:w="957" w:type="pct"/>
                  <w:tcBorders>
                    <w:top w:val="single" w:color="auto" w:sz="4" w:space="0"/>
                    <w:left w:val="single" w:color="auto" w:sz="4" w:space="0"/>
                    <w:bottom w:val="single" w:color="auto" w:sz="12" w:space="0"/>
                    <w:right w:val="nil"/>
                  </w:tcBorders>
                  <w:noWrap w:val="0"/>
                  <w:vAlign w:val="center"/>
                </w:tcPr>
                <w:p w14:paraId="566119CC">
                  <w:pPr>
                    <w:keepNext w:val="0"/>
                    <w:keepLines w:val="0"/>
                    <w:suppressLineNumbers w:val="0"/>
                    <w:adjustRightInd w:val="0"/>
                    <w:snapToGrid w:val="0"/>
                    <w:spacing w:before="100" w:beforeAutospacing="1" w:after="100" w:afterAutospacing="1" w:line="240" w:lineRule="auto"/>
                    <w:ind w:left="-31" w:leftChars="-15" w:right="-31" w:rightChars="-15"/>
                    <w:jc w:val="center"/>
                    <w:rPr>
                      <w:rFonts w:hint="default" w:ascii="Times New Roman" w:hAnsi="Times New Roman" w:eastAsia="宋体" w:cs="Times New Roman"/>
                      <w:color w:val="auto"/>
                      <w:kern w:val="2"/>
                      <w:sz w:val="21"/>
                      <w:szCs w:val="21"/>
                      <w:highlight w:val="none"/>
                      <w:u w:val="none" w:color="auto"/>
                      <w:lang w:val="en-US" w:eastAsia="zh-CN" w:bidi="ar"/>
                    </w:rPr>
                  </w:pPr>
                  <w:r>
                    <w:rPr>
                      <w:rFonts w:hint="eastAsia" w:cs="Times New Roman"/>
                      <w:color w:val="auto"/>
                      <w:kern w:val="2"/>
                      <w:sz w:val="21"/>
                      <w:szCs w:val="21"/>
                      <w:highlight w:val="none"/>
                      <w:u w:val="none" w:color="auto"/>
                      <w:lang w:val="en-US" w:eastAsia="zh-CN" w:bidi="ar"/>
                    </w:rPr>
                    <w:t>50</w:t>
                  </w:r>
                </w:p>
              </w:tc>
            </w:tr>
          </w:tbl>
          <w:p w14:paraId="7EB32521">
            <w:pPr>
              <w:pStyle w:val="22"/>
              <w:spacing w:line="360" w:lineRule="auto"/>
              <w:rPr>
                <w:rFonts w:hint="eastAsia"/>
                <w:color w:val="auto"/>
                <w:highlight w:val="none"/>
                <w:u w:val="none" w:color="auto"/>
                <w:lang w:val="en-US" w:eastAsia="zh-CN"/>
              </w:rPr>
            </w:pPr>
          </w:p>
          <w:p w14:paraId="4B2A65A8">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i w:val="0"/>
                <w:iCs w:val="0"/>
                <w:color w:val="auto"/>
                <w:sz w:val="24"/>
                <w:szCs w:val="24"/>
                <w:highlight w:val="none"/>
                <w:u w:val="none" w:color="auto"/>
              </w:rPr>
            </w:pPr>
            <w:r>
              <w:rPr>
                <w:rFonts w:hint="eastAsia"/>
                <w:i w:val="0"/>
                <w:iCs w:val="0"/>
                <w:color w:val="auto"/>
                <w:sz w:val="24"/>
                <w:szCs w:val="24"/>
                <w:highlight w:val="none"/>
                <w:u w:val="none" w:color="auto"/>
              </w:rPr>
              <w:t>（</w:t>
            </w:r>
            <w:r>
              <w:rPr>
                <w:rFonts w:hint="eastAsia"/>
                <w:i w:val="0"/>
                <w:iCs w:val="0"/>
                <w:color w:val="auto"/>
                <w:sz w:val="24"/>
                <w:szCs w:val="24"/>
                <w:highlight w:val="none"/>
                <w:u w:val="none" w:color="auto"/>
                <w:lang w:val="en-US" w:eastAsia="zh-CN"/>
              </w:rPr>
              <w:t>3</w:t>
            </w:r>
            <w:r>
              <w:rPr>
                <w:rFonts w:hint="eastAsia"/>
                <w:i w:val="0"/>
                <w:iCs w:val="0"/>
                <w:color w:val="auto"/>
                <w:sz w:val="24"/>
                <w:szCs w:val="24"/>
                <w:highlight w:val="none"/>
                <w:u w:val="none" w:color="auto"/>
              </w:rPr>
              <w:t>）</w:t>
            </w:r>
            <w:r>
              <w:rPr>
                <w:rFonts w:hint="eastAsia" w:ascii="Times New Roman" w:hAnsi="Times New Roman" w:eastAsia="宋体" w:cs="Times New Roman"/>
                <w:color w:val="auto"/>
                <w:kern w:val="0"/>
                <w:sz w:val="24"/>
                <w:szCs w:val="24"/>
                <w:highlight w:val="none"/>
                <w:u w:val="none" w:color="auto"/>
                <w:lang w:val="en-US" w:eastAsia="zh-CN" w:bidi="ar"/>
              </w:rPr>
              <w:t>评价标准及方法</w:t>
            </w:r>
          </w:p>
          <w:p w14:paraId="0BA53F5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i w:val="0"/>
                <w:iCs w:val="0"/>
                <w:color w:val="auto"/>
                <w:sz w:val="24"/>
                <w:szCs w:val="24"/>
                <w:highlight w:val="none"/>
                <w:u w:val="none" w:color="auto"/>
              </w:rPr>
            </w:pPr>
            <w:r>
              <w:rPr>
                <w:rFonts w:hint="eastAsia"/>
                <w:i w:val="0"/>
                <w:iCs w:val="0"/>
                <w:color w:val="auto"/>
                <w:sz w:val="24"/>
                <w:szCs w:val="24"/>
                <w:highlight w:val="none"/>
                <w:u w:val="none" w:color="auto"/>
              </w:rPr>
              <w:t>评价标准采用《</w:t>
            </w:r>
            <w:r>
              <w:rPr>
                <w:rFonts w:hint="eastAsia" w:ascii="Times New Roman" w:hAnsi="Times New Roman" w:eastAsia="宋体" w:cs="Times New Roman"/>
                <w:color w:val="auto"/>
                <w:kern w:val="0"/>
                <w:sz w:val="24"/>
                <w:szCs w:val="24"/>
                <w:highlight w:val="none"/>
                <w:u w:val="none" w:color="auto"/>
                <w:lang w:val="en-US" w:eastAsia="zh-CN" w:bidi="ar"/>
              </w:rPr>
              <w:t>环境</w:t>
            </w:r>
            <w:r>
              <w:rPr>
                <w:rFonts w:hint="eastAsia"/>
                <w:i w:val="0"/>
                <w:iCs w:val="0"/>
                <w:color w:val="auto"/>
                <w:sz w:val="24"/>
                <w:szCs w:val="24"/>
                <w:highlight w:val="none"/>
                <w:u w:val="none" w:color="auto"/>
              </w:rPr>
              <w:t>空气质量标准》（GB3095-2012）中的二级标准。</w:t>
            </w:r>
          </w:p>
          <w:p w14:paraId="7A289C77">
            <w:pPr>
              <w:pStyle w:val="9"/>
              <w:keepNext w:val="0"/>
              <w:keepLines w:val="0"/>
              <w:pageBreakBefore w:val="0"/>
              <w:kinsoku/>
              <w:wordWrap/>
              <w:overflowPunct/>
              <w:topLinePunct w:val="0"/>
              <w:autoSpaceDE/>
              <w:autoSpaceDN/>
              <w:bidi w:val="0"/>
              <w:spacing w:line="360" w:lineRule="auto"/>
              <w:ind w:firstLine="480" w:firstLineChars="200"/>
              <w:textAlignment w:val="auto"/>
              <w:rPr>
                <w:i w:val="0"/>
                <w:iCs w:val="0"/>
                <w:color w:val="auto"/>
                <w:sz w:val="24"/>
                <w:szCs w:val="24"/>
                <w:highlight w:val="none"/>
                <w:u w:val="none" w:color="auto"/>
              </w:rPr>
            </w:pPr>
            <w:r>
              <w:rPr>
                <w:i w:val="0"/>
                <w:iCs w:val="0"/>
                <w:color w:val="auto"/>
                <w:sz w:val="24"/>
                <w:szCs w:val="24"/>
                <w:highlight w:val="none"/>
                <w:u w:val="none" w:color="auto"/>
              </w:rPr>
              <w:t>采用</w:t>
            </w:r>
            <w:r>
              <w:rPr>
                <w:rFonts w:hint="eastAsia"/>
                <w:i w:val="0"/>
                <w:iCs w:val="0"/>
                <w:color w:val="auto"/>
                <w:sz w:val="24"/>
                <w:szCs w:val="24"/>
                <w:highlight w:val="none"/>
                <w:u w:val="none" w:color="auto"/>
                <w:lang w:eastAsia="zh-CN"/>
              </w:rPr>
              <w:t>单项标准指数法</w:t>
            </w:r>
            <w:r>
              <w:rPr>
                <w:i w:val="0"/>
                <w:iCs w:val="0"/>
                <w:color w:val="auto"/>
                <w:sz w:val="24"/>
                <w:szCs w:val="24"/>
                <w:highlight w:val="none"/>
                <w:u w:val="none" w:color="auto"/>
              </w:rPr>
              <w:t>，</w:t>
            </w:r>
            <w:r>
              <w:rPr>
                <w:rFonts w:hint="eastAsia"/>
                <w:i w:val="0"/>
                <w:iCs w:val="0"/>
                <w:color w:val="auto"/>
                <w:sz w:val="24"/>
                <w:szCs w:val="24"/>
                <w:highlight w:val="none"/>
                <w:u w:val="none" w:color="auto"/>
                <w:lang w:eastAsia="zh-CN"/>
              </w:rPr>
              <w:t>计算公式</w:t>
            </w:r>
            <w:r>
              <w:rPr>
                <w:i w:val="0"/>
                <w:iCs w:val="0"/>
                <w:color w:val="auto"/>
                <w:sz w:val="24"/>
                <w:szCs w:val="24"/>
                <w:highlight w:val="none"/>
                <w:u w:val="none" w:color="auto"/>
              </w:rPr>
              <w:t>如下：</w:t>
            </w:r>
          </w:p>
          <w:p w14:paraId="405683B1">
            <w:pPr>
              <w:keepNext w:val="0"/>
              <w:keepLines w:val="0"/>
              <w:pageBreakBefore w:val="0"/>
              <w:kinsoku/>
              <w:wordWrap/>
              <w:overflowPunct/>
              <w:topLinePunct w:val="0"/>
              <w:autoSpaceDE/>
              <w:autoSpaceDN/>
              <w:bidi w:val="0"/>
              <w:adjustRightInd w:val="0"/>
              <w:snapToGrid w:val="0"/>
              <w:spacing w:line="360" w:lineRule="auto"/>
              <w:ind w:firstLine="2548" w:firstLineChars="1062"/>
              <w:textAlignment w:val="auto"/>
              <w:rPr>
                <w:i w:val="0"/>
                <w:iCs w:val="0"/>
                <w:color w:val="auto"/>
                <w:sz w:val="24"/>
                <w:szCs w:val="24"/>
                <w:highlight w:val="none"/>
                <w:u w:val="none" w:color="auto"/>
              </w:rPr>
            </w:pPr>
            <w:r>
              <w:rPr>
                <w:rFonts w:hint="eastAsia"/>
                <w:i w:val="0"/>
                <w:iCs w:val="0"/>
                <w:color w:val="auto"/>
                <w:sz w:val="24"/>
                <w:szCs w:val="24"/>
                <w:highlight w:val="none"/>
                <w:u w:val="none" w:color="auto"/>
              </w:rPr>
              <w:t>I</w:t>
            </w:r>
            <w:r>
              <w:rPr>
                <w:rFonts w:hint="eastAsia"/>
                <w:i w:val="0"/>
                <w:iCs w:val="0"/>
                <w:color w:val="auto"/>
                <w:sz w:val="24"/>
                <w:szCs w:val="24"/>
                <w:highlight w:val="none"/>
                <w:u w:val="none" w:color="auto"/>
                <w:vertAlign w:val="subscript"/>
              </w:rPr>
              <w:t>i</w:t>
            </w:r>
            <w:r>
              <w:rPr>
                <w:rFonts w:hint="eastAsia"/>
                <w:i w:val="0"/>
                <w:iCs w:val="0"/>
                <w:color w:val="auto"/>
                <w:sz w:val="24"/>
                <w:szCs w:val="24"/>
                <w:highlight w:val="none"/>
                <w:u w:val="none" w:color="auto"/>
              </w:rPr>
              <w:t>＝C</w:t>
            </w:r>
            <w:r>
              <w:rPr>
                <w:rFonts w:hint="eastAsia"/>
                <w:i w:val="0"/>
                <w:iCs w:val="0"/>
                <w:color w:val="auto"/>
                <w:sz w:val="24"/>
                <w:szCs w:val="24"/>
                <w:highlight w:val="none"/>
                <w:u w:val="none" w:color="auto"/>
                <w:vertAlign w:val="subscript"/>
              </w:rPr>
              <w:t>i</w:t>
            </w:r>
            <w:r>
              <w:rPr>
                <w:rFonts w:hint="eastAsia"/>
                <w:i w:val="0"/>
                <w:iCs w:val="0"/>
                <w:color w:val="auto"/>
                <w:sz w:val="24"/>
                <w:szCs w:val="24"/>
                <w:highlight w:val="none"/>
                <w:u w:val="none" w:color="auto"/>
              </w:rPr>
              <w:t>/C</w:t>
            </w:r>
            <w:r>
              <w:rPr>
                <w:rFonts w:hint="eastAsia"/>
                <w:i w:val="0"/>
                <w:iCs w:val="0"/>
                <w:color w:val="auto"/>
                <w:sz w:val="24"/>
                <w:szCs w:val="24"/>
                <w:highlight w:val="none"/>
                <w:u w:val="none" w:color="auto"/>
                <w:vertAlign w:val="subscript"/>
              </w:rPr>
              <w:t>0i</w:t>
            </w:r>
          </w:p>
          <w:p w14:paraId="3D748DD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i w:val="0"/>
                <w:iCs w:val="0"/>
                <w:color w:val="auto"/>
                <w:sz w:val="24"/>
                <w:szCs w:val="24"/>
                <w:highlight w:val="none"/>
                <w:u w:val="none" w:color="auto"/>
              </w:rPr>
            </w:pPr>
            <w:r>
              <w:rPr>
                <w:rFonts w:hint="eastAsia"/>
                <w:i w:val="0"/>
                <w:iCs w:val="0"/>
                <w:color w:val="auto"/>
                <w:sz w:val="24"/>
                <w:szCs w:val="24"/>
                <w:highlight w:val="none"/>
                <w:u w:val="none" w:color="auto"/>
              </w:rPr>
              <w:t>式中：I</w:t>
            </w:r>
            <w:r>
              <w:rPr>
                <w:rFonts w:hint="eastAsia"/>
                <w:i w:val="0"/>
                <w:iCs w:val="0"/>
                <w:color w:val="auto"/>
                <w:sz w:val="24"/>
                <w:szCs w:val="24"/>
                <w:highlight w:val="none"/>
                <w:u w:val="none" w:color="auto"/>
                <w:vertAlign w:val="subscript"/>
              </w:rPr>
              <w:t>i</w:t>
            </w:r>
            <w:r>
              <w:rPr>
                <w:rFonts w:hint="eastAsia"/>
                <w:i w:val="0"/>
                <w:iCs w:val="0"/>
                <w:color w:val="auto"/>
                <w:sz w:val="24"/>
                <w:szCs w:val="24"/>
                <w:highlight w:val="none"/>
                <w:u w:val="none" w:color="auto"/>
              </w:rPr>
              <w:t>─i污染物的标准指数；</w:t>
            </w:r>
          </w:p>
          <w:p w14:paraId="4CAE1339">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eastAsia"/>
                <w:i w:val="0"/>
                <w:iCs w:val="0"/>
                <w:color w:val="auto"/>
                <w:sz w:val="24"/>
                <w:szCs w:val="24"/>
                <w:highlight w:val="none"/>
                <w:u w:val="none" w:color="auto"/>
              </w:rPr>
            </w:pPr>
            <w:r>
              <w:rPr>
                <w:rFonts w:hint="eastAsia"/>
                <w:i w:val="0"/>
                <w:iCs w:val="0"/>
                <w:color w:val="auto"/>
                <w:sz w:val="24"/>
                <w:szCs w:val="24"/>
                <w:highlight w:val="none"/>
                <w:u w:val="none" w:color="auto"/>
              </w:rPr>
              <w:t>C</w:t>
            </w:r>
            <w:r>
              <w:rPr>
                <w:rFonts w:hint="eastAsia"/>
                <w:i w:val="0"/>
                <w:iCs w:val="0"/>
                <w:color w:val="auto"/>
                <w:sz w:val="24"/>
                <w:szCs w:val="24"/>
                <w:highlight w:val="none"/>
                <w:u w:val="none" w:color="auto"/>
                <w:vertAlign w:val="subscript"/>
              </w:rPr>
              <w:t>i</w:t>
            </w:r>
            <w:r>
              <w:rPr>
                <w:rFonts w:hint="eastAsia"/>
                <w:i w:val="0"/>
                <w:iCs w:val="0"/>
                <w:color w:val="auto"/>
                <w:sz w:val="24"/>
                <w:szCs w:val="24"/>
                <w:highlight w:val="none"/>
                <w:u w:val="none" w:color="auto"/>
              </w:rPr>
              <w:t>─i污染物的实测浓度，mg/m</w:t>
            </w:r>
            <w:r>
              <w:rPr>
                <w:rFonts w:hint="eastAsia"/>
                <w:i w:val="0"/>
                <w:iCs w:val="0"/>
                <w:color w:val="auto"/>
                <w:sz w:val="24"/>
                <w:szCs w:val="24"/>
                <w:highlight w:val="none"/>
                <w:u w:val="none" w:color="auto"/>
                <w:vertAlign w:val="superscript"/>
              </w:rPr>
              <w:t>3</w:t>
            </w:r>
            <w:r>
              <w:rPr>
                <w:rFonts w:hint="eastAsia"/>
                <w:i w:val="0"/>
                <w:iCs w:val="0"/>
                <w:color w:val="auto"/>
                <w:sz w:val="24"/>
                <w:szCs w:val="24"/>
                <w:highlight w:val="none"/>
                <w:u w:val="none" w:color="auto"/>
              </w:rPr>
              <w:t>；</w:t>
            </w:r>
          </w:p>
          <w:p w14:paraId="33C25F3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i w:val="0"/>
                <w:iCs w:val="0"/>
                <w:color w:val="auto"/>
                <w:sz w:val="24"/>
                <w:szCs w:val="24"/>
                <w:highlight w:val="none"/>
                <w:u w:val="none" w:color="auto"/>
              </w:rPr>
            </w:pPr>
            <w:r>
              <w:rPr>
                <w:rFonts w:hint="eastAsia"/>
                <w:i w:val="0"/>
                <w:iCs w:val="0"/>
                <w:color w:val="auto"/>
                <w:sz w:val="24"/>
                <w:szCs w:val="24"/>
                <w:highlight w:val="none"/>
                <w:u w:val="none" w:color="auto"/>
              </w:rPr>
              <w:t xml:space="preserve">      C</w:t>
            </w:r>
            <w:r>
              <w:rPr>
                <w:rFonts w:hint="eastAsia"/>
                <w:i w:val="0"/>
                <w:iCs w:val="0"/>
                <w:color w:val="auto"/>
                <w:sz w:val="24"/>
                <w:szCs w:val="24"/>
                <w:highlight w:val="none"/>
                <w:u w:val="none" w:color="auto"/>
                <w:vertAlign w:val="subscript"/>
              </w:rPr>
              <w:t>0i</w:t>
            </w:r>
            <w:r>
              <w:rPr>
                <w:rFonts w:hint="eastAsia"/>
                <w:i w:val="0"/>
                <w:iCs w:val="0"/>
                <w:color w:val="auto"/>
                <w:sz w:val="24"/>
                <w:szCs w:val="24"/>
                <w:highlight w:val="none"/>
                <w:u w:val="none" w:color="auto"/>
              </w:rPr>
              <w:t>─i污染物的评价标准，mg/m</w:t>
            </w:r>
            <w:r>
              <w:rPr>
                <w:rFonts w:hint="eastAsia"/>
                <w:i w:val="0"/>
                <w:iCs w:val="0"/>
                <w:color w:val="auto"/>
                <w:sz w:val="24"/>
                <w:szCs w:val="24"/>
                <w:highlight w:val="none"/>
                <w:u w:val="none" w:color="auto"/>
                <w:vertAlign w:val="superscript"/>
                <w:lang w:val="en-US" w:eastAsia="zh-CN"/>
              </w:rPr>
              <w:t>3</w:t>
            </w:r>
            <w:r>
              <w:rPr>
                <w:rFonts w:hint="eastAsia"/>
                <w:i w:val="0"/>
                <w:iCs w:val="0"/>
                <w:color w:val="auto"/>
                <w:sz w:val="24"/>
                <w:szCs w:val="24"/>
                <w:highlight w:val="none"/>
                <w:u w:val="none" w:color="auto"/>
              </w:rPr>
              <w:t>。</w:t>
            </w:r>
          </w:p>
          <w:p w14:paraId="37712A1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i w:val="0"/>
                <w:iCs w:val="0"/>
                <w:color w:val="auto"/>
                <w:sz w:val="24"/>
                <w:szCs w:val="24"/>
                <w:highlight w:val="none"/>
                <w:u w:val="none" w:color="auto"/>
              </w:rPr>
            </w:pPr>
            <w:r>
              <w:rPr>
                <w:rFonts w:hint="eastAsia"/>
                <w:i w:val="0"/>
                <w:iCs w:val="0"/>
                <w:color w:val="auto"/>
                <w:sz w:val="24"/>
                <w:szCs w:val="24"/>
                <w:highlight w:val="none"/>
                <w:u w:val="none" w:color="auto"/>
              </w:rPr>
              <w:t>其中Ii＜1.0时，表示该污染物不超标，满足其评价标准要求；而Ii≥1.0时，则表明该污染物超标。</w:t>
            </w:r>
          </w:p>
          <w:p w14:paraId="2475CC5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i w:val="0"/>
                <w:iCs w:val="0"/>
                <w:color w:val="auto"/>
                <w:sz w:val="24"/>
                <w:szCs w:val="24"/>
                <w:highlight w:val="none"/>
                <w:u w:val="none" w:color="auto"/>
                <w:lang w:val="en-US" w:eastAsia="zh-CN"/>
              </w:rPr>
            </w:pPr>
            <w:r>
              <w:rPr>
                <w:rFonts w:hint="eastAsia" w:ascii="Times New Roman" w:hAnsi="Times New Roman" w:eastAsia="宋体" w:cs="Times New Roman"/>
                <w:i w:val="0"/>
                <w:iCs w:val="0"/>
                <w:color w:val="auto"/>
                <w:sz w:val="24"/>
                <w:szCs w:val="24"/>
                <w:highlight w:val="none"/>
                <w:u w:val="none" w:color="auto"/>
                <w:lang w:val="en-US" w:eastAsia="zh-CN"/>
              </w:rPr>
              <w:t>（4）现状监测结果及分析</w:t>
            </w:r>
          </w:p>
          <w:p w14:paraId="1FA6DC3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olor w:val="auto"/>
                <w:sz w:val="24"/>
                <w:szCs w:val="24"/>
                <w:highlight w:val="none"/>
                <w:u w:val="none" w:color="auto"/>
              </w:rPr>
            </w:pPr>
            <w:r>
              <w:rPr>
                <w:rFonts w:hint="eastAsia" w:cs="Times New Roman"/>
                <w:color w:val="auto"/>
                <w:spacing w:val="0"/>
                <w:kern w:val="21"/>
                <w:sz w:val="24"/>
                <w:szCs w:val="24"/>
                <w:highlight w:val="none"/>
                <w:u w:val="none" w:color="auto"/>
                <w:lang w:val="en-US" w:eastAsia="zh-CN" w:bidi="ar-SA"/>
              </w:rPr>
              <w:t>TSP、氮氧化物</w:t>
            </w:r>
            <w:r>
              <w:rPr>
                <w:rFonts w:hint="default" w:ascii="Times New Roman" w:hAnsi="Times New Roman" w:eastAsia="宋体" w:cs="Times New Roman"/>
                <w:i w:val="0"/>
                <w:iCs w:val="0"/>
                <w:color w:val="auto"/>
                <w:sz w:val="24"/>
                <w:szCs w:val="24"/>
                <w:highlight w:val="none"/>
                <w:u w:val="none" w:color="auto"/>
              </w:rPr>
              <w:t>执行</w:t>
            </w:r>
            <w:r>
              <w:rPr>
                <w:rFonts w:hint="eastAsia" w:cs="Times New Roman"/>
                <w:color w:val="auto"/>
                <w:spacing w:val="0"/>
                <w:kern w:val="21"/>
                <w:sz w:val="24"/>
                <w:szCs w:val="24"/>
                <w:highlight w:val="none"/>
                <w:u w:val="none" w:color="auto"/>
                <w:lang w:val="en-US" w:eastAsia="zh-CN" w:bidi="ar-SA"/>
              </w:rPr>
              <w:t>《环境空气质量标准》（GB3095—2012）表2中二级标准</w:t>
            </w:r>
            <w:r>
              <w:rPr>
                <w:rFonts w:hint="default" w:ascii="Times New Roman" w:hAnsi="Times New Roman" w:eastAsia="宋体" w:cs="Times New Roman"/>
                <w:i w:val="0"/>
                <w:iCs w:val="0"/>
                <w:color w:val="auto"/>
                <w:sz w:val="24"/>
                <w:szCs w:val="24"/>
                <w:highlight w:val="none"/>
                <w:u w:val="none" w:color="auto"/>
              </w:rPr>
              <w:t>要求。监测数据统计及评价结果见</w:t>
            </w:r>
            <w:r>
              <w:rPr>
                <w:rFonts w:hint="default" w:ascii="宋体"/>
                <w:color w:val="auto"/>
                <w:sz w:val="24"/>
                <w:szCs w:val="24"/>
                <w:highlight w:val="none"/>
                <w:u w:val="none" w:color="auto"/>
              </w:rPr>
              <w:t>下表。</w:t>
            </w:r>
          </w:p>
          <w:p w14:paraId="308817D9">
            <w:pPr>
              <w:spacing w:beforeLines="0" w:afterLines="0" w:line="560" w:lineRule="exact"/>
              <w:jc w:val="center"/>
              <w:rPr>
                <w:rFonts w:hint="default"/>
                <w:color w:val="auto"/>
                <w:sz w:val="24"/>
                <w:szCs w:val="24"/>
                <w:highlight w:val="none"/>
                <w:u w:val="none" w:color="auto"/>
              </w:rPr>
            </w:pPr>
            <w:r>
              <w:rPr>
                <w:rFonts w:hint="default" w:ascii="宋体"/>
                <w:b/>
                <w:color w:val="auto"/>
                <w:sz w:val="24"/>
                <w:szCs w:val="24"/>
                <w:highlight w:val="none"/>
                <w:u w:val="none" w:color="auto"/>
              </w:rPr>
              <w:t>表</w:t>
            </w:r>
            <w:r>
              <w:rPr>
                <w:rFonts w:hint="default"/>
                <w:b/>
                <w:color w:val="auto"/>
                <w:sz w:val="24"/>
                <w:szCs w:val="24"/>
                <w:highlight w:val="none"/>
                <w:u w:val="none" w:color="auto"/>
              </w:rPr>
              <w:t xml:space="preserve">3-3  </w:t>
            </w:r>
            <w:r>
              <w:rPr>
                <w:rFonts w:hint="default" w:ascii="宋体"/>
                <w:b/>
                <w:color w:val="auto"/>
                <w:sz w:val="24"/>
                <w:szCs w:val="24"/>
                <w:highlight w:val="none"/>
                <w:u w:val="none" w:color="auto"/>
              </w:rPr>
              <w:t>其他污染物环境质量现状监测和评价结果表</w:t>
            </w:r>
          </w:p>
          <w:tbl>
            <w:tblPr>
              <w:tblStyle w:val="28"/>
              <w:tblW w:w="4955"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030"/>
              <w:gridCol w:w="943"/>
              <w:gridCol w:w="1144"/>
              <w:gridCol w:w="1111"/>
              <w:gridCol w:w="1071"/>
              <w:gridCol w:w="1057"/>
              <w:gridCol w:w="668"/>
              <w:gridCol w:w="696"/>
            </w:tblGrid>
            <w:tr w14:paraId="5E2AD5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9" w:type="dxa"/>
                  <w:vMerge w:val="restart"/>
                  <w:tcBorders>
                    <w:tl2br w:val="nil"/>
                    <w:tr2bl w:val="nil"/>
                  </w:tcBorders>
                  <w:noWrap w:val="0"/>
                  <w:tcMar>
                    <w:top w:w="15" w:type="dxa"/>
                    <w:left w:w="15" w:type="dxa"/>
                    <w:right w:w="15" w:type="dxa"/>
                  </w:tcMar>
                  <w:vAlign w:val="center"/>
                </w:tcPr>
                <w:p w14:paraId="7AF994DB">
                  <w:pPr>
                    <w:widowControl/>
                    <w:spacing w:beforeLines="0" w:afterLines="0" w:line="240" w:lineRule="auto"/>
                    <w:jc w:val="center"/>
                    <w:textAlignment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lang w:bidi="ar"/>
                    </w:rPr>
                    <w:t>监测点位</w:t>
                  </w:r>
                </w:p>
              </w:tc>
              <w:tc>
                <w:tcPr>
                  <w:tcW w:w="942" w:type="dxa"/>
                  <w:vMerge w:val="restart"/>
                  <w:tcBorders>
                    <w:tl2br w:val="nil"/>
                    <w:tr2bl w:val="nil"/>
                  </w:tcBorders>
                  <w:noWrap w:val="0"/>
                  <w:tcMar>
                    <w:top w:w="15" w:type="dxa"/>
                    <w:left w:w="15" w:type="dxa"/>
                    <w:right w:w="15" w:type="dxa"/>
                  </w:tcMar>
                  <w:vAlign w:val="center"/>
                </w:tcPr>
                <w:p w14:paraId="0B15C40A">
                  <w:pPr>
                    <w:widowControl/>
                    <w:spacing w:beforeLines="0" w:afterLines="0" w:line="240" w:lineRule="auto"/>
                    <w:jc w:val="center"/>
                    <w:textAlignment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lang w:bidi="ar"/>
                    </w:rPr>
                    <w:t>污染物</w:t>
                  </w:r>
                </w:p>
              </w:tc>
              <w:tc>
                <w:tcPr>
                  <w:tcW w:w="1144" w:type="dxa"/>
                  <w:vMerge w:val="restart"/>
                  <w:tcBorders>
                    <w:tl2br w:val="nil"/>
                    <w:tr2bl w:val="nil"/>
                  </w:tcBorders>
                  <w:noWrap w:val="0"/>
                  <w:tcMar>
                    <w:top w:w="15" w:type="dxa"/>
                    <w:left w:w="15" w:type="dxa"/>
                    <w:right w:w="15" w:type="dxa"/>
                  </w:tcMar>
                  <w:vAlign w:val="center"/>
                </w:tcPr>
                <w:p w14:paraId="7F2E195A">
                  <w:pPr>
                    <w:widowControl/>
                    <w:spacing w:beforeLines="0" w:afterLines="0" w:line="240" w:lineRule="auto"/>
                    <w:jc w:val="center"/>
                    <w:textAlignment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lang w:bidi="ar"/>
                    </w:rPr>
                    <w:t>平均时间</w:t>
                  </w:r>
                </w:p>
              </w:tc>
              <w:tc>
                <w:tcPr>
                  <w:tcW w:w="1111" w:type="dxa"/>
                  <w:vMerge w:val="restart"/>
                  <w:tcBorders>
                    <w:tl2br w:val="nil"/>
                    <w:tr2bl w:val="nil"/>
                  </w:tcBorders>
                  <w:noWrap w:val="0"/>
                  <w:tcMar>
                    <w:top w:w="15" w:type="dxa"/>
                    <w:left w:w="15" w:type="dxa"/>
                    <w:right w:w="15" w:type="dxa"/>
                  </w:tcMar>
                  <w:vAlign w:val="center"/>
                </w:tcPr>
                <w:p w14:paraId="489B96EB">
                  <w:pPr>
                    <w:widowControl/>
                    <w:spacing w:beforeLines="0" w:afterLines="0" w:line="240" w:lineRule="auto"/>
                    <w:jc w:val="center"/>
                    <w:textAlignment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lang w:bidi="ar"/>
                    </w:rPr>
                    <w:t>评价标准</w:t>
                  </w:r>
                  <w:r>
                    <w:rPr>
                      <w:rFonts w:hint="default" w:ascii="Times New Roman" w:hAnsi="Times New Roman" w:eastAsia="宋体" w:cs="Times New Roman"/>
                      <w:color w:val="auto"/>
                      <w:sz w:val="21"/>
                      <w:szCs w:val="21"/>
                      <w:highlight w:val="none"/>
                      <w:u w:val="none" w:color="auto"/>
                      <w:lang w:bidi="ar"/>
                    </w:rPr>
                    <w:t>/</w:t>
                  </w:r>
                  <w:r>
                    <w:rPr>
                      <w:rFonts w:hint="default" w:ascii="Times New Roman" w:hAnsi="Times New Roman" w:eastAsia="宋体" w:cs="Times New Roman"/>
                      <w:color w:val="auto"/>
                      <w:kern w:val="0"/>
                      <w:sz w:val="21"/>
                      <w:szCs w:val="21"/>
                      <w:highlight w:val="none"/>
                      <w:u w:val="none" w:color="auto"/>
                      <w:lang w:bidi="ar"/>
                    </w:rPr>
                    <w:t>（</w:t>
                  </w:r>
                  <w:r>
                    <w:rPr>
                      <w:rFonts w:hint="default" w:ascii="Times New Roman" w:hAnsi="Times New Roman" w:eastAsia="宋体" w:cs="Times New Roman"/>
                      <w:color w:val="auto"/>
                      <w:sz w:val="21"/>
                      <w:szCs w:val="21"/>
                      <w:highlight w:val="none"/>
                      <w:u w:val="none" w:color="auto"/>
                      <w:lang w:bidi="ar"/>
                    </w:rPr>
                    <w:t>μg/m</w:t>
                  </w:r>
                  <w:r>
                    <w:rPr>
                      <w:rFonts w:hint="default" w:ascii="Times New Roman" w:hAnsi="Times New Roman" w:eastAsia="宋体" w:cs="Times New Roman"/>
                      <w:color w:val="auto"/>
                      <w:kern w:val="0"/>
                      <w:sz w:val="21"/>
                      <w:szCs w:val="21"/>
                      <w:highlight w:val="none"/>
                      <w:u w:val="none" w:color="auto"/>
                      <w:vertAlign w:val="superscript"/>
                      <w:lang w:bidi="ar"/>
                    </w:rPr>
                    <w:t>3</w:t>
                  </w:r>
                  <w:r>
                    <w:rPr>
                      <w:rFonts w:hint="default" w:ascii="Times New Roman" w:hAnsi="Times New Roman" w:eastAsia="宋体" w:cs="Times New Roman"/>
                      <w:color w:val="auto"/>
                      <w:kern w:val="0"/>
                      <w:sz w:val="21"/>
                      <w:szCs w:val="21"/>
                      <w:highlight w:val="none"/>
                      <w:u w:val="none" w:color="auto"/>
                      <w:lang w:bidi="ar"/>
                    </w:rPr>
                    <w:t>）</w:t>
                  </w:r>
                </w:p>
              </w:tc>
              <w:tc>
                <w:tcPr>
                  <w:tcW w:w="1071" w:type="dxa"/>
                  <w:vMerge w:val="restart"/>
                  <w:tcBorders>
                    <w:tl2br w:val="nil"/>
                    <w:tr2bl w:val="nil"/>
                  </w:tcBorders>
                  <w:noWrap w:val="0"/>
                  <w:tcMar>
                    <w:top w:w="15" w:type="dxa"/>
                    <w:left w:w="15" w:type="dxa"/>
                    <w:right w:w="15" w:type="dxa"/>
                  </w:tcMar>
                  <w:vAlign w:val="center"/>
                </w:tcPr>
                <w:p w14:paraId="6E225775">
                  <w:pPr>
                    <w:widowControl/>
                    <w:spacing w:beforeLines="0" w:afterLines="0" w:line="240" w:lineRule="auto"/>
                    <w:jc w:val="center"/>
                    <w:textAlignment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lang w:bidi="ar"/>
                    </w:rPr>
                    <w:t>监测结果</w:t>
                  </w:r>
                  <w:r>
                    <w:rPr>
                      <w:rFonts w:hint="default" w:ascii="Times New Roman" w:hAnsi="Times New Roman" w:eastAsia="宋体" w:cs="Times New Roman"/>
                      <w:color w:val="auto"/>
                      <w:sz w:val="21"/>
                      <w:szCs w:val="21"/>
                      <w:highlight w:val="none"/>
                      <w:u w:val="none" w:color="auto"/>
                      <w:lang w:bidi="ar"/>
                    </w:rPr>
                    <w:t>/</w:t>
                  </w:r>
                  <w:r>
                    <w:rPr>
                      <w:rFonts w:hint="default" w:ascii="Times New Roman" w:hAnsi="Times New Roman" w:eastAsia="宋体" w:cs="Times New Roman"/>
                      <w:color w:val="auto"/>
                      <w:kern w:val="0"/>
                      <w:sz w:val="21"/>
                      <w:szCs w:val="21"/>
                      <w:highlight w:val="none"/>
                      <w:u w:val="none" w:color="auto"/>
                      <w:lang w:bidi="ar"/>
                    </w:rPr>
                    <w:t>（</w:t>
                  </w:r>
                  <w:r>
                    <w:rPr>
                      <w:rFonts w:hint="default" w:ascii="Times New Roman" w:hAnsi="Times New Roman" w:eastAsia="宋体" w:cs="Times New Roman"/>
                      <w:color w:val="auto"/>
                      <w:sz w:val="21"/>
                      <w:szCs w:val="21"/>
                      <w:highlight w:val="none"/>
                      <w:u w:val="none" w:color="auto"/>
                      <w:lang w:bidi="ar"/>
                    </w:rPr>
                    <w:t>μg/m</w:t>
                  </w:r>
                  <w:r>
                    <w:rPr>
                      <w:rFonts w:hint="default" w:ascii="Times New Roman" w:hAnsi="Times New Roman" w:eastAsia="宋体" w:cs="Times New Roman"/>
                      <w:color w:val="auto"/>
                      <w:sz w:val="21"/>
                      <w:szCs w:val="21"/>
                      <w:highlight w:val="none"/>
                      <w:u w:val="none" w:color="auto"/>
                      <w:vertAlign w:val="superscript"/>
                      <w:lang w:bidi="ar"/>
                    </w:rPr>
                    <w:t>3</w:t>
                  </w:r>
                  <w:r>
                    <w:rPr>
                      <w:rFonts w:hint="default" w:ascii="Times New Roman" w:hAnsi="Times New Roman" w:eastAsia="宋体" w:cs="Times New Roman"/>
                      <w:color w:val="auto"/>
                      <w:kern w:val="0"/>
                      <w:sz w:val="21"/>
                      <w:szCs w:val="21"/>
                      <w:highlight w:val="none"/>
                      <w:u w:val="none" w:color="auto"/>
                      <w:lang w:bidi="ar"/>
                    </w:rPr>
                    <w:t>）</w:t>
                  </w:r>
                </w:p>
              </w:tc>
              <w:tc>
                <w:tcPr>
                  <w:tcW w:w="1056" w:type="dxa"/>
                  <w:vMerge w:val="restart"/>
                  <w:tcBorders>
                    <w:tl2br w:val="nil"/>
                    <w:tr2bl w:val="nil"/>
                  </w:tcBorders>
                  <w:noWrap w:val="0"/>
                  <w:tcMar>
                    <w:top w:w="15" w:type="dxa"/>
                    <w:left w:w="15" w:type="dxa"/>
                    <w:right w:w="15" w:type="dxa"/>
                  </w:tcMar>
                  <w:vAlign w:val="center"/>
                </w:tcPr>
                <w:p w14:paraId="71D68CCD">
                  <w:pPr>
                    <w:widowControl/>
                    <w:spacing w:beforeLines="0" w:afterLines="0" w:line="240" w:lineRule="auto"/>
                    <w:jc w:val="center"/>
                    <w:textAlignment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lang w:bidi="ar"/>
                    </w:rPr>
                    <w:t>最大浓度占标率</w:t>
                  </w:r>
                  <w:r>
                    <w:rPr>
                      <w:rFonts w:hint="default" w:ascii="Times New Roman" w:hAnsi="Times New Roman" w:eastAsia="宋体" w:cs="Times New Roman"/>
                      <w:b/>
                      <w:color w:val="auto"/>
                      <w:sz w:val="21"/>
                      <w:szCs w:val="21"/>
                      <w:highlight w:val="none"/>
                      <w:u w:val="none" w:color="auto"/>
                      <w:lang w:bidi="ar"/>
                    </w:rPr>
                    <w:t>/%</w:t>
                  </w:r>
                </w:p>
              </w:tc>
              <w:tc>
                <w:tcPr>
                  <w:tcW w:w="668" w:type="dxa"/>
                  <w:vMerge w:val="restart"/>
                  <w:tcBorders>
                    <w:tl2br w:val="nil"/>
                    <w:tr2bl w:val="nil"/>
                  </w:tcBorders>
                  <w:noWrap w:val="0"/>
                  <w:tcMar>
                    <w:top w:w="15" w:type="dxa"/>
                    <w:left w:w="15" w:type="dxa"/>
                    <w:right w:w="15" w:type="dxa"/>
                  </w:tcMar>
                  <w:vAlign w:val="center"/>
                </w:tcPr>
                <w:p w14:paraId="4B686C91">
                  <w:pPr>
                    <w:widowControl/>
                    <w:spacing w:beforeLines="0" w:afterLines="0" w:line="240" w:lineRule="auto"/>
                    <w:jc w:val="center"/>
                    <w:textAlignment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lang w:bidi="ar"/>
                    </w:rPr>
                    <w:t>超标率</w:t>
                  </w:r>
                  <w:r>
                    <w:rPr>
                      <w:rFonts w:hint="default" w:ascii="Times New Roman" w:hAnsi="Times New Roman" w:eastAsia="宋体" w:cs="Times New Roman"/>
                      <w:b/>
                      <w:color w:val="auto"/>
                      <w:sz w:val="21"/>
                      <w:szCs w:val="21"/>
                      <w:highlight w:val="none"/>
                      <w:u w:val="none" w:color="auto"/>
                      <w:lang w:bidi="ar"/>
                    </w:rPr>
                    <w:t>/%</w:t>
                  </w:r>
                </w:p>
              </w:tc>
              <w:tc>
                <w:tcPr>
                  <w:tcW w:w="695" w:type="dxa"/>
                  <w:vMerge w:val="restart"/>
                  <w:tcBorders>
                    <w:tl2br w:val="nil"/>
                    <w:tr2bl w:val="nil"/>
                  </w:tcBorders>
                  <w:noWrap w:val="0"/>
                  <w:tcMar>
                    <w:top w:w="15" w:type="dxa"/>
                    <w:left w:w="15" w:type="dxa"/>
                    <w:right w:w="15" w:type="dxa"/>
                  </w:tcMar>
                  <w:vAlign w:val="center"/>
                </w:tcPr>
                <w:p w14:paraId="7E548AE4">
                  <w:pPr>
                    <w:widowControl/>
                    <w:spacing w:beforeLines="0" w:afterLines="0" w:line="240" w:lineRule="auto"/>
                    <w:jc w:val="center"/>
                    <w:textAlignment w:val="center"/>
                    <w:rPr>
                      <w:rFonts w:hint="default" w:ascii="Times New Roman" w:hAnsi="Times New Roman" w:eastAsia="宋体" w:cs="Times New Roman"/>
                      <w:color w:val="auto"/>
                      <w:sz w:val="21"/>
                      <w:szCs w:val="21"/>
                      <w:highlight w:val="none"/>
                      <w:u w:val="none" w:color="auto"/>
                    </w:rPr>
                  </w:pPr>
                  <w:r>
                    <w:rPr>
                      <w:rFonts w:hint="default" w:ascii="Times New Roman" w:hAnsi="Times New Roman" w:eastAsia="宋体" w:cs="Times New Roman"/>
                      <w:color w:val="auto"/>
                      <w:kern w:val="0"/>
                      <w:sz w:val="21"/>
                      <w:szCs w:val="21"/>
                      <w:highlight w:val="none"/>
                      <w:u w:val="none" w:color="auto"/>
                      <w:lang w:bidi="ar"/>
                    </w:rPr>
                    <w:t>达标情况</w:t>
                  </w:r>
                </w:p>
              </w:tc>
            </w:tr>
            <w:tr w14:paraId="1E9DFA2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029" w:type="dxa"/>
                  <w:vMerge w:val="continue"/>
                  <w:tcBorders>
                    <w:tl2br w:val="nil"/>
                    <w:tr2bl w:val="nil"/>
                  </w:tcBorders>
                  <w:noWrap w:val="0"/>
                  <w:tcMar>
                    <w:top w:w="15" w:type="dxa"/>
                    <w:left w:w="15" w:type="dxa"/>
                    <w:right w:w="15" w:type="dxa"/>
                  </w:tcMar>
                  <w:vAlign w:val="center"/>
                </w:tcPr>
                <w:p w14:paraId="278D25C2">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942" w:type="dxa"/>
                  <w:vMerge w:val="continue"/>
                  <w:tcBorders>
                    <w:tl2br w:val="nil"/>
                    <w:tr2bl w:val="nil"/>
                  </w:tcBorders>
                  <w:noWrap w:val="0"/>
                  <w:tcMar>
                    <w:top w:w="15" w:type="dxa"/>
                    <w:left w:w="15" w:type="dxa"/>
                    <w:right w:w="15" w:type="dxa"/>
                  </w:tcMar>
                  <w:vAlign w:val="center"/>
                </w:tcPr>
                <w:p w14:paraId="68DF60D8">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1144" w:type="dxa"/>
                  <w:vMerge w:val="continue"/>
                  <w:tcBorders>
                    <w:tl2br w:val="nil"/>
                    <w:tr2bl w:val="nil"/>
                  </w:tcBorders>
                  <w:noWrap w:val="0"/>
                  <w:tcMar>
                    <w:top w:w="15" w:type="dxa"/>
                    <w:left w:w="15" w:type="dxa"/>
                    <w:right w:w="15" w:type="dxa"/>
                  </w:tcMar>
                  <w:vAlign w:val="center"/>
                </w:tcPr>
                <w:p w14:paraId="6D86F762">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1111" w:type="dxa"/>
                  <w:vMerge w:val="continue"/>
                  <w:tcBorders>
                    <w:tl2br w:val="nil"/>
                    <w:tr2bl w:val="nil"/>
                  </w:tcBorders>
                  <w:noWrap w:val="0"/>
                  <w:tcMar>
                    <w:top w:w="15" w:type="dxa"/>
                    <w:left w:w="15" w:type="dxa"/>
                    <w:right w:w="15" w:type="dxa"/>
                  </w:tcMar>
                  <w:vAlign w:val="center"/>
                </w:tcPr>
                <w:p w14:paraId="767DC734">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1071" w:type="dxa"/>
                  <w:vMerge w:val="continue"/>
                  <w:tcBorders>
                    <w:tl2br w:val="nil"/>
                    <w:tr2bl w:val="nil"/>
                  </w:tcBorders>
                  <w:noWrap w:val="0"/>
                  <w:tcMar>
                    <w:top w:w="15" w:type="dxa"/>
                    <w:left w:w="15" w:type="dxa"/>
                    <w:right w:w="15" w:type="dxa"/>
                  </w:tcMar>
                  <w:vAlign w:val="center"/>
                </w:tcPr>
                <w:p w14:paraId="621F2207">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1056" w:type="dxa"/>
                  <w:vMerge w:val="continue"/>
                  <w:tcBorders>
                    <w:tl2br w:val="nil"/>
                    <w:tr2bl w:val="nil"/>
                  </w:tcBorders>
                  <w:noWrap w:val="0"/>
                  <w:tcMar>
                    <w:top w:w="15" w:type="dxa"/>
                    <w:left w:w="15" w:type="dxa"/>
                    <w:right w:w="15" w:type="dxa"/>
                  </w:tcMar>
                  <w:vAlign w:val="center"/>
                </w:tcPr>
                <w:p w14:paraId="00E50C6A">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668" w:type="dxa"/>
                  <w:vMerge w:val="continue"/>
                  <w:tcBorders>
                    <w:tl2br w:val="nil"/>
                    <w:tr2bl w:val="nil"/>
                  </w:tcBorders>
                  <w:noWrap w:val="0"/>
                  <w:tcMar>
                    <w:top w:w="15" w:type="dxa"/>
                    <w:left w:w="15" w:type="dxa"/>
                    <w:right w:w="15" w:type="dxa"/>
                  </w:tcMar>
                  <w:vAlign w:val="center"/>
                </w:tcPr>
                <w:p w14:paraId="2AD0D2A5">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695" w:type="dxa"/>
                  <w:vMerge w:val="continue"/>
                  <w:tcBorders>
                    <w:tl2br w:val="nil"/>
                    <w:tr2bl w:val="nil"/>
                  </w:tcBorders>
                  <w:noWrap w:val="0"/>
                  <w:tcMar>
                    <w:top w:w="15" w:type="dxa"/>
                    <w:left w:w="15" w:type="dxa"/>
                    <w:right w:w="15" w:type="dxa"/>
                  </w:tcMar>
                  <w:vAlign w:val="center"/>
                </w:tcPr>
                <w:p w14:paraId="101AEBA6">
                  <w:pPr>
                    <w:spacing w:beforeLines="0" w:afterLines="0" w:line="240" w:lineRule="auto"/>
                    <w:rPr>
                      <w:rFonts w:hint="default" w:ascii="Times New Roman" w:hAnsi="Times New Roman" w:eastAsia="宋体" w:cs="Times New Roman"/>
                      <w:color w:val="auto"/>
                      <w:sz w:val="20"/>
                      <w:szCs w:val="20"/>
                      <w:highlight w:val="none"/>
                      <w:u w:val="none" w:color="auto"/>
                    </w:rPr>
                  </w:pPr>
                </w:p>
              </w:tc>
            </w:tr>
            <w:tr w14:paraId="06CB68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29" w:type="dxa"/>
                  <w:vMerge w:val="restart"/>
                  <w:tcBorders>
                    <w:tl2br w:val="nil"/>
                    <w:tr2bl w:val="nil"/>
                  </w:tcBorders>
                  <w:noWrap w:val="0"/>
                  <w:tcMar>
                    <w:top w:w="15" w:type="dxa"/>
                    <w:left w:w="15" w:type="dxa"/>
                    <w:right w:w="15" w:type="dxa"/>
                  </w:tcMar>
                  <w:vAlign w:val="center"/>
                </w:tcPr>
                <w:p w14:paraId="6740E0C9">
                  <w:pPr>
                    <w:spacing w:beforeLines="0" w:afterLines="0" w:line="240" w:lineRule="auto"/>
                    <w:jc w:val="center"/>
                    <w:rPr>
                      <w:rFonts w:hint="default" w:ascii="Times New Roman" w:hAnsi="Times New Roman" w:eastAsia="宋体" w:cs="Times New Roman"/>
                      <w:color w:val="auto"/>
                      <w:sz w:val="21"/>
                      <w:szCs w:val="21"/>
                      <w:highlight w:val="none"/>
                      <w:u w:val="none" w:color="auto"/>
                      <w:lang w:val="en-US" w:eastAsia="zh-CN"/>
                    </w:rPr>
                  </w:pPr>
                  <w:r>
                    <w:rPr>
                      <w:rFonts w:hint="default" w:ascii="Times New Roman" w:hAnsi="Times New Roman" w:eastAsia="宋体" w:cs="Times New Roman"/>
                      <w:color w:val="auto"/>
                      <w:sz w:val="21"/>
                      <w:szCs w:val="21"/>
                      <w:highlight w:val="none"/>
                      <w:u w:val="none" w:color="auto"/>
                      <w:lang w:val="en-US" w:eastAsia="zh-CN"/>
                    </w:rPr>
                    <w:t>项目所在地下风向</w:t>
                  </w:r>
                </w:p>
              </w:tc>
              <w:tc>
                <w:tcPr>
                  <w:tcW w:w="942" w:type="dxa"/>
                  <w:tcBorders>
                    <w:tl2br w:val="nil"/>
                    <w:tr2bl w:val="nil"/>
                  </w:tcBorders>
                  <w:shd w:val="clear" w:color="auto" w:fill="auto"/>
                  <w:noWrap w:val="0"/>
                  <w:tcMar>
                    <w:top w:w="15" w:type="dxa"/>
                    <w:left w:w="15" w:type="dxa"/>
                    <w:right w:w="15" w:type="dxa"/>
                  </w:tcMar>
                  <w:vAlign w:val="center"/>
                </w:tcPr>
                <w:p w14:paraId="63CA177E">
                  <w:pPr>
                    <w:spacing w:beforeLines="0" w:afterLines="0" w:line="240" w:lineRule="auto"/>
                    <w:jc w:val="center"/>
                    <w:rPr>
                      <w:rFonts w:hint="default" w:ascii="Times New Roman" w:hAnsi="Times New Roman" w:eastAsia="宋体" w:cs="Times New Roman"/>
                      <w:i w:val="0"/>
                      <w:iCs w:val="0"/>
                      <w:color w:val="auto"/>
                      <w:kern w:val="2"/>
                      <w:sz w:val="21"/>
                      <w:szCs w:val="21"/>
                      <w:highlight w:val="none"/>
                      <w:u w:val="none" w:color="auto"/>
                      <w:lang w:val="en-US" w:eastAsia="zh-CN" w:bidi="ar-SA"/>
                    </w:rPr>
                  </w:pPr>
                  <w:r>
                    <w:rPr>
                      <w:rFonts w:hint="eastAsia" w:cs="Times New Roman"/>
                      <w:i w:val="0"/>
                      <w:iCs w:val="0"/>
                      <w:color w:val="auto"/>
                      <w:sz w:val="21"/>
                      <w:szCs w:val="21"/>
                      <w:highlight w:val="none"/>
                      <w:u w:val="none" w:color="auto"/>
                      <w:lang w:val="en-US" w:eastAsia="zh-CN"/>
                    </w:rPr>
                    <w:t>TSP</w:t>
                  </w:r>
                </w:p>
              </w:tc>
              <w:tc>
                <w:tcPr>
                  <w:tcW w:w="1144" w:type="dxa"/>
                  <w:tcBorders>
                    <w:tl2br w:val="nil"/>
                    <w:tr2bl w:val="nil"/>
                  </w:tcBorders>
                  <w:shd w:val="clear" w:color="auto" w:fill="auto"/>
                  <w:noWrap w:val="0"/>
                  <w:tcMar>
                    <w:top w:w="15" w:type="dxa"/>
                    <w:left w:w="15" w:type="dxa"/>
                    <w:right w:w="15" w:type="dxa"/>
                  </w:tcMar>
                  <w:vAlign w:val="center"/>
                </w:tcPr>
                <w:p w14:paraId="76987640">
                  <w:pPr>
                    <w:spacing w:beforeLines="0" w:afterLines="0" w:line="240" w:lineRule="auto"/>
                    <w:jc w:val="center"/>
                    <w:rPr>
                      <w:rFonts w:hint="default" w:ascii="Times New Roman" w:hAnsi="Times New Roman" w:eastAsia="宋体"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日平均</w:t>
                  </w:r>
                </w:p>
              </w:tc>
              <w:tc>
                <w:tcPr>
                  <w:tcW w:w="1111" w:type="dxa"/>
                  <w:tcBorders>
                    <w:tl2br w:val="nil"/>
                    <w:tr2bl w:val="nil"/>
                  </w:tcBorders>
                  <w:shd w:val="clear" w:color="auto" w:fill="auto"/>
                  <w:noWrap w:val="0"/>
                  <w:tcMar>
                    <w:top w:w="15" w:type="dxa"/>
                    <w:left w:w="15" w:type="dxa"/>
                    <w:right w:w="15" w:type="dxa"/>
                  </w:tcMar>
                  <w:vAlign w:val="center"/>
                </w:tcPr>
                <w:p w14:paraId="1EE5EBAB">
                  <w:pPr>
                    <w:spacing w:beforeLines="0" w:afterLines="0" w:line="240" w:lineRule="auto"/>
                    <w:jc w:val="center"/>
                    <w:rPr>
                      <w:rFonts w:hint="default" w:ascii="Times New Roman" w:hAnsi="Times New Roman" w:eastAsia="宋体"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300</w:t>
                  </w:r>
                </w:p>
              </w:tc>
              <w:tc>
                <w:tcPr>
                  <w:tcW w:w="1071" w:type="dxa"/>
                  <w:tcBorders>
                    <w:tl2br w:val="nil"/>
                    <w:tr2bl w:val="nil"/>
                  </w:tcBorders>
                  <w:shd w:val="clear" w:color="auto" w:fill="auto"/>
                  <w:noWrap w:val="0"/>
                  <w:tcMar>
                    <w:top w:w="15" w:type="dxa"/>
                    <w:left w:w="15" w:type="dxa"/>
                    <w:right w:w="15" w:type="dxa"/>
                  </w:tcMar>
                  <w:vAlign w:val="center"/>
                </w:tcPr>
                <w:p w14:paraId="5AA16F0C">
                  <w:pPr>
                    <w:adjustRightInd w:val="0"/>
                    <w:snapToGrid w:val="0"/>
                    <w:spacing w:beforeLines="0" w:afterLines="0" w:line="240" w:lineRule="auto"/>
                    <w:jc w:val="center"/>
                    <w:rPr>
                      <w:rFonts w:hint="default" w:ascii="Times New Roman" w:hAnsi="Times New Roman" w:eastAsia="宋体" w:cs="Times New Roman"/>
                      <w:color w:val="auto"/>
                      <w:kern w:val="2"/>
                      <w:sz w:val="21"/>
                      <w:szCs w:val="21"/>
                      <w:highlight w:val="none"/>
                      <w:u w:val="none" w:color="auto"/>
                      <w:lang w:val="en-US" w:eastAsia="zh-CN" w:bidi="ar"/>
                    </w:rPr>
                  </w:pPr>
                  <w:r>
                    <w:rPr>
                      <w:rFonts w:hint="eastAsia" w:cs="Times New Roman"/>
                      <w:color w:val="auto"/>
                      <w:kern w:val="2"/>
                      <w:sz w:val="21"/>
                      <w:szCs w:val="21"/>
                      <w:highlight w:val="none"/>
                      <w:u w:val="none" w:color="auto"/>
                      <w:lang w:val="en-US" w:eastAsia="zh-CN" w:bidi="ar"/>
                    </w:rPr>
                    <w:t>220-227</w:t>
                  </w:r>
                </w:p>
              </w:tc>
              <w:tc>
                <w:tcPr>
                  <w:tcW w:w="1056" w:type="dxa"/>
                  <w:tcBorders>
                    <w:tl2br w:val="nil"/>
                    <w:tr2bl w:val="nil"/>
                  </w:tcBorders>
                  <w:shd w:val="clear" w:color="auto" w:fill="auto"/>
                  <w:noWrap w:val="0"/>
                  <w:tcMar>
                    <w:top w:w="15" w:type="dxa"/>
                    <w:left w:w="15" w:type="dxa"/>
                    <w:right w:w="15" w:type="dxa"/>
                  </w:tcMar>
                  <w:vAlign w:val="center"/>
                </w:tcPr>
                <w:p w14:paraId="7CE1E7C2">
                  <w:pPr>
                    <w:pStyle w:val="73"/>
                    <w:spacing w:line="240" w:lineRule="auto"/>
                    <w:ind w:firstLine="0" w:firstLineChars="0"/>
                    <w:rPr>
                      <w:rFonts w:hint="default" w:ascii="Times New Roman" w:hAnsi="Times New Roman" w:eastAsia="宋体" w:cs="Times New Roman"/>
                      <w:color w:val="auto"/>
                      <w:kern w:val="2"/>
                      <w:sz w:val="21"/>
                      <w:szCs w:val="28"/>
                      <w:highlight w:val="none"/>
                      <w:u w:val="none" w:color="auto"/>
                      <w:lang w:val="en-US" w:eastAsia="zh-CN" w:bidi="ar-SA"/>
                    </w:rPr>
                  </w:pPr>
                  <w:r>
                    <w:rPr>
                      <w:rFonts w:hint="eastAsia" w:cs="Times New Roman"/>
                      <w:color w:val="auto"/>
                      <w:kern w:val="2"/>
                      <w:sz w:val="21"/>
                      <w:szCs w:val="28"/>
                      <w:highlight w:val="none"/>
                      <w:u w:val="none" w:color="auto"/>
                      <w:lang w:val="en-US" w:eastAsia="zh-CN" w:bidi="ar-SA"/>
                    </w:rPr>
                    <w:t>75.7</w:t>
                  </w:r>
                </w:p>
              </w:tc>
              <w:tc>
                <w:tcPr>
                  <w:tcW w:w="668" w:type="dxa"/>
                  <w:tcBorders>
                    <w:tl2br w:val="nil"/>
                    <w:tr2bl w:val="nil"/>
                  </w:tcBorders>
                  <w:shd w:val="clear" w:color="auto" w:fill="auto"/>
                  <w:noWrap w:val="0"/>
                  <w:tcMar>
                    <w:top w:w="15" w:type="dxa"/>
                    <w:left w:w="15" w:type="dxa"/>
                    <w:right w:w="15" w:type="dxa"/>
                  </w:tcMar>
                  <w:vAlign w:val="center"/>
                </w:tcPr>
                <w:p w14:paraId="5E8BA5AD">
                  <w:pPr>
                    <w:spacing w:beforeLines="0" w:afterLines="0" w:line="240" w:lineRule="auto"/>
                    <w:jc w:val="center"/>
                    <w:rPr>
                      <w:rFonts w:hint="default" w:ascii="Times New Roman" w:hAnsi="Times New Roman" w:eastAsia="宋体" w:cs="Times New Roman"/>
                      <w:color w:val="auto"/>
                      <w:kern w:val="2"/>
                      <w:sz w:val="21"/>
                      <w:szCs w:val="21"/>
                      <w:highlight w:val="none"/>
                      <w:u w:val="none" w:color="auto"/>
                      <w:lang w:val="en-US" w:eastAsia="zh-CN" w:bidi="ar-SA"/>
                    </w:rPr>
                  </w:pPr>
                  <w:r>
                    <w:rPr>
                      <w:rFonts w:hint="eastAsia" w:cs="Times New Roman"/>
                      <w:color w:val="auto"/>
                      <w:sz w:val="21"/>
                      <w:szCs w:val="21"/>
                      <w:highlight w:val="none"/>
                      <w:u w:val="none" w:color="auto"/>
                      <w:lang w:val="en-US" w:eastAsia="zh-CN"/>
                    </w:rPr>
                    <w:t>0</w:t>
                  </w:r>
                </w:p>
              </w:tc>
              <w:tc>
                <w:tcPr>
                  <w:tcW w:w="695" w:type="dxa"/>
                  <w:tcBorders>
                    <w:tl2br w:val="nil"/>
                    <w:tr2bl w:val="nil"/>
                  </w:tcBorders>
                  <w:shd w:val="clear" w:color="auto" w:fill="auto"/>
                  <w:noWrap w:val="0"/>
                  <w:tcMar>
                    <w:top w:w="15" w:type="dxa"/>
                    <w:left w:w="15" w:type="dxa"/>
                    <w:right w:w="15" w:type="dxa"/>
                  </w:tcMar>
                  <w:vAlign w:val="center"/>
                </w:tcPr>
                <w:p w14:paraId="55B9D025">
                  <w:pPr>
                    <w:spacing w:beforeLines="0" w:afterLines="0" w:line="240" w:lineRule="auto"/>
                    <w:jc w:val="center"/>
                    <w:rPr>
                      <w:rFonts w:hint="default" w:ascii="Times New Roman" w:hAnsi="Times New Roman" w:eastAsia="宋体" w:cs="Times New Roman"/>
                      <w:color w:val="auto"/>
                      <w:spacing w:val="-12"/>
                      <w:kern w:val="2"/>
                      <w:sz w:val="21"/>
                      <w:szCs w:val="21"/>
                      <w:highlight w:val="none"/>
                      <w:u w:val="none" w:color="auto"/>
                      <w:lang w:val="en-US" w:eastAsia="zh-CN" w:bidi="ar"/>
                    </w:rPr>
                  </w:pPr>
                  <w:r>
                    <w:rPr>
                      <w:rFonts w:hint="default" w:ascii="Times New Roman" w:hAnsi="Times New Roman" w:eastAsia="宋体" w:cs="Times New Roman"/>
                      <w:color w:val="auto"/>
                      <w:spacing w:val="-12"/>
                      <w:sz w:val="21"/>
                      <w:szCs w:val="21"/>
                      <w:highlight w:val="none"/>
                      <w:u w:val="none" w:color="auto"/>
                      <w:lang w:bidi="ar"/>
                    </w:rPr>
                    <w:t>达标</w:t>
                  </w:r>
                </w:p>
              </w:tc>
            </w:tr>
            <w:tr w14:paraId="7D54B31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1029" w:type="dxa"/>
                  <w:vMerge w:val="continue"/>
                  <w:tcBorders>
                    <w:tl2br w:val="nil"/>
                    <w:tr2bl w:val="nil"/>
                  </w:tcBorders>
                  <w:noWrap w:val="0"/>
                  <w:tcMar>
                    <w:top w:w="15" w:type="dxa"/>
                    <w:left w:w="15" w:type="dxa"/>
                    <w:right w:w="15" w:type="dxa"/>
                  </w:tcMar>
                  <w:vAlign w:val="center"/>
                </w:tcPr>
                <w:p w14:paraId="5C7321CB">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942" w:type="dxa"/>
                  <w:vMerge w:val="restart"/>
                  <w:tcBorders>
                    <w:tl2br w:val="nil"/>
                    <w:tr2bl w:val="nil"/>
                  </w:tcBorders>
                  <w:noWrap w:val="0"/>
                  <w:tcMar>
                    <w:top w:w="15" w:type="dxa"/>
                    <w:left w:w="15" w:type="dxa"/>
                    <w:right w:w="15" w:type="dxa"/>
                  </w:tcMar>
                  <w:vAlign w:val="center"/>
                </w:tcPr>
                <w:p w14:paraId="4AA6741D">
                  <w:pPr>
                    <w:spacing w:beforeLines="0" w:afterLines="0" w:line="240" w:lineRule="auto"/>
                    <w:jc w:val="center"/>
                    <w:rPr>
                      <w:rFonts w:hint="default" w:cs="Times New Roman"/>
                      <w:i w:val="0"/>
                      <w:iCs w:val="0"/>
                      <w:color w:val="auto"/>
                      <w:sz w:val="21"/>
                      <w:szCs w:val="21"/>
                      <w:highlight w:val="none"/>
                      <w:u w:val="none" w:color="auto"/>
                      <w:lang w:val="en-US" w:eastAsia="zh-CN"/>
                    </w:rPr>
                  </w:pPr>
                  <w:r>
                    <w:rPr>
                      <w:rFonts w:hint="eastAsia" w:cs="Times New Roman"/>
                      <w:i w:val="0"/>
                      <w:iCs w:val="0"/>
                      <w:color w:val="auto"/>
                      <w:sz w:val="21"/>
                      <w:szCs w:val="21"/>
                      <w:highlight w:val="none"/>
                      <w:u w:val="none" w:color="auto"/>
                      <w:lang w:val="en-US" w:eastAsia="zh-CN"/>
                    </w:rPr>
                    <w:t>氮氧化物</w:t>
                  </w:r>
                </w:p>
              </w:tc>
              <w:tc>
                <w:tcPr>
                  <w:tcW w:w="1144" w:type="dxa"/>
                  <w:tcBorders>
                    <w:tl2br w:val="nil"/>
                    <w:tr2bl w:val="nil"/>
                  </w:tcBorders>
                  <w:noWrap w:val="0"/>
                  <w:tcMar>
                    <w:top w:w="15" w:type="dxa"/>
                    <w:left w:w="15" w:type="dxa"/>
                    <w:right w:w="15" w:type="dxa"/>
                  </w:tcMar>
                  <w:vAlign w:val="center"/>
                </w:tcPr>
                <w:p w14:paraId="1CEA32E2">
                  <w:pPr>
                    <w:spacing w:beforeLines="0" w:afterLines="0" w:line="240" w:lineRule="auto"/>
                    <w:jc w:val="center"/>
                    <w:rPr>
                      <w:rFonts w:hint="default"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小时平均</w:t>
                  </w:r>
                </w:p>
              </w:tc>
              <w:tc>
                <w:tcPr>
                  <w:tcW w:w="1111" w:type="dxa"/>
                  <w:tcBorders>
                    <w:tl2br w:val="nil"/>
                    <w:tr2bl w:val="nil"/>
                  </w:tcBorders>
                  <w:noWrap w:val="0"/>
                  <w:tcMar>
                    <w:top w:w="15" w:type="dxa"/>
                    <w:left w:w="15" w:type="dxa"/>
                    <w:right w:w="15" w:type="dxa"/>
                  </w:tcMar>
                  <w:vAlign w:val="center"/>
                </w:tcPr>
                <w:p w14:paraId="1E6F7D64">
                  <w:pPr>
                    <w:spacing w:beforeLines="0" w:afterLines="0" w:line="240" w:lineRule="auto"/>
                    <w:jc w:val="center"/>
                    <w:rPr>
                      <w:rFonts w:hint="default"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250</w:t>
                  </w:r>
                </w:p>
              </w:tc>
              <w:tc>
                <w:tcPr>
                  <w:tcW w:w="1071" w:type="dxa"/>
                  <w:tcBorders>
                    <w:tl2br w:val="nil"/>
                    <w:tr2bl w:val="nil"/>
                  </w:tcBorders>
                  <w:noWrap w:val="0"/>
                  <w:tcMar>
                    <w:top w:w="15" w:type="dxa"/>
                    <w:left w:w="15" w:type="dxa"/>
                    <w:right w:w="15" w:type="dxa"/>
                  </w:tcMar>
                  <w:vAlign w:val="center"/>
                </w:tcPr>
                <w:p w14:paraId="409F8743">
                  <w:pPr>
                    <w:pStyle w:val="73"/>
                    <w:spacing w:line="240" w:lineRule="auto"/>
                    <w:ind w:firstLine="0" w:firstLineChars="0"/>
                    <w:rPr>
                      <w:rFonts w:hint="default" w:ascii="Times New Roman" w:hAnsi="Times New Roman" w:eastAsia="宋体" w:cs="Times New Roman"/>
                      <w:color w:val="auto"/>
                      <w:kern w:val="2"/>
                      <w:sz w:val="21"/>
                      <w:szCs w:val="21"/>
                      <w:highlight w:val="none"/>
                      <w:u w:val="none" w:color="auto"/>
                      <w:lang w:val="en-US" w:eastAsia="zh-CN" w:bidi="ar"/>
                    </w:rPr>
                  </w:pPr>
                  <w:r>
                    <w:rPr>
                      <w:rFonts w:hint="eastAsia" w:cs="Times New Roman"/>
                      <w:color w:val="auto"/>
                      <w:kern w:val="2"/>
                      <w:sz w:val="21"/>
                      <w:szCs w:val="21"/>
                      <w:highlight w:val="none"/>
                      <w:u w:val="none" w:color="auto"/>
                      <w:lang w:val="en-US" w:eastAsia="zh-CN" w:bidi="ar"/>
                    </w:rPr>
                    <w:t>31-37</w:t>
                  </w:r>
                </w:p>
              </w:tc>
              <w:tc>
                <w:tcPr>
                  <w:tcW w:w="1056" w:type="dxa"/>
                  <w:tcBorders>
                    <w:tl2br w:val="nil"/>
                    <w:tr2bl w:val="nil"/>
                  </w:tcBorders>
                  <w:noWrap w:val="0"/>
                  <w:tcMar>
                    <w:top w:w="15" w:type="dxa"/>
                    <w:left w:w="15" w:type="dxa"/>
                    <w:right w:w="15" w:type="dxa"/>
                  </w:tcMar>
                  <w:vAlign w:val="center"/>
                </w:tcPr>
                <w:p w14:paraId="469F7B77">
                  <w:pPr>
                    <w:pStyle w:val="73"/>
                    <w:spacing w:line="240" w:lineRule="auto"/>
                    <w:ind w:firstLine="0" w:firstLineChars="0"/>
                    <w:jc w:val="center"/>
                    <w:rPr>
                      <w:rFonts w:hint="default" w:ascii="Times New Roman" w:hAnsi="Times New Roman" w:eastAsia="宋体"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14.8</w:t>
                  </w:r>
                </w:p>
              </w:tc>
              <w:tc>
                <w:tcPr>
                  <w:tcW w:w="668" w:type="dxa"/>
                  <w:tcBorders>
                    <w:tl2br w:val="nil"/>
                    <w:tr2bl w:val="nil"/>
                  </w:tcBorders>
                  <w:noWrap w:val="0"/>
                  <w:tcMar>
                    <w:top w:w="15" w:type="dxa"/>
                    <w:left w:w="15" w:type="dxa"/>
                    <w:right w:w="15" w:type="dxa"/>
                  </w:tcMar>
                  <w:vAlign w:val="center"/>
                </w:tcPr>
                <w:p w14:paraId="329754AA">
                  <w:pPr>
                    <w:spacing w:beforeLines="0" w:afterLines="0" w:line="240" w:lineRule="auto"/>
                    <w:jc w:val="center"/>
                    <w:rPr>
                      <w:rFonts w:hint="default" w:ascii="Times New Roman" w:hAnsi="Times New Roman" w:eastAsia="宋体" w:cs="Times New Roman"/>
                      <w:color w:val="auto"/>
                      <w:sz w:val="21"/>
                      <w:szCs w:val="21"/>
                      <w:highlight w:val="none"/>
                      <w:u w:val="none" w:color="auto"/>
                      <w:lang w:val="en-US" w:eastAsia="zh-CN"/>
                    </w:rPr>
                  </w:pPr>
                  <w:r>
                    <w:rPr>
                      <w:rFonts w:hint="eastAsia" w:cs="Times New Roman"/>
                      <w:color w:val="auto"/>
                      <w:sz w:val="21"/>
                      <w:szCs w:val="21"/>
                      <w:highlight w:val="none"/>
                      <w:u w:val="none" w:color="auto"/>
                      <w:lang w:val="en-US" w:eastAsia="zh-CN"/>
                    </w:rPr>
                    <w:t>0</w:t>
                  </w:r>
                </w:p>
              </w:tc>
              <w:tc>
                <w:tcPr>
                  <w:tcW w:w="695" w:type="dxa"/>
                  <w:tcBorders>
                    <w:tl2br w:val="nil"/>
                    <w:tr2bl w:val="nil"/>
                  </w:tcBorders>
                  <w:noWrap w:val="0"/>
                  <w:tcMar>
                    <w:top w:w="15" w:type="dxa"/>
                    <w:left w:w="15" w:type="dxa"/>
                    <w:right w:w="15" w:type="dxa"/>
                  </w:tcMar>
                  <w:vAlign w:val="center"/>
                </w:tcPr>
                <w:p w14:paraId="7F369BBF">
                  <w:pPr>
                    <w:spacing w:beforeLines="0" w:afterLines="0" w:line="240" w:lineRule="auto"/>
                    <w:jc w:val="center"/>
                    <w:rPr>
                      <w:rFonts w:hint="eastAsia" w:ascii="Times New Roman" w:hAnsi="Times New Roman" w:eastAsia="宋体" w:cs="Times New Roman"/>
                      <w:color w:val="auto"/>
                      <w:spacing w:val="-12"/>
                      <w:sz w:val="21"/>
                      <w:szCs w:val="21"/>
                      <w:highlight w:val="none"/>
                      <w:u w:val="none" w:color="auto"/>
                      <w:lang w:val="en-US" w:eastAsia="zh-CN" w:bidi="ar"/>
                    </w:rPr>
                  </w:pPr>
                  <w:r>
                    <w:rPr>
                      <w:rFonts w:hint="default" w:ascii="Times New Roman" w:hAnsi="Times New Roman" w:eastAsia="宋体" w:cs="Times New Roman"/>
                      <w:color w:val="auto"/>
                      <w:spacing w:val="-12"/>
                      <w:sz w:val="21"/>
                      <w:szCs w:val="21"/>
                      <w:highlight w:val="none"/>
                      <w:u w:val="none" w:color="auto"/>
                      <w:lang w:bidi="ar"/>
                    </w:rPr>
                    <w:t>达标</w:t>
                  </w:r>
                </w:p>
              </w:tc>
            </w:tr>
            <w:tr w14:paraId="65F6CE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5" w:hRule="atLeast"/>
                <w:jc w:val="center"/>
              </w:trPr>
              <w:tc>
                <w:tcPr>
                  <w:tcW w:w="1029" w:type="dxa"/>
                  <w:vMerge w:val="continue"/>
                  <w:tcBorders>
                    <w:tl2br w:val="nil"/>
                    <w:tr2bl w:val="nil"/>
                  </w:tcBorders>
                  <w:noWrap w:val="0"/>
                  <w:tcMar>
                    <w:top w:w="15" w:type="dxa"/>
                    <w:left w:w="15" w:type="dxa"/>
                    <w:right w:w="15" w:type="dxa"/>
                  </w:tcMar>
                  <w:vAlign w:val="center"/>
                </w:tcPr>
                <w:p w14:paraId="73C0A3A0">
                  <w:pPr>
                    <w:spacing w:beforeLines="0" w:afterLines="0" w:line="240" w:lineRule="auto"/>
                    <w:rPr>
                      <w:rFonts w:hint="default" w:ascii="Times New Roman" w:hAnsi="Times New Roman" w:eastAsia="宋体" w:cs="Times New Roman"/>
                      <w:color w:val="auto"/>
                      <w:sz w:val="20"/>
                      <w:szCs w:val="20"/>
                      <w:highlight w:val="none"/>
                      <w:u w:val="none" w:color="auto"/>
                    </w:rPr>
                  </w:pPr>
                </w:p>
              </w:tc>
              <w:tc>
                <w:tcPr>
                  <w:tcW w:w="942" w:type="dxa"/>
                  <w:vMerge w:val="continue"/>
                  <w:tcBorders>
                    <w:tl2br w:val="nil"/>
                    <w:tr2bl w:val="nil"/>
                  </w:tcBorders>
                  <w:noWrap w:val="0"/>
                  <w:tcMar>
                    <w:top w:w="15" w:type="dxa"/>
                    <w:left w:w="15" w:type="dxa"/>
                    <w:right w:w="15" w:type="dxa"/>
                  </w:tcMar>
                  <w:vAlign w:val="center"/>
                </w:tcPr>
                <w:p w14:paraId="619B5F5D">
                  <w:pPr>
                    <w:spacing w:beforeLines="0" w:afterLines="0" w:line="240" w:lineRule="auto"/>
                    <w:jc w:val="center"/>
                    <w:rPr>
                      <w:rFonts w:hint="eastAsia" w:cs="Times New Roman"/>
                      <w:i w:val="0"/>
                      <w:iCs w:val="0"/>
                      <w:color w:val="auto"/>
                      <w:sz w:val="21"/>
                      <w:szCs w:val="21"/>
                      <w:highlight w:val="none"/>
                      <w:u w:val="none" w:color="auto"/>
                      <w:lang w:val="en-US" w:eastAsia="zh-CN"/>
                    </w:rPr>
                  </w:pPr>
                </w:p>
              </w:tc>
              <w:tc>
                <w:tcPr>
                  <w:tcW w:w="1144" w:type="dxa"/>
                  <w:tcBorders>
                    <w:tl2br w:val="nil"/>
                    <w:tr2bl w:val="nil"/>
                  </w:tcBorders>
                  <w:noWrap w:val="0"/>
                  <w:tcMar>
                    <w:top w:w="15" w:type="dxa"/>
                    <w:left w:w="15" w:type="dxa"/>
                    <w:right w:w="15" w:type="dxa"/>
                  </w:tcMar>
                  <w:vAlign w:val="center"/>
                </w:tcPr>
                <w:p w14:paraId="53808918">
                  <w:pPr>
                    <w:spacing w:beforeLines="0" w:afterLines="0" w:line="240" w:lineRule="auto"/>
                    <w:jc w:val="center"/>
                    <w:rPr>
                      <w:rFonts w:hint="eastAsia"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日平均</w:t>
                  </w:r>
                </w:p>
              </w:tc>
              <w:tc>
                <w:tcPr>
                  <w:tcW w:w="1111" w:type="dxa"/>
                  <w:tcBorders>
                    <w:tl2br w:val="nil"/>
                    <w:tr2bl w:val="nil"/>
                  </w:tcBorders>
                  <w:noWrap w:val="0"/>
                  <w:tcMar>
                    <w:top w:w="15" w:type="dxa"/>
                    <w:left w:w="15" w:type="dxa"/>
                    <w:right w:w="15" w:type="dxa"/>
                  </w:tcMar>
                  <w:vAlign w:val="center"/>
                </w:tcPr>
                <w:p w14:paraId="63669DE0">
                  <w:pPr>
                    <w:spacing w:beforeLines="0" w:afterLines="0" w:line="240" w:lineRule="auto"/>
                    <w:jc w:val="center"/>
                    <w:rPr>
                      <w:rFonts w:hint="default"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100</w:t>
                  </w:r>
                </w:p>
              </w:tc>
              <w:tc>
                <w:tcPr>
                  <w:tcW w:w="1071" w:type="dxa"/>
                  <w:tcBorders>
                    <w:tl2br w:val="nil"/>
                    <w:tr2bl w:val="nil"/>
                  </w:tcBorders>
                  <w:noWrap w:val="0"/>
                  <w:tcMar>
                    <w:top w:w="15" w:type="dxa"/>
                    <w:left w:w="15" w:type="dxa"/>
                    <w:right w:w="15" w:type="dxa"/>
                  </w:tcMar>
                  <w:vAlign w:val="center"/>
                </w:tcPr>
                <w:p w14:paraId="7F571F42">
                  <w:pPr>
                    <w:pStyle w:val="73"/>
                    <w:spacing w:line="240" w:lineRule="auto"/>
                    <w:ind w:firstLine="0" w:firstLineChars="0"/>
                    <w:rPr>
                      <w:rFonts w:hint="default" w:ascii="Times New Roman" w:hAnsi="Times New Roman" w:eastAsia="宋体" w:cs="Times New Roman"/>
                      <w:color w:val="auto"/>
                      <w:kern w:val="2"/>
                      <w:sz w:val="21"/>
                      <w:szCs w:val="21"/>
                      <w:highlight w:val="none"/>
                      <w:u w:val="none" w:color="auto"/>
                      <w:lang w:val="en-US" w:eastAsia="zh-CN" w:bidi="ar"/>
                    </w:rPr>
                  </w:pPr>
                  <w:r>
                    <w:rPr>
                      <w:rFonts w:hint="eastAsia" w:cs="Times New Roman"/>
                      <w:color w:val="auto"/>
                      <w:kern w:val="2"/>
                      <w:sz w:val="21"/>
                      <w:szCs w:val="21"/>
                      <w:highlight w:val="none"/>
                      <w:u w:val="none" w:color="auto"/>
                      <w:lang w:val="en-US" w:eastAsia="zh-CN" w:bidi="ar"/>
                    </w:rPr>
                    <w:t>30</w:t>
                  </w:r>
                </w:p>
              </w:tc>
              <w:tc>
                <w:tcPr>
                  <w:tcW w:w="1056" w:type="dxa"/>
                  <w:tcBorders>
                    <w:tl2br w:val="nil"/>
                    <w:tr2bl w:val="nil"/>
                  </w:tcBorders>
                  <w:noWrap w:val="0"/>
                  <w:tcMar>
                    <w:top w:w="15" w:type="dxa"/>
                    <w:left w:w="15" w:type="dxa"/>
                    <w:right w:w="15" w:type="dxa"/>
                  </w:tcMar>
                  <w:vAlign w:val="center"/>
                </w:tcPr>
                <w:p w14:paraId="03E48B90">
                  <w:pPr>
                    <w:pStyle w:val="73"/>
                    <w:spacing w:line="240" w:lineRule="auto"/>
                    <w:ind w:firstLine="0" w:firstLineChars="0"/>
                    <w:rPr>
                      <w:rFonts w:hint="default" w:ascii="Times New Roman" w:hAnsi="Times New Roman" w:eastAsia="宋体" w:cs="Times New Roman"/>
                      <w:color w:val="auto"/>
                      <w:kern w:val="0"/>
                      <w:sz w:val="21"/>
                      <w:szCs w:val="21"/>
                      <w:highlight w:val="none"/>
                      <w:u w:val="none" w:color="auto"/>
                      <w:lang w:val="en-US" w:eastAsia="zh-CN" w:bidi="ar"/>
                    </w:rPr>
                  </w:pPr>
                  <w:r>
                    <w:rPr>
                      <w:rFonts w:hint="eastAsia" w:cs="Times New Roman"/>
                      <w:color w:val="auto"/>
                      <w:kern w:val="0"/>
                      <w:sz w:val="21"/>
                      <w:szCs w:val="21"/>
                      <w:highlight w:val="none"/>
                      <w:u w:val="none" w:color="auto"/>
                      <w:lang w:val="en-US" w:eastAsia="zh-CN" w:bidi="ar"/>
                    </w:rPr>
                    <w:t>30</w:t>
                  </w:r>
                </w:p>
              </w:tc>
              <w:tc>
                <w:tcPr>
                  <w:tcW w:w="668" w:type="dxa"/>
                  <w:tcBorders>
                    <w:tl2br w:val="nil"/>
                    <w:tr2bl w:val="nil"/>
                  </w:tcBorders>
                  <w:shd w:val="clear" w:color="auto" w:fill="auto"/>
                  <w:noWrap w:val="0"/>
                  <w:tcMar>
                    <w:top w:w="15" w:type="dxa"/>
                    <w:left w:w="15" w:type="dxa"/>
                    <w:right w:w="15" w:type="dxa"/>
                  </w:tcMar>
                  <w:vAlign w:val="center"/>
                </w:tcPr>
                <w:p w14:paraId="7ECBDFC9">
                  <w:pPr>
                    <w:spacing w:beforeLines="0" w:afterLines="0" w:line="240" w:lineRule="auto"/>
                    <w:jc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cs="Times New Roman"/>
                      <w:color w:val="auto"/>
                      <w:sz w:val="21"/>
                      <w:szCs w:val="21"/>
                      <w:highlight w:val="none"/>
                      <w:u w:val="none" w:color="auto"/>
                      <w:lang w:val="en-US" w:eastAsia="zh-CN"/>
                    </w:rPr>
                    <w:t>0</w:t>
                  </w:r>
                </w:p>
              </w:tc>
              <w:tc>
                <w:tcPr>
                  <w:tcW w:w="695" w:type="dxa"/>
                  <w:tcBorders>
                    <w:tl2br w:val="nil"/>
                    <w:tr2bl w:val="nil"/>
                  </w:tcBorders>
                  <w:shd w:val="clear" w:color="auto" w:fill="auto"/>
                  <w:noWrap w:val="0"/>
                  <w:tcMar>
                    <w:top w:w="15" w:type="dxa"/>
                    <w:left w:w="15" w:type="dxa"/>
                    <w:right w:w="15" w:type="dxa"/>
                  </w:tcMar>
                  <w:vAlign w:val="center"/>
                </w:tcPr>
                <w:p w14:paraId="4B23AD81">
                  <w:pPr>
                    <w:spacing w:beforeLines="0" w:afterLines="0" w:line="240" w:lineRule="auto"/>
                    <w:jc w:val="center"/>
                    <w:rPr>
                      <w:rFonts w:hint="default" w:ascii="Times New Roman" w:hAnsi="Times New Roman" w:eastAsia="宋体" w:cs="Times New Roman"/>
                      <w:color w:val="auto"/>
                      <w:spacing w:val="-12"/>
                      <w:kern w:val="2"/>
                      <w:sz w:val="21"/>
                      <w:szCs w:val="21"/>
                      <w:highlight w:val="none"/>
                      <w:u w:val="none" w:color="auto"/>
                      <w:lang w:val="en-US" w:eastAsia="zh-CN" w:bidi="ar"/>
                    </w:rPr>
                  </w:pPr>
                  <w:r>
                    <w:rPr>
                      <w:rFonts w:hint="default" w:ascii="Times New Roman" w:hAnsi="Times New Roman" w:eastAsia="宋体" w:cs="Times New Roman"/>
                      <w:color w:val="auto"/>
                      <w:spacing w:val="-12"/>
                      <w:sz w:val="21"/>
                      <w:szCs w:val="21"/>
                      <w:highlight w:val="none"/>
                      <w:u w:val="none" w:color="auto"/>
                      <w:lang w:bidi="ar"/>
                    </w:rPr>
                    <w:t>达标</w:t>
                  </w:r>
                </w:p>
              </w:tc>
            </w:tr>
          </w:tbl>
          <w:p w14:paraId="721B6409">
            <w:pPr>
              <w:adjustRightInd w:val="0"/>
              <w:snapToGrid w:val="0"/>
              <w:spacing w:line="360" w:lineRule="auto"/>
              <w:ind w:firstLine="480" w:firstLineChars="200"/>
              <w:rPr>
                <w:color w:val="auto"/>
                <w:sz w:val="24"/>
                <w:highlight w:val="none"/>
                <w:u w:val="none" w:color="auto"/>
              </w:rPr>
            </w:pPr>
            <w:r>
              <w:rPr>
                <w:rFonts w:hint="default" w:ascii="Times New Roman" w:hAnsi="Times New Roman" w:eastAsia="宋体" w:cs="Times New Roman"/>
                <w:color w:val="auto"/>
                <w:spacing w:val="0"/>
                <w:kern w:val="21"/>
                <w:sz w:val="24"/>
                <w:szCs w:val="24"/>
                <w:highlight w:val="none"/>
                <w:u w:val="none" w:color="auto"/>
                <w:lang w:val="en-US" w:eastAsia="zh-CN" w:bidi="ar-SA"/>
              </w:rPr>
              <w:t>由上表可知，评价区域</w:t>
            </w:r>
            <w:r>
              <w:rPr>
                <w:rFonts w:hint="eastAsia" w:cs="Times New Roman"/>
                <w:color w:val="auto"/>
                <w:spacing w:val="0"/>
                <w:kern w:val="21"/>
                <w:sz w:val="24"/>
                <w:szCs w:val="24"/>
                <w:highlight w:val="none"/>
                <w:u w:val="none" w:color="auto"/>
                <w:lang w:val="en-US" w:eastAsia="zh-CN" w:bidi="ar-SA"/>
              </w:rPr>
              <w:t>TSP、氮氧化物能满足《环境空气质量标准》（GB3095—2012）表2中二级标准</w:t>
            </w:r>
            <w:r>
              <w:rPr>
                <w:rFonts w:hint="default" w:ascii="Times New Roman" w:hAnsi="Times New Roman" w:eastAsia="宋体" w:cs="Times New Roman"/>
                <w:color w:val="auto"/>
                <w:spacing w:val="0"/>
                <w:kern w:val="21"/>
                <w:sz w:val="24"/>
                <w:szCs w:val="24"/>
                <w:highlight w:val="none"/>
                <w:u w:val="none" w:color="auto"/>
                <w:lang w:val="en-US" w:eastAsia="zh-CN" w:bidi="ar-SA"/>
              </w:rPr>
              <w:t>。</w:t>
            </w:r>
          </w:p>
          <w:p w14:paraId="51DCEAE9">
            <w:pPr>
              <w:pStyle w:val="24"/>
              <w:widowControl w:val="0"/>
              <w:spacing w:before="0" w:beforeAutospacing="0" w:after="0" w:afterAutospacing="0" w:line="360" w:lineRule="auto"/>
              <w:ind w:firstLine="482" w:firstLineChars="200"/>
              <w:jc w:val="both"/>
              <w:rPr>
                <w:b/>
                <w:bCs/>
                <w:color w:val="auto"/>
                <w:kern w:val="0"/>
                <w:sz w:val="24"/>
                <w:highlight w:val="none"/>
                <w:u w:val="none" w:color="auto"/>
              </w:rPr>
            </w:pPr>
            <w:r>
              <w:rPr>
                <w:rFonts w:hint="eastAsia"/>
                <w:b/>
                <w:bCs/>
                <w:color w:val="auto"/>
                <w:kern w:val="0"/>
                <w:sz w:val="24"/>
                <w:highlight w:val="none"/>
                <w:u w:val="none" w:color="auto"/>
                <w:lang w:val="en-US" w:eastAsia="zh-CN"/>
              </w:rPr>
              <w:t>3.</w:t>
            </w:r>
            <w:r>
              <w:rPr>
                <w:b/>
                <w:bCs/>
                <w:color w:val="auto"/>
                <w:kern w:val="0"/>
                <w:sz w:val="24"/>
                <w:highlight w:val="none"/>
                <w:u w:val="none" w:color="auto"/>
              </w:rPr>
              <w:t>2地表水环境质量</w:t>
            </w:r>
          </w:p>
          <w:p w14:paraId="26219DCF">
            <w:pPr>
              <w:pStyle w:val="24"/>
              <w:widowControl w:val="0"/>
              <w:spacing w:before="0" w:beforeAutospacing="0" w:after="0" w:afterAutospacing="0" w:line="360" w:lineRule="auto"/>
              <w:ind w:firstLine="480" w:firstLineChars="200"/>
              <w:jc w:val="both"/>
              <w:rPr>
                <w:rFonts w:hint="eastAsia" w:ascii="Times New Roman" w:hAnsi="Times New Roman"/>
                <w:color w:val="auto"/>
                <w:szCs w:val="24"/>
                <w:highlight w:val="none"/>
                <w:u w:val="none" w:color="auto"/>
                <w:lang w:val="en-US" w:eastAsia="zh-CN" w:bidi="ar"/>
              </w:rPr>
            </w:pPr>
            <w:r>
              <w:rPr>
                <w:rFonts w:hint="default" w:ascii="Times New Roman" w:hAnsi="Times New Roman"/>
                <w:color w:val="auto"/>
                <w:szCs w:val="24"/>
                <w:highlight w:val="none"/>
                <w:u w:val="single" w:color="auto"/>
                <w:lang w:bidi="ar"/>
              </w:rPr>
              <w:t>本项目所在区域的地表水</w:t>
            </w:r>
            <w:r>
              <w:rPr>
                <w:rFonts w:hint="eastAsia" w:ascii="Times New Roman" w:hAnsi="Times New Roman"/>
                <w:color w:val="auto"/>
                <w:szCs w:val="24"/>
                <w:highlight w:val="none"/>
                <w:u w:val="single" w:color="auto"/>
                <w:lang w:val="en-US" w:eastAsia="zh-CN" w:bidi="ar"/>
              </w:rPr>
              <w:t>为岔路河，根据《吉林省地表水功能区》（DB22/388-2004），属于“岔路河磐石市、永吉县农业用水、渔业用水区”执行《地表水环境质量标准》（GB3838-2002）中Ⅲ类标准</w:t>
            </w:r>
            <w:r>
              <w:rPr>
                <w:rFonts w:hint="eastAsia" w:ascii="Times New Roman" w:hAnsi="Times New Roman"/>
                <w:color w:val="auto"/>
                <w:szCs w:val="24"/>
                <w:highlight w:val="none"/>
                <w:u w:val="none" w:color="auto"/>
                <w:lang w:val="en-US" w:eastAsia="zh-CN" w:bidi="ar"/>
              </w:rPr>
              <w:t>。</w:t>
            </w:r>
            <w:r>
              <w:rPr>
                <w:rFonts w:hint="default" w:ascii="Times New Roman" w:hAnsi="Times New Roman" w:cs="Times New Roman"/>
                <w:color w:val="auto"/>
                <w:szCs w:val="24"/>
                <w:highlight w:val="none"/>
                <w:u w:val="none" w:color="auto"/>
              </w:rPr>
              <w:t>根据《环境影响评价技术导则 地表水环境》（HJ 2.3-2018）中“应优先采用国务院生态环境主管部门统一发布的水环境状况信息”的要求，</w:t>
            </w:r>
            <w:r>
              <w:rPr>
                <w:rFonts w:hint="eastAsia" w:ascii="Times New Roman" w:hAnsi="Times New Roman"/>
                <w:color w:val="auto"/>
                <w:szCs w:val="24"/>
                <w:highlight w:val="none"/>
                <w:u w:val="single" w:color="auto"/>
                <w:lang w:val="en-US" w:eastAsia="zh-CN" w:bidi="ar"/>
              </w:rPr>
              <w:t>项目所在地属于官厅桥国控断面和星星哨水库省控断面的汇水范围</w:t>
            </w:r>
            <w:r>
              <w:rPr>
                <w:rFonts w:hint="eastAsia" w:ascii="Times New Roman" w:hAnsi="Times New Roman"/>
                <w:color w:val="auto"/>
                <w:szCs w:val="24"/>
                <w:highlight w:val="none"/>
                <w:u w:val="none" w:color="auto"/>
                <w:lang w:val="en-US" w:eastAsia="zh-CN" w:bidi="ar"/>
              </w:rPr>
              <w:t>，</w:t>
            </w:r>
            <w:r>
              <w:rPr>
                <w:rFonts w:hint="default" w:ascii="Times New Roman" w:hAnsi="Times New Roman" w:cs="Times New Roman"/>
                <w:color w:val="auto"/>
                <w:szCs w:val="24"/>
                <w:highlight w:val="none"/>
                <w:u w:val="none" w:color="auto"/>
              </w:rPr>
              <w:t>本次评价采用</w:t>
            </w:r>
            <w:r>
              <w:rPr>
                <w:rFonts w:hint="default" w:ascii="Times New Roman" w:hAnsi="Times New Roman" w:cs="Times New Roman"/>
                <w:color w:val="auto"/>
                <w:szCs w:val="24"/>
                <w:highlight w:val="none"/>
                <w:u w:val="none" w:color="auto"/>
                <w:lang w:eastAsia="zh-CN"/>
              </w:rPr>
              <w:t>吉林省</w:t>
            </w:r>
            <w:r>
              <w:rPr>
                <w:rFonts w:hint="default" w:ascii="Times New Roman" w:hAnsi="Times New Roman" w:cs="Times New Roman"/>
                <w:color w:val="auto"/>
                <w:szCs w:val="24"/>
                <w:highlight w:val="none"/>
                <w:u w:val="none" w:color="auto"/>
              </w:rPr>
              <w:t>吉林生态环境监测中心公布的202</w:t>
            </w:r>
            <w:r>
              <w:rPr>
                <w:rFonts w:hint="eastAsia" w:ascii="Times New Roman" w:hAnsi="Times New Roman" w:cs="Times New Roman"/>
                <w:color w:val="auto"/>
                <w:szCs w:val="24"/>
                <w:highlight w:val="none"/>
                <w:u w:val="none" w:color="auto"/>
                <w:lang w:val="en-US" w:eastAsia="zh-CN"/>
              </w:rPr>
              <w:t>5</w:t>
            </w:r>
            <w:r>
              <w:rPr>
                <w:rFonts w:hint="default" w:ascii="Times New Roman" w:hAnsi="Times New Roman" w:cs="Times New Roman"/>
                <w:color w:val="auto"/>
                <w:szCs w:val="24"/>
                <w:highlight w:val="none"/>
                <w:u w:val="none" w:color="auto"/>
              </w:rPr>
              <w:t>年1季度-</w:t>
            </w:r>
            <w:r>
              <w:rPr>
                <w:rFonts w:hint="default" w:ascii="Times New Roman" w:hAnsi="Times New Roman" w:cs="Times New Roman"/>
                <w:color w:val="auto"/>
                <w:szCs w:val="24"/>
                <w:highlight w:val="none"/>
                <w:u w:val="none" w:color="auto"/>
                <w:lang w:val="en-US" w:eastAsia="zh-CN"/>
              </w:rPr>
              <w:t>4</w:t>
            </w:r>
            <w:r>
              <w:rPr>
                <w:rFonts w:hint="default" w:ascii="Times New Roman" w:hAnsi="Times New Roman" w:cs="Times New Roman"/>
                <w:color w:val="auto"/>
                <w:szCs w:val="24"/>
                <w:highlight w:val="none"/>
                <w:u w:val="none" w:color="auto"/>
              </w:rPr>
              <w:t>季度吉林市水环境质量季报，水质情况详见下表</w:t>
            </w:r>
            <w:r>
              <w:rPr>
                <w:rFonts w:hint="eastAsia" w:ascii="Times New Roman" w:hAnsi="Times New Roman"/>
                <w:color w:val="auto"/>
                <w:szCs w:val="24"/>
                <w:highlight w:val="none"/>
                <w:u w:val="none" w:color="auto"/>
                <w:lang w:val="en-US" w:eastAsia="zh-CN" w:bidi="ar"/>
              </w:rPr>
              <w:t>。</w:t>
            </w:r>
          </w:p>
          <w:p w14:paraId="0541DAD5">
            <w:pPr>
              <w:spacing w:beforeLines="0" w:afterLines="0" w:line="560" w:lineRule="exact"/>
              <w:jc w:val="center"/>
              <w:rPr>
                <w:rFonts w:hint="default" w:ascii="宋体" w:hAnsi="Times New Roman" w:eastAsia="宋体" w:cs="Times New Roman"/>
                <w:b/>
                <w:color w:val="auto"/>
                <w:sz w:val="24"/>
                <w:szCs w:val="24"/>
                <w:highlight w:val="none"/>
                <w:u w:val="none" w:color="auto"/>
              </w:rPr>
            </w:pPr>
            <w:r>
              <w:rPr>
                <w:rFonts w:hint="default" w:ascii="宋体" w:hAnsi="Times New Roman" w:eastAsia="宋体" w:cs="Times New Roman"/>
                <w:b/>
                <w:color w:val="auto"/>
                <w:sz w:val="24"/>
                <w:szCs w:val="24"/>
                <w:highlight w:val="none"/>
                <w:u w:val="none" w:color="auto"/>
              </w:rPr>
              <w:t>表3-4 吉林市202</w:t>
            </w:r>
            <w:r>
              <w:rPr>
                <w:rFonts w:hint="eastAsia" w:ascii="宋体" w:cs="Times New Roman"/>
                <w:b/>
                <w:color w:val="auto"/>
                <w:sz w:val="24"/>
                <w:szCs w:val="24"/>
                <w:highlight w:val="none"/>
                <w:u w:val="none" w:color="auto"/>
                <w:lang w:val="en-US" w:eastAsia="zh-CN"/>
              </w:rPr>
              <w:t>5</w:t>
            </w:r>
            <w:r>
              <w:rPr>
                <w:rFonts w:hint="default" w:ascii="宋体" w:hAnsi="Times New Roman" w:eastAsia="宋体" w:cs="Times New Roman"/>
                <w:b/>
                <w:color w:val="auto"/>
                <w:sz w:val="24"/>
                <w:szCs w:val="24"/>
                <w:highlight w:val="none"/>
                <w:u w:val="none" w:color="auto"/>
              </w:rPr>
              <w:t>年水环境质量情况</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Layout w:type="fixed"/>
              <w:tblCellMar>
                <w:top w:w="0" w:type="dxa"/>
                <w:left w:w="108" w:type="dxa"/>
                <w:bottom w:w="0" w:type="dxa"/>
                <w:right w:w="108" w:type="dxa"/>
              </w:tblCellMar>
            </w:tblPr>
            <w:tblGrid>
              <w:gridCol w:w="998"/>
              <w:gridCol w:w="1145"/>
              <w:gridCol w:w="1002"/>
              <w:gridCol w:w="1229"/>
              <w:gridCol w:w="997"/>
              <w:gridCol w:w="1032"/>
              <w:gridCol w:w="1385"/>
            </w:tblGrid>
            <w:tr w14:paraId="7A6920F0">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06" w:hRule="exact"/>
                <w:jc w:val="center"/>
              </w:trPr>
              <w:tc>
                <w:tcPr>
                  <w:tcW w:w="640" w:type="pct"/>
                  <w:vMerge w:val="restart"/>
                  <w:noWrap w:val="0"/>
                  <w:vAlign w:val="center"/>
                </w:tcPr>
                <w:p w14:paraId="480DCB9D">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控制类型</w:t>
                  </w:r>
                </w:p>
              </w:tc>
              <w:tc>
                <w:tcPr>
                  <w:tcW w:w="735" w:type="pct"/>
                  <w:vMerge w:val="restart"/>
                  <w:noWrap w:val="0"/>
                  <w:vAlign w:val="center"/>
                </w:tcPr>
                <w:p w14:paraId="30F76A94">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kern w:val="18"/>
                      <w:szCs w:val="21"/>
                      <w:highlight w:val="none"/>
                      <w:u w:val="none" w:color="auto"/>
                      <w:lang w:eastAsia="zh-CN" w:bidi="en-US"/>
                    </w:rPr>
                  </w:pPr>
                  <w:r>
                    <w:rPr>
                      <w:rFonts w:hint="eastAsia" w:ascii="Times New Roman" w:hAnsi="Times New Roman" w:cs="Times New Roman"/>
                      <w:color w:val="auto"/>
                      <w:kern w:val="18"/>
                      <w:szCs w:val="21"/>
                      <w:highlight w:val="none"/>
                      <w:u w:val="none" w:color="auto"/>
                      <w:lang w:val="en-US" w:eastAsia="zh-CN" w:bidi="en-US"/>
                    </w:rPr>
                    <w:t>断面</w:t>
                  </w:r>
                </w:p>
              </w:tc>
              <w:tc>
                <w:tcPr>
                  <w:tcW w:w="2734" w:type="pct"/>
                  <w:gridSpan w:val="4"/>
                  <w:noWrap w:val="0"/>
                  <w:vAlign w:val="center"/>
                </w:tcPr>
                <w:p w14:paraId="57B09638">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水质类别</w:t>
                  </w:r>
                </w:p>
              </w:tc>
              <w:tc>
                <w:tcPr>
                  <w:tcW w:w="889" w:type="pct"/>
                  <w:vMerge w:val="restart"/>
                  <w:noWrap w:val="0"/>
                  <w:vAlign w:val="center"/>
                </w:tcPr>
                <w:p w14:paraId="1888AEB6">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主要污染指标</w:t>
                  </w:r>
                </w:p>
              </w:tc>
            </w:tr>
            <w:tr w14:paraId="32D4EEFE">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06" w:hRule="exact"/>
                <w:jc w:val="center"/>
              </w:trPr>
              <w:tc>
                <w:tcPr>
                  <w:tcW w:w="640" w:type="pct"/>
                  <w:vMerge w:val="continue"/>
                  <w:noWrap w:val="0"/>
                  <w:vAlign w:val="center"/>
                </w:tcPr>
                <w:p w14:paraId="53AC689F">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p>
              </w:tc>
              <w:tc>
                <w:tcPr>
                  <w:tcW w:w="735" w:type="pct"/>
                  <w:vMerge w:val="continue"/>
                  <w:noWrap w:val="0"/>
                  <w:vAlign w:val="center"/>
                </w:tcPr>
                <w:p w14:paraId="18EE8AEE">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p>
              </w:tc>
              <w:tc>
                <w:tcPr>
                  <w:tcW w:w="643" w:type="pct"/>
                  <w:noWrap w:val="0"/>
                  <w:vAlign w:val="center"/>
                </w:tcPr>
                <w:p w14:paraId="1669E375">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1季度</w:t>
                  </w:r>
                </w:p>
              </w:tc>
              <w:tc>
                <w:tcPr>
                  <w:tcW w:w="789" w:type="pct"/>
                  <w:noWrap w:val="0"/>
                  <w:vAlign w:val="center"/>
                </w:tcPr>
                <w:p w14:paraId="3F5DCD87">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2季度</w:t>
                  </w:r>
                </w:p>
              </w:tc>
              <w:tc>
                <w:tcPr>
                  <w:tcW w:w="640" w:type="pct"/>
                  <w:noWrap w:val="0"/>
                  <w:vAlign w:val="center"/>
                </w:tcPr>
                <w:p w14:paraId="03E8B5B4">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val="en-US" w:eastAsia="zh-CN" w:bidi="en-US"/>
                    </w:rPr>
                    <w:t>3</w:t>
                  </w:r>
                  <w:r>
                    <w:rPr>
                      <w:rFonts w:hint="default" w:ascii="Times New Roman" w:hAnsi="Times New Roman" w:cs="Times New Roman"/>
                      <w:color w:val="auto"/>
                      <w:kern w:val="18"/>
                      <w:szCs w:val="21"/>
                      <w:highlight w:val="none"/>
                      <w:u w:val="none" w:color="auto"/>
                      <w:lang w:bidi="en-US"/>
                    </w:rPr>
                    <w:t>季度</w:t>
                  </w:r>
                </w:p>
              </w:tc>
              <w:tc>
                <w:tcPr>
                  <w:tcW w:w="662" w:type="pct"/>
                  <w:noWrap w:val="0"/>
                  <w:vAlign w:val="center"/>
                </w:tcPr>
                <w:p w14:paraId="672F9D86">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val="en-US" w:eastAsia="zh-CN" w:bidi="en-US"/>
                    </w:rPr>
                    <w:t>4</w:t>
                  </w:r>
                  <w:r>
                    <w:rPr>
                      <w:rFonts w:hint="default" w:ascii="Times New Roman" w:hAnsi="Times New Roman" w:cs="Times New Roman"/>
                      <w:color w:val="auto"/>
                      <w:kern w:val="18"/>
                      <w:szCs w:val="21"/>
                      <w:highlight w:val="none"/>
                      <w:u w:val="none" w:color="auto"/>
                      <w:lang w:bidi="en-US"/>
                    </w:rPr>
                    <w:t>季度</w:t>
                  </w:r>
                </w:p>
              </w:tc>
              <w:tc>
                <w:tcPr>
                  <w:tcW w:w="889" w:type="pct"/>
                  <w:vMerge w:val="continue"/>
                  <w:noWrap w:val="0"/>
                  <w:vAlign w:val="center"/>
                </w:tcPr>
                <w:p w14:paraId="03B3D93B">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p>
              </w:tc>
            </w:tr>
            <w:tr w14:paraId="572F5C4E">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306" w:hRule="exact"/>
                <w:jc w:val="center"/>
              </w:trPr>
              <w:tc>
                <w:tcPr>
                  <w:tcW w:w="640" w:type="pct"/>
                  <w:noWrap w:val="0"/>
                  <w:vAlign w:val="center"/>
                </w:tcPr>
                <w:p w14:paraId="5D609659">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国控</w:t>
                  </w:r>
                </w:p>
              </w:tc>
              <w:tc>
                <w:tcPr>
                  <w:tcW w:w="735" w:type="pct"/>
                  <w:noWrap w:val="0"/>
                  <w:vAlign w:val="center"/>
                </w:tcPr>
                <w:p w14:paraId="7414C6D6">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kern w:val="18"/>
                      <w:szCs w:val="21"/>
                      <w:highlight w:val="none"/>
                      <w:u w:val="none" w:color="auto"/>
                      <w:lang w:eastAsia="zh-CN" w:bidi="en-US"/>
                    </w:rPr>
                  </w:pPr>
                  <w:r>
                    <w:rPr>
                      <w:rFonts w:hint="eastAsia" w:cs="Times New Roman"/>
                      <w:color w:val="auto"/>
                      <w:kern w:val="18"/>
                      <w:szCs w:val="21"/>
                      <w:highlight w:val="none"/>
                      <w:u w:val="none" w:color="auto"/>
                      <w:lang w:eastAsia="zh-CN" w:bidi="en-US"/>
                    </w:rPr>
                    <w:t>官厅桥</w:t>
                  </w:r>
                </w:p>
              </w:tc>
              <w:tc>
                <w:tcPr>
                  <w:tcW w:w="643" w:type="pct"/>
                  <w:noWrap w:val="0"/>
                  <w:vAlign w:val="center"/>
                </w:tcPr>
                <w:p w14:paraId="4822EB8E">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Ⅱ类</w:t>
                  </w:r>
                </w:p>
              </w:tc>
              <w:tc>
                <w:tcPr>
                  <w:tcW w:w="789" w:type="pct"/>
                  <w:noWrap w:val="0"/>
                  <w:vAlign w:val="center"/>
                </w:tcPr>
                <w:p w14:paraId="2AA7007C">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Ⅲ类</w:t>
                  </w:r>
                </w:p>
              </w:tc>
              <w:tc>
                <w:tcPr>
                  <w:tcW w:w="640" w:type="pct"/>
                  <w:noWrap w:val="0"/>
                  <w:vAlign w:val="center"/>
                </w:tcPr>
                <w:p w14:paraId="46ADC609">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Ⅱ类</w:t>
                  </w:r>
                </w:p>
              </w:tc>
              <w:tc>
                <w:tcPr>
                  <w:tcW w:w="662" w:type="pct"/>
                  <w:noWrap w:val="0"/>
                  <w:vAlign w:val="center"/>
                </w:tcPr>
                <w:p w14:paraId="20F422A8">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Ⅱ类</w:t>
                  </w:r>
                </w:p>
              </w:tc>
              <w:tc>
                <w:tcPr>
                  <w:tcW w:w="889" w:type="pct"/>
                  <w:noWrap w:val="0"/>
                  <w:vAlign w:val="center"/>
                </w:tcPr>
                <w:p w14:paraId="1FB14323">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none" w:color="auto"/>
                      <w:lang w:bidi="en-US"/>
                    </w:rPr>
                  </w:pPr>
                  <w:r>
                    <w:rPr>
                      <w:rFonts w:hint="default" w:ascii="Times New Roman" w:hAnsi="Times New Roman" w:cs="Times New Roman"/>
                      <w:color w:val="auto"/>
                      <w:kern w:val="18"/>
                      <w:szCs w:val="21"/>
                      <w:highlight w:val="none"/>
                      <w:u w:val="none" w:color="auto"/>
                      <w:lang w:bidi="en-US"/>
                    </w:rPr>
                    <w:t>无</w:t>
                  </w:r>
                </w:p>
              </w:tc>
            </w:tr>
            <w:tr w14:paraId="2632D045">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616" w:hRule="exact"/>
                <w:jc w:val="center"/>
              </w:trPr>
              <w:tc>
                <w:tcPr>
                  <w:tcW w:w="640" w:type="pct"/>
                  <w:noWrap w:val="0"/>
                  <w:vAlign w:val="center"/>
                </w:tcPr>
                <w:p w14:paraId="50F5466F">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kern w:val="18"/>
                      <w:szCs w:val="21"/>
                      <w:highlight w:val="none"/>
                      <w:u w:val="single" w:color="auto"/>
                      <w:lang w:eastAsia="zh-CN" w:bidi="en-US"/>
                    </w:rPr>
                  </w:pPr>
                  <w:r>
                    <w:rPr>
                      <w:rFonts w:hint="eastAsia" w:cs="Times New Roman"/>
                      <w:color w:val="auto"/>
                      <w:kern w:val="18"/>
                      <w:szCs w:val="21"/>
                      <w:highlight w:val="none"/>
                      <w:u w:val="single" w:color="auto"/>
                      <w:lang w:eastAsia="zh-CN" w:bidi="en-US"/>
                    </w:rPr>
                    <w:t>省控</w:t>
                  </w:r>
                </w:p>
              </w:tc>
              <w:tc>
                <w:tcPr>
                  <w:tcW w:w="735" w:type="pct"/>
                  <w:noWrap w:val="0"/>
                  <w:vAlign w:val="center"/>
                </w:tcPr>
                <w:p w14:paraId="09C9372D">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eastAsia" w:cs="Times New Roman"/>
                      <w:color w:val="auto"/>
                      <w:kern w:val="18"/>
                      <w:szCs w:val="21"/>
                      <w:highlight w:val="none"/>
                      <w:u w:val="single" w:color="auto"/>
                      <w:lang w:eastAsia="zh-CN" w:bidi="en-US"/>
                    </w:rPr>
                  </w:pPr>
                  <w:r>
                    <w:rPr>
                      <w:rFonts w:hint="eastAsia" w:cs="Times New Roman"/>
                      <w:color w:val="auto"/>
                      <w:kern w:val="18"/>
                      <w:szCs w:val="21"/>
                      <w:highlight w:val="none"/>
                      <w:u w:val="single" w:color="auto"/>
                      <w:lang w:eastAsia="zh-CN" w:bidi="en-US"/>
                    </w:rPr>
                    <w:t>星星哨水库</w:t>
                  </w:r>
                </w:p>
              </w:tc>
              <w:tc>
                <w:tcPr>
                  <w:tcW w:w="643" w:type="pct"/>
                  <w:noWrap w:val="0"/>
                  <w:vAlign w:val="center"/>
                </w:tcPr>
                <w:p w14:paraId="175B0DE2">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single" w:color="auto"/>
                      <w:lang w:bidi="en-US"/>
                    </w:rPr>
                  </w:pPr>
                  <w:r>
                    <w:rPr>
                      <w:rFonts w:hint="default" w:ascii="Times New Roman" w:hAnsi="Times New Roman" w:cs="Times New Roman"/>
                      <w:color w:val="auto"/>
                      <w:kern w:val="18"/>
                      <w:szCs w:val="21"/>
                      <w:highlight w:val="none"/>
                      <w:u w:val="single" w:color="auto"/>
                      <w:lang w:bidi="en-US"/>
                    </w:rPr>
                    <w:t>Ⅲ类</w:t>
                  </w:r>
                </w:p>
              </w:tc>
              <w:tc>
                <w:tcPr>
                  <w:tcW w:w="789" w:type="pct"/>
                  <w:noWrap w:val="0"/>
                  <w:vAlign w:val="center"/>
                </w:tcPr>
                <w:p w14:paraId="1071AEE1">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single" w:color="auto"/>
                      <w:lang w:bidi="en-US"/>
                    </w:rPr>
                  </w:pPr>
                  <w:r>
                    <w:rPr>
                      <w:rFonts w:hint="default" w:ascii="Times New Roman" w:hAnsi="Times New Roman" w:cs="Times New Roman"/>
                      <w:color w:val="auto"/>
                      <w:kern w:val="18"/>
                      <w:szCs w:val="21"/>
                      <w:highlight w:val="none"/>
                      <w:u w:val="single" w:color="auto"/>
                      <w:lang w:bidi="en-US"/>
                    </w:rPr>
                    <w:t>Ⅱ类</w:t>
                  </w:r>
                </w:p>
              </w:tc>
              <w:tc>
                <w:tcPr>
                  <w:tcW w:w="640" w:type="pct"/>
                  <w:noWrap w:val="0"/>
                  <w:vAlign w:val="center"/>
                </w:tcPr>
                <w:p w14:paraId="2A80AA03">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single" w:color="auto"/>
                      <w:lang w:bidi="en-US"/>
                    </w:rPr>
                  </w:pPr>
                  <w:r>
                    <w:rPr>
                      <w:rFonts w:hint="default" w:ascii="Times New Roman" w:hAnsi="Times New Roman" w:cs="Times New Roman"/>
                      <w:color w:val="auto"/>
                      <w:kern w:val="18"/>
                      <w:szCs w:val="21"/>
                      <w:highlight w:val="none"/>
                      <w:u w:val="single" w:color="auto"/>
                      <w:lang w:bidi="en-US"/>
                    </w:rPr>
                    <w:t>Ⅲ类</w:t>
                  </w:r>
                </w:p>
              </w:tc>
              <w:tc>
                <w:tcPr>
                  <w:tcW w:w="662" w:type="pct"/>
                  <w:noWrap w:val="0"/>
                  <w:vAlign w:val="center"/>
                </w:tcPr>
                <w:p w14:paraId="0E3EF771">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single" w:color="auto"/>
                      <w:lang w:bidi="en-US"/>
                    </w:rPr>
                  </w:pPr>
                  <w:r>
                    <w:rPr>
                      <w:rFonts w:hint="default" w:ascii="Times New Roman" w:hAnsi="Times New Roman" w:cs="Times New Roman"/>
                      <w:color w:val="auto"/>
                      <w:kern w:val="18"/>
                      <w:szCs w:val="21"/>
                      <w:highlight w:val="none"/>
                      <w:u w:val="single" w:color="auto"/>
                      <w:lang w:bidi="en-US"/>
                    </w:rPr>
                    <w:t>Ⅲ类</w:t>
                  </w:r>
                </w:p>
              </w:tc>
              <w:tc>
                <w:tcPr>
                  <w:tcW w:w="889" w:type="pct"/>
                  <w:noWrap w:val="0"/>
                  <w:vAlign w:val="center"/>
                </w:tcPr>
                <w:p w14:paraId="2DDD405E">
                  <w:pPr>
                    <w:keepNext w:val="0"/>
                    <w:keepLines w:val="0"/>
                    <w:pageBreakBefore w:val="0"/>
                    <w:widowControl/>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kern w:val="18"/>
                      <w:szCs w:val="21"/>
                      <w:highlight w:val="none"/>
                      <w:u w:val="single" w:color="auto"/>
                      <w:lang w:bidi="en-US"/>
                    </w:rPr>
                  </w:pPr>
                  <w:r>
                    <w:rPr>
                      <w:rFonts w:hint="default" w:ascii="Times New Roman" w:hAnsi="Times New Roman" w:cs="Times New Roman"/>
                      <w:color w:val="auto"/>
                      <w:kern w:val="18"/>
                      <w:szCs w:val="21"/>
                      <w:highlight w:val="none"/>
                      <w:u w:val="single" w:color="auto"/>
                      <w:lang w:bidi="en-US"/>
                    </w:rPr>
                    <w:t>无</w:t>
                  </w:r>
                </w:p>
              </w:tc>
            </w:tr>
          </w:tbl>
          <w:p w14:paraId="272D5694">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color w:val="auto"/>
                <w:position w:val="15"/>
                <w:sz w:val="24"/>
                <w:highlight w:val="none"/>
                <w:u w:val="none" w:color="auto"/>
              </w:rPr>
            </w:pPr>
            <w:r>
              <w:rPr>
                <w:rFonts w:hint="default" w:ascii="Times New Roman" w:hAnsi="Times New Roman" w:cs="Times New Roman"/>
                <w:color w:val="auto"/>
                <w:sz w:val="24"/>
                <w:highlight w:val="none"/>
                <w:u w:val="none" w:color="auto"/>
              </w:rPr>
              <w:t>依据吉林省202</w:t>
            </w:r>
            <w:r>
              <w:rPr>
                <w:rFonts w:hint="eastAsia" w:cs="Times New Roman"/>
                <w:color w:val="auto"/>
                <w:sz w:val="24"/>
                <w:highlight w:val="none"/>
                <w:u w:val="none" w:color="auto"/>
                <w:lang w:val="en-US" w:eastAsia="zh-CN"/>
              </w:rPr>
              <w:t>5</w:t>
            </w:r>
            <w:r>
              <w:rPr>
                <w:rFonts w:hint="default" w:ascii="Times New Roman" w:hAnsi="Times New Roman" w:cs="Times New Roman"/>
                <w:color w:val="auto"/>
                <w:sz w:val="24"/>
                <w:highlight w:val="none"/>
                <w:u w:val="none" w:color="auto"/>
              </w:rPr>
              <w:t>年1季度-</w:t>
            </w:r>
            <w:r>
              <w:rPr>
                <w:rFonts w:hint="default" w:ascii="Times New Roman" w:hAnsi="Times New Roman" w:cs="Times New Roman"/>
                <w:color w:val="auto"/>
                <w:sz w:val="24"/>
                <w:highlight w:val="none"/>
                <w:u w:val="none" w:color="auto"/>
                <w:lang w:val="en-US" w:eastAsia="zh-CN"/>
              </w:rPr>
              <w:t>4</w:t>
            </w:r>
            <w:r>
              <w:rPr>
                <w:rFonts w:hint="default" w:ascii="Times New Roman" w:hAnsi="Times New Roman" w:cs="Times New Roman"/>
                <w:color w:val="auto"/>
                <w:sz w:val="24"/>
                <w:highlight w:val="none"/>
                <w:u w:val="none" w:color="auto"/>
              </w:rPr>
              <w:t>季度断面水质情况结果，水质因子均满足《地表水环境质量标准》（GB3838-2002）Ⅲ类标准要求，地表水环境质量较好</w:t>
            </w:r>
            <w:r>
              <w:rPr>
                <w:rFonts w:hint="eastAsia"/>
                <w:color w:val="auto"/>
                <w:sz w:val="24"/>
                <w:highlight w:val="none"/>
                <w:u w:val="none" w:color="auto"/>
              </w:rPr>
              <w:t>。</w:t>
            </w:r>
          </w:p>
          <w:p w14:paraId="6A3E45B6">
            <w:pPr>
              <w:adjustRightInd w:val="0"/>
              <w:snapToGrid w:val="0"/>
              <w:spacing w:line="360" w:lineRule="auto"/>
              <w:ind w:firstLine="482" w:firstLineChars="200"/>
              <w:rPr>
                <w:b/>
                <w:bCs/>
                <w:color w:val="auto"/>
                <w:kern w:val="0"/>
                <w:sz w:val="24"/>
                <w:highlight w:val="none"/>
                <w:u w:val="none" w:color="auto"/>
              </w:rPr>
            </w:pPr>
            <w:r>
              <w:rPr>
                <w:rFonts w:hint="eastAsia"/>
                <w:b/>
                <w:bCs/>
                <w:color w:val="auto"/>
                <w:kern w:val="0"/>
                <w:sz w:val="24"/>
                <w:highlight w:val="none"/>
                <w:u w:val="none" w:color="auto"/>
                <w:lang w:val="en-US" w:eastAsia="zh-CN"/>
              </w:rPr>
              <w:t>3.3</w:t>
            </w:r>
            <w:r>
              <w:rPr>
                <w:b/>
                <w:bCs/>
                <w:color w:val="auto"/>
                <w:kern w:val="0"/>
                <w:sz w:val="24"/>
                <w:highlight w:val="none"/>
                <w:u w:val="none" w:color="auto"/>
              </w:rPr>
              <w:t>声环境质量</w:t>
            </w:r>
          </w:p>
          <w:p w14:paraId="1A06B677">
            <w:pPr>
              <w:adjustRightInd w:val="0"/>
              <w:snapToGrid w:val="0"/>
              <w:spacing w:line="360" w:lineRule="auto"/>
              <w:ind w:firstLine="480" w:firstLineChars="200"/>
              <w:rPr>
                <w:rFonts w:hint="eastAsia"/>
                <w:color w:val="auto"/>
                <w:position w:val="15"/>
                <w:sz w:val="24"/>
                <w:highlight w:val="none"/>
                <w:u w:val="none" w:color="auto"/>
              </w:rPr>
            </w:pPr>
            <w:r>
              <w:rPr>
                <w:color w:val="auto"/>
                <w:position w:val="15"/>
                <w:sz w:val="24"/>
                <w:highlight w:val="none"/>
                <w:u w:val="none" w:color="auto"/>
              </w:rPr>
              <w:t>根据《建设项目环境影响报告表编制技术指南》</w:t>
            </w:r>
            <w:r>
              <w:rPr>
                <w:rFonts w:hint="eastAsia"/>
                <w:color w:val="auto"/>
                <w:position w:val="15"/>
                <w:sz w:val="24"/>
                <w:highlight w:val="none"/>
                <w:u w:val="none" w:color="auto"/>
              </w:rPr>
              <w:t>（</w:t>
            </w:r>
            <w:r>
              <w:rPr>
                <w:color w:val="auto"/>
                <w:position w:val="15"/>
                <w:sz w:val="24"/>
                <w:highlight w:val="none"/>
                <w:u w:val="none" w:color="auto"/>
              </w:rPr>
              <w:t>污染影响类</w:t>
            </w:r>
            <w:r>
              <w:rPr>
                <w:rFonts w:hint="eastAsia"/>
                <w:color w:val="auto"/>
                <w:position w:val="15"/>
                <w:sz w:val="24"/>
                <w:highlight w:val="none"/>
                <w:u w:val="none" w:color="auto"/>
              </w:rPr>
              <w:t>）</w:t>
            </w:r>
            <w:r>
              <w:rPr>
                <w:color w:val="auto"/>
                <w:position w:val="15"/>
                <w:sz w:val="24"/>
                <w:highlight w:val="none"/>
                <w:u w:val="none" w:color="auto"/>
              </w:rPr>
              <w:t>可知，</w:t>
            </w:r>
            <w:r>
              <w:rPr>
                <w:rFonts w:hint="eastAsia"/>
                <w:color w:val="auto"/>
                <w:position w:val="15"/>
                <w:sz w:val="24"/>
                <w:highlight w:val="none"/>
                <w:u w:val="none" w:color="auto"/>
              </w:rPr>
              <w:t>厂界外周边50米范围内</w:t>
            </w:r>
            <w:r>
              <w:rPr>
                <w:rFonts w:hint="eastAsia"/>
                <w:color w:val="auto"/>
                <w:position w:val="15"/>
                <w:sz w:val="24"/>
                <w:highlight w:val="none"/>
                <w:u w:val="none" w:color="auto"/>
                <w:lang w:eastAsia="zh-CN"/>
              </w:rPr>
              <w:t>无</w:t>
            </w:r>
            <w:r>
              <w:rPr>
                <w:rFonts w:hint="eastAsia"/>
                <w:color w:val="auto"/>
                <w:position w:val="15"/>
                <w:sz w:val="24"/>
                <w:highlight w:val="none"/>
                <w:u w:val="none" w:color="auto"/>
              </w:rPr>
              <w:t>声环境保护目标，无需监测噪声。</w:t>
            </w:r>
          </w:p>
          <w:p w14:paraId="00EBB248">
            <w:pPr>
              <w:adjustRightInd w:val="0"/>
              <w:snapToGrid w:val="0"/>
              <w:spacing w:line="360" w:lineRule="auto"/>
              <w:ind w:firstLine="482" w:firstLineChars="200"/>
              <w:rPr>
                <w:rFonts w:hint="eastAsia"/>
                <w:b/>
                <w:bCs/>
                <w:color w:val="auto"/>
                <w:kern w:val="0"/>
                <w:sz w:val="24"/>
                <w:highlight w:val="none"/>
                <w:u w:val="none" w:color="auto"/>
              </w:rPr>
            </w:pPr>
            <w:r>
              <w:rPr>
                <w:rFonts w:hint="eastAsia"/>
                <w:b/>
                <w:bCs/>
                <w:color w:val="auto"/>
                <w:kern w:val="0"/>
                <w:sz w:val="24"/>
                <w:highlight w:val="none"/>
                <w:u w:val="none" w:color="auto"/>
                <w:lang w:val="en-US" w:eastAsia="zh-CN"/>
              </w:rPr>
              <w:t>3.4</w:t>
            </w:r>
            <w:r>
              <w:rPr>
                <w:rFonts w:hint="eastAsia"/>
                <w:b/>
                <w:bCs/>
                <w:color w:val="auto"/>
                <w:kern w:val="0"/>
                <w:sz w:val="24"/>
                <w:highlight w:val="none"/>
                <w:u w:val="none" w:color="auto"/>
              </w:rPr>
              <w:t>生态环境现状</w:t>
            </w:r>
          </w:p>
          <w:p w14:paraId="1DAAFA1B">
            <w:pPr>
              <w:adjustRightInd w:val="0"/>
              <w:snapToGrid w:val="0"/>
              <w:spacing w:line="360" w:lineRule="auto"/>
              <w:ind w:firstLine="480" w:firstLineChars="200"/>
              <w:rPr>
                <w:color w:val="auto"/>
                <w:position w:val="15"/>
                <w:sz w:val="24"/>
                <w:highlight w:val="none"/>
                <w:u w:val="none" w:color="auto"/>
              </w:rPr>
            </w:pPr>
            <w:r>
              <w:rPr>
                <w:color w:val="auto"/>
                <w:position w:val="15"/>
                <w:sz w:val="24"/>
                <w:highlight w:val="none"/>
                <w:u w:val="none" w:color="auto"/>
              </w:rPr>
              <w:t>根据《建设项目环境影响报告表编制技术指南</w:t>
            </w:r>
            <w:r>
              <w:rPr>
                <w:rFonts w:hint="eastAsia"/>
                <w:color w:val="auto"/>
                <w:position w:val="15"/>
                <w:sz w:val="24"/>
                <w:highlight w:val="none"/>
                <w:u w:val="none" w:color="auto"/>
              </w:rPr>
              <w:t>（</w:t>
            </w:r>
            <w:r>
              <w:rPr>
                <w:color w:val="auto"/>
                <w:position w:val="15"/>
                <w:sz w:val="24"/>
                <w:highlight w:val="none"/>
                <w:u w:val="none" w:color="auto"/>
              </w:rPr>
              <w:t>污染影响类</w:t>
            </w:r>
            <w:r>
              <w:rPr>
                <w:rFonts w:hint="eastAsia"/>
                <w:color w:val="auto"/>
                <w:position w:val="15"/>
                <w:sz w:val="24"/>
                <w:highlight w:val="none"/>
                <w:u w:val="none" w:color="auto"/>
              </w:rPr>
              <w:t>）</w:t>
            </w:r>
            <w:r>
              <w:rPr>
                <w:color w:val="auto"/>
                <w:position w:val="15"/>
                <w:sz w:val="24"/>
                <w:highlight w:val="none"/>
                <w:u w:val="none" w:color="auto"/>
              </w:rPr>
              <w:t>》</w:t>
            </w:r>
            <w:r>
              <w:rPr>
                <w:rFonts w:hint="eastAsia"/>
                <w:color w:val="auto"/>
                <w:position w:val="15"/>
                <w:sz w:val="24"/>
                <w:highlight w:val="none"/>
                <w:u w:val="none" w:color="auto"/>
              </w:rPr>
              <w:t>（</w:t>
            </w:r>
            <w:r>
              <w:rPr>
                <w:color w:val="auto"/>
                <w:position w:val="15"/>
                <w:sz w:val="24"/>
                <w:highlight w:val="none"/>
                <w:u w:val="none" w:color="auto"/>
              </w:rPr>
              <w:t>试行</w:t>
            </w:r>
            <w:r>
              <w:rPr>
                <w:rFonts w:hint="eastAsia"/>
                <w:color w:val="auto"/>
                <w:position w:val="15"/>
                <w:sz w:val="24"/>
                <w:highlight w:val="none"/>
                <w:u w:val="none" w:color="auto"/>
              </w:rPr>
              <w:t>）</w:t>
            </w:r>
            <w:r>
              <w:rPr>
                <w:color w:val="auto"/>
                <w:position w:val="15"/>
                <w:sz w:val="24"/>
                <w:highlight w:val="none"/>
                <w:u w:val="none" w:color="auto"/>
              </w:rPr>
              <w:t>可知，产业园区外建设项目新增用地且用地范围内含有生态环境保护目标时，应进行生态现状调查。</w:t>
            </w:r>
          </w:p>
          <w:p w14:paraId="284BCAA0">
            <w:pPr>
              <w:adjustRightInd w:val="0"/>
              <w:snapToGrid w:val="0"/>
              <w:spacing w:line="360" w:lineRule="auto"/>
              <w:ind w:firstLine="480" w:firstLineChars="200"/>
              <w:rPr>
                <w:rFonts w:hint="eastAsia"/>
                <w:color w:val="auto"/>
                <w:position w:val="15"/>
                <w:sz w:val="24"/>
                <w:highlight w:val="none"/>
                <w:u w:val="none" w:color="auto"/>
              </w:rPr>
            </w:pPr>
            <w:r>
              <w:rPr>
                <w:rFonts w:hint="eastAsia"/>
                <w:color w:val="auto"/>
                <w:position w:val="15"/>
                <w:sz w:val="24"/>
                <w:highlight w:val="none"/>
                <w:u w:val="none" w:color="auto"/>
              </w:rPr>
              <w:t>本项目</w:t>
            </w:r>
            <w:r>
              <w:rPr>
                <w:rFonts w:hint="eastAsia"/>
                <w:color w:val="auto"/>
                <w:position w:val="15"/>
                <w:sz w:val="24"/>
                <w:highlight w:val="none"/>
                <w:u w:val="none" w:color="auto"/>
                <w:lang w:val="en-US" w:eastAsia="zh-CN"/>
              </w:rPr>
              <w:t>利用现有厂区</w:t>
            </w:r>
            <w:r>
              <w:rPr>
                <w:rFonts w:hint="eastAsia"/>
                <w:color w:val="auto"/>
                <w:position w:val="15"/>
                <w:sz w:val="24"/>
                <w:highlight w:val="none"/>
                <w:u w:val="none" w:color="auto"/>
              </w:rPr>
              <w:t>，用地性质为工业用地</w:t>
            </w:r>
            <w:r>
              <w:rPr>
                <w:rFonts w:hint="eastAsia"/>
                <w:color w:val="auto"/>
                <w:position w:val="15"/>
                <w:sz w:val="24"/>
                <w:highlight w:val="none"/>
                <w:u w:val="none" w:color="auto"/>
                <w:lang w:eastAsia="zh-CN"/>
              </w:rPr>
              <w:t>，</w:t>
            </w:r>
            <w:r>
              <w:rPr>
                <w:rFonts w:hint="eastAsia"/>
                <w:color w:val="auto"/>
                <w:position w:val="15"/>
                <w:sz w:val="24"/>
                <w:highlight w:val="none"/>
                <w:u w:val="none" w:color="auto"/>
              </w:rPr>
              <w:t>用地范围内无生态环境保护目标，因此不进行生态现状调查。</w:t>
            </w:r>
          </w:p>
          <w:p w14:paraId="4A2913E3">
            <w:pPr>
              <w:adjustRightInd w:val="0"/>
              <w:snapToGrid w:val="0"/>
              <w:spacing w:line="360" w:lineRule="auto"/>
              <w:ind w:firstLine="482" w:firstLineChars="200"/>
              <w:rPr>
                <w:rFonts w:hint="eastAsia"/>
                <w:b/>
                <w:bCs/>
                <w:color w:val="auto"/>
                <w:kern w:val="0"/>
                <w:sz w:val="24"/>
                <w:highlight w:val="none"/>
                <w:u w:val="none" w:color="auto"/>
              </w:rPr>
            </w:pPr>
            <w:r>
              <w:rPr>
                <w:rFonts w:hint="eastAsia"/>
                <w:b/>
                <w:bCs/>
                <w:color w:val="auto"/>
                <w:kern w:val="0"/>
                <w:sz w:val="24"/>
                <w:highlight w:val="none"/>
                <w:u w:val="none" w:color="auto"/>
                <w:lang w:val="en-US" w:eastAsia="zh-CN"/>
              </w:rPr>
              <w:t>3.5</w:t>
            </w:r>
            <w:r>
              <w:rPr>
                <w:rFonts w:hint="eastAsia"/>
                <w:b/>
                <w:bCs/>
                <w:color w:val="auto"/>
                <w:kern w:val="0"/>
                <w:sz w:val="24"/>
                <w:highlight w:val="none"/>
                <w:u w:val="none" w:color="auto"/>
                <w:lang w:eastAsia="zh-CN"/>
              </w:rPr>
              <w:t>土壤</w:t>
            </w:r>
            <w:r>
              <w:rPr>
                <w:rFonts w:hint="eastAsia"/>
                <w:b/>
                <w:bCs/>
                <w:color w:val="auto"/>
                <w:kern w:val="0"/>
                <w:sz w:val="24"/>
                <w:highlight w:val="none"/>
                <w:u w:val="none" w:color="auto"/>
              </w:rPr>
              <w:t>环境现状</w:t>
            </w:r>
          </w:p>
          <w:p w14:paraId="4BD56D0B">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lang w:val="en-US" w:eastAsia="zh-CN"/>
              </w:rPr>
            </w:pPr>
            <w:r>
              <w:rPr>
                <w:rFonts w:hint="eastAsia" w:ascii="Times New Roman" w:hAnsi="Times New Roman" w:eastAsia="宋体" w:cs="Times New Roman"/>
                <w:color w:val="auto"/>
                <w:position w:val="15"/>
                <w:sz w:val="24"/>
                <w:highlight w:val="none"/>
                <w:u w:val="none" w:color="auto"/>
              </w:rPr>
              <w:t>根据《建设项目环境影响报告表编制技术指南（污染影响类）（试行）》，原则上不开展土壤环境质量现状调查。本项目为粮食烘干项目，生产过程不存在土壤环境直接接触的环境污染途径。因此，本次评价不开展土壤环境质量现状调查。</w:t>
            </w:r>
          </w:p>
          <w:p w14:paraId="0AFCD8EE">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pacing w:val="0"/>
                <w:kern w:val="21"/>
                <w:sz w:val="24"/>
                <w:szCs w:val="24"/>
                <w:highlight w:val="none"/>
                <w:u w:val="none" w:color="auto"/>
                <w:lang w:val="en-US" w:eastAsia="zh-CN"/>
              </w:rPr>
            </w:pPr>
            <w:r>
              <w:rPr>
                <w:rFonts w:hint="eastAsia" w:cs="Times New Roman"/>
                <w:b/>
                <w:bCs/>
                <w:color w:val="auto"/>
                <w:spacing w:val="0"/>
                <w:kern w:val="21"/>
                <w:sz w:val="24"/>
                <w:szCs w:val="24"/>
                <w:highlight w:val="none"/>
                <w:u w:val="none" w:color="auto"/>
                <w:lang w:val="en-US" w:eastAsia="zh-CN"/>
              </w:rPr>
              <w:t>3.6</w:t>
            </w:r>
            <w:r>
              <w:rPr>
                <w:rFonts w:hint="default" w:ascii="Times New Roman" w:hAnsi="Times New Roman" w:eastAsia="宋体" w:cs="Times New Roman"/>
                <w:b/>
                <w:bCs/>
                <w:color w:val="auto"/>
                <w:spacing w:val="0"/>
                <w:kern w:val="21"/>
                <w:sz w:val="24"/>
                <w:szCs w:val="24"/>
                <w:highlight w:val="none"/>
                <w:u w:val="none" w:color="auto"/>
                <w:lang w:val="en-US" w:eastAsia="zh-CN"/>
              </w:rPr>
              <w:t>地下水</w:t>
            </w:r>
          </w:p>
          <w:p w14:paraId="31FCD2E7">
            <w:pPr>
              <w:adjustRightInd w:val="0"/>
              <w:snapToGrid w:val="0"/>
              <w:spacing w:line="360" w:lineRule="auto"/>
              <w:ind w:firstLine="480" w:firstLineChars="200"/>
              <w:rPr>
                <w:b/>
                <w:bCs/>
                <w:color w:val="auto"/>
                <w:spacing w:val="-4"/>
                <w:sz w:val="24"/>
                <w:highlight w:val="none"/>
                <w:u w:val="none" w:color="auto"/>
              </w:rPr>
            </w:pPr>
            <w:r>
              <w:rPr>
                <w:rFonts w:hint="eastAsia"/>
                <w:color w:val="auto"/>
                <w:position w:val="15"/>
                <w:sz w:val="24"/>
                <w:highlight w:val="none"/>
                <w:u w:val="none" w:color="auto"/>
                <w:lang w:eastAsia="zh-CN"/>
              </w:rPr>
              <w:t>根据《建设项目环境影响报告表编制技术指南（污染影响类）（试行）》，原则上不开展地下水环境质量现状调查。本项目为粮食烘干项目，生产过程不存在地下水环境污染途径，因此，本次评价不开展地下水环境质量现状调查。</w:t>
            </w:r>
          </w:p>
        </w:tc>
      </w:tr>
      <w:tr w14:paraId="2F0F1D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77" w:hRule="atLeast"/>
          <w:jc w:val="center"/>
        </w:trPr>
        <w:tc>
          <w:tcPr>
            <w:tcW w:w="1055" w:type="dxa"/>
            <w:vAlign w:val="center"/>
          </w:tcPr>
          <w:p w14:paraId="2204E89A">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环境</w:t>
            </w:r>
          </w:p>
          <w:p w14:paraId="48497585">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保护</w:t>
            </w:r>
          </w:p>
          <w:p w14:paraId="05FEF4AE">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目标</w:t>
            </w:r>
          </w:p>
        </w:tc>
        <w:tc>
          <w:tcPr>
            <w:tcW w:w="8006" w:type="dxa"/>
            <w:vAlign w:val="top"/>
          </w:tcPr>
          <w:p w14:paraId="44124FD2">
            <w:pPr>
              <w:adjustRightInd w:val="0"/>
              <w:snapToGrid w:val="0"/>
              <w:spacing w:line="360" w:lineRule="auto"/>
              <w:ind w:firstLine="480" w:firstLineChars="200"/>
              <w:jc w:val="both"/>
              <w:rPr>
                <w:rFonts w:hint="eastAsia"/>
                <w:color w:val="auto"/>
                <w:position w:val="15"/>
                <w:sz w:val="24"/>
                <w:highlight w:val="none"/>
                <w:u w:val="none" w:color="auto"/>
              </w:rPr>
            </w:pPr>
            <w:r>
              <w:rPr>
                <w:rFonts w:hint="eastAsia"/>
                <w:color w:val="auto"/>
                <w:position w:val="15"/>
                <w:sz w:val="24"/>
                <w:highlight w:val="none"/>
                <w:u w:val="none" w:color="auto"/>
              </w:rPr>
              <w:t>1、大气环境</w:t>
            </w:r>
          </w:p>
          <w:p w14:paraId="078724B2">
            <w:pPr>
              <w:adjustRightInd w:val="0"/>
              <w:snapToGrid w:val="0"/>
              <w:spacing w:line="360" w:lineRule="auto"/>
              <w:ind w:firstLine="480" w:firstLineChars="200"/>
              <w:jc w:val="both"/>
              <w:rPr>
                <w:rFonts w:hint="eastAsia"/>
                <w:color w:val="auto"/>
                <w:position w:val="15"/>
                <w:sz w:val="24"/>
                <w:highlight w:val="none"/>
                <w:u w:val="none" w:color="auto"/>
              </w:rPr>
            </w:pPr>
            <w:r>
              <w:rPr>
                <w:rFonts w:hint="eastAsia"/>
                <w:color w:val="auto"/>
                <w:position w:val="15"/>
                <w:sz w:val="24"/>
                <w:highlight w:val="none"/>
                <w:u w:val="none" w:color="auto"/>
              </w:rPr>
              <w:t>本项目大气环境500m范围内无风景名胜区、自然保护区、文化区，</w:t>
            </w:r>
            <w:r>
              <w:rPr>
                <w:rFonts w:hint="eastAsia"/>
                <w:color w:val="auto"/>
                <w:position w:val="15"/>
                <w:sz w:val="24"/>
                <w:highlight w:val="none"/>
                <w:u w:val="none" w:color="auto"/>
                <w:lang w:val="en-US" w:eastAsia="zh-CN"/>
              </w:rPr>
              <w:t>厂界西侧为双河镇村，北侧为铁路，东侧、南侧均为农田。本项目厂界外500米范围内环境保护目标见下表</w:t>
            </w:r>
            <w:r>
              <w:rPr>
                <w:rFonts w:hint="eastAsia"/>
                <w:color w:val="auto"/>
                <w:position w:val="15"/>
                <w:sz w:val="24"/>
                <w:highlight w:val="none"/>
                <w:u w:val="none" w:color="auto"/>
              </w:rPr>
              <w:t>。</w:t>
            </w:r>
          </w:p>
          <w:p w14:paraId="30A80467">
            <w:pPr>
              <w:adjustRightInd w:val="0"/>
              <w:snapToGrid w:val="0"/>
              <w:spacing w:line="360" w:lineRule="auto"/>
              <w:ind w:firstLine="480" w:firstLineChars="200"/>
              <w:jc w:val="both"/>
              <w:rPr>
                <w:rFonts w:hint="eastAsia"/>
                <w:color w:val="auto"/>
                <w:position w:val="15"/>
                <w:sz w:val="24"/>
                <w:highlight w:val="none"/>
                <w:u w:val="none" w:color="auto"/>
              </w:rPr>
            </w:pPr>
            <w:r>
              <w:rPr>
                <w:rFonts w:hint="eastAsia"/>
                <w:color w:val="auto"/>
                <w:position w:val="15"/>
                <w:sz w:val="24"/>
                <w:highlight w:val="none"/>
                <w:u w:val="none" w:color="auto"/>
              </w:rPr>
              <w:t>2、声环境</w:t>
            </w:r>
          </w:p>
          <w:p w14:paraId="0F9058B5">
            <w:pPr>
              <w:adjustRightInd w:val="0"/>
              <w:snapToGrid w:val="0"/>
              <w:spacing w:line="360" w:lineRule="auto"/>
              <w:ind w:firstLine="480" w:firstLineChars="200"/>
              <w:jc w:val="both"/>
              <w:rPr>
                <w:rFonts w:hint="eastAsia"/>
                <w:color w:val="auto"/>
                <w:position w:val="15"/>
                <w:sz w:val="24"/>
                <w:highlight w:val="none"/>
                <w:u w:val="none" w:color="auto"/>
              </w:rPr>
            </w:pPr>
            <w:r>
              <w:rPr>
                <w:rFonts w:hint="eastAsia"/>
                <w:color w:val="auto"/>
                <w:position w:val="15"/>
                <w:sz w:val="24"/>
                <w:highlight w:val="none"/>
                <w:u w:val="none" w:color="auto"/>
              </w:rPr>
              <w:t>本项目厂界外50米范围内</w:t>
            </w:r>
            <w:r>
              <w:rPr>
                <w:rFonts w:hint="eastAsia"/>
                <w:color w:val="auto"/>
                <w:position w:val="15"/>
                <w:sz w:val="24"/>
                <w:highlight w:val="none"/>
                <w:u w:val="none" w:color="auto"/>
                <w:lang w:eastAsia="zh-CN"/>
              </w:rPr>
              <w:t>无</w:t>
            </w:r>
            <w:r>
              <w:rPr>
                <w:rFonts w:hint="eastAsia"/>
                <w:color w:val="auto"/>
                <w:position w:val="15"/>
                <w:sz w:val="24"/>
                <w:highlight w:val="none"/>
                <w:u w:val="none" w:color="auto"/>
              </w:rPr>
              <w:t>声环境保护目标。</w:t>
            </w:r>
          </w:p>
          <w:p w14:paraId="2131A263">
            <w:pPr>
              <w:adjustRightInd w:val="0"/>
              <w:snapToGrid w:val="0"/>
              <w:spacing w:line="360" w:lineRule="auto"/>
              <w:ind w:firstLine="480" w:firstLineChars="200"/>
              <w:jc w:val="both"/>
              <w:rPr>
                <w:rFonts w:hint="eastAsia"/>
                <w:color w:val="auto"/>
                <w:position w:val="15"/>
                <w:sz w:val="24"/>
                <w:highlight w:val="none"/>
                <w:u w:val="none" w:color="auto"/>
              </w:rPr>
            </w:pPr>
            <w:r>
              <w:rPr>
                <w:rFonts w:hint="eastAsia"/>
                <w:color w:val="auto"/>
                <w:position w:val="15"/>
                <w:sz w:val="24"/>
                <w:highlight w:val="none"/>
                <w:u w:val="none" w:color="auto"/>
              </w:rPr>
              <w:t>3、地表水环境</w:t>
            </w:r>
          </w:p>
          <w:p w14:paraId="696CFFD2">
            <w:pPr>
              <w:adjustRightInd w:val="0"/>
              <w:snapToGrid w:val="0"/>
              <w:spacing w:line="360" w:lineRule="auto"/>
              <w:ind w:firstLine="480" w:firstLineChars="200"/>
              <w:jc w:val="both"/>
              <w:rPr>
                <w:rFonts w:hint="eastAsia" w:eastAsia="宋体"/>
                <w:color w:val="auto"/>
                <w:position w:val="15"/>
                <w:sz w:val="24"/>
                <w:highlight w:val="none"/>
                <w:u w:val="none" w:color="auto"/>
                <w:lang w:eastAsia="zh-CN"/>
              </w:rPr>
            </w:pPr>
            <w:r>
              <w:rPr>
                <w:rFonts w:hint="eastAsia"/>
                <w:color w:val="auto"/>
                <w:position w:val="15"/>
                <w:sz w:val="24"/>
                <w:highlight w:val="none"/>
                <w:u w:val="none" w:color="auto"/>
              </w:rPr>
              <w:t>本项目</w:t>
            </w:r>
            <w:r>
              <w:rPr>
                <w:rFonts w:hint="eastAsia"/>
                <w:color w:val="auto"/>
                <w:position w:val="15"/>
                <w:sz w:val="24"/>
                <w:highlight w:val="none"/>
                <w:u w:val="none" w:color="auto"/>
                <w:lang w:eastAsia="zh-CN"/>
              </w:rPr>
              <w:t>附近</w:t>
            </w:r>
            <w:r>
              <w:rPr>
                <w:rFonts w:hint="eastAsia"/>
                <w:color w:val="auto"/>
                <w:position w:val="15"/>
                <w:sz w:val="24"/>
                <w:highlight w:val="none"/>
                <w:u w:val="none" w:color="auto"/>
              </w:rPr>
              <w:t>的地表水体为厂界外</w:t>
            </w:r>
            <w:r>
              <w:rPr>
                <w:rFonts w:hint="eastAsia"/>
                <w:color w:val="auto"/>
                <w:position w:val="15"/>
                <w:sz w:val="24"/>
                <w:highlight w:val="none"/>
                <w:u w:val="none" w:color="auto"/>
                <w:lang w:val="en-US" w:eastAsia="zh-CN"/>
              </w:rPr>
              <w:t>西南侧</w:t>
            </w:r>
            <w:r>
              <w:rPr>
                <w:rFonts w:hint="eastAsia"/>
                <w:color w:val="auto"/>
                <w:position w:val="15"/>
                <w:sz w:val="24"/>
                <w:highlight w:val="none"/>
                <w:u w:val="none" w:color="auto"/>
              </w:rPr>
              <w:t>约</w:t>
            </w:r>
            <w:r>
              <w:rPr>
                <w:rFonts w:hint="eastAsia"/>
                <w:color w:val="auto"/>
                <w:position w:val="15"/>
                <w:sz w:val="24"/>
                <w:highlight w:val="none"/>
                <w:u w:val="none" w:color="auto"/>
                <w:lang w:val="en-US" w:eastAsia="zh-CN"/>
              </w:rPr>
              <w:t>855</w:t>
            </w:r>
            <w:r>
              <w:rPr>
                <w:rFonts w:hint="eastAsia"/>
                <w:color w:val="auto"/>
                <w:position w:val="15"/>
                <w:sz w:val="24"/>
                <w:highlight w:val="none"/>
                <w:u w:val="none" w:color="auto"/>
              </w:rPr>
              <w:t>m的</w:t>
            </w:r>
            <w:r>
              <w:rPr>
                <w:rFonts w:hint="eastAsia"/>
                <w:color w:val="auto"/>
                <w:position w:val="15"/>
                <w:sz w:val="24"/>
                <w:highlight w:val="none"/>
                <w:u w:val="none" w:color="auto"/>
                <w:lang w:val="en-US" w:eastAsia="zh-CN"/>
              </w:rPr>
              <w:t>岔路河和厂界东侧1000m的倒木河。</w:t>
            </w:r>
          </w:p>
          <w:p w14:paraId="23CE4762">
            <w:pPr>
              <w:adjustRightInd w:val="0"/>
              <w:snapToGrid w:val="0"/>
              <w:spacing w:line="360" w:lineRule="auto"/>
              <w:ind w:firstLine="480" w:firstLineChars="200"/>
              <w:jc w:val="both"/>
              <w:rPr>
                <w:rFonts w:hint="eastAsia"/>
                <w:color w:val="auto"/>
                <w:position w:val="15"/>
                <w:sz w:val="24"/>
                <w:highlight w:val="none"/>
                <w:u w:val="none" w:color="auto"/>
              </w:rPr>
            </w:pPr>
            <w:r>
              <w:rPr>
                <w:rFonts w:hint="eastAsia"/>
                <w:color w:val="auto"/>
                <w:position w:val="15"/>
                <w:sz w:val="24"/>
                <w:highlight w:val="none"/>
                <w:u w:val="none" w:color="auto"/>
              </w:rPr>
              <w:t>4、地下水环境</w:t>
            </w:r>
          </w:p>
          <w:p w14:paraId="6BC70EAE">
            <w:pPr>
              <w:adjustRightInd w:val="0"/>
              <w:snapToGrid w:val="0"/>
              <w:spacing w:line="360" w:lineRule="auto"/>
              <w:ind w:firstLine="480" w:firstLineChars="200"/>
              <w:jc w:val="both"/>
              <w:rPr>
                <w:rFonts w:hint="eastAsia"/>
                <w:color w:val="auto"/>
                <w:position w:val="15"/>
                <w:sz w:val="24"/>
                <w:highlight w:val="none"/>
                <w:u w:val="none" w:color="auto"/>
              </w:rPr>
            </w:pPr>
            <w:r>
              <w:rPr>
                <w:rFonts w:hint="eastAsia"/>
                <w:color w:val="auto"/>
                <w:position w:val="15"/>
                <w:sz w:val="24"/>
                <w:highlight w:val="none"/>
                <w:u w:val="none" w:color="auto"/>
              </w:rPr>
              <w:t>本项目厂界外500m范围内无地下水集中式饮用水水源和热水、矿泉水、温泉等特殊地下水资源</w:t>
            </w:r>
            <w:r>
              <w:rPr>
                <w:rFonts w:hint="eastAsia"/>
                <w:color w:val="auto"/>
                <w:position w:val="15"/>
                <w:sz w:val="24"/>
                <w:highlight w:val="none"/>
                <w:u w:val="none" w:color="auto"/>
                <w:lang w:eastAsia="zh-CN"/>
              </w:rPr>
              <w:t>，</w:t>
            </w:r>
            <w:r>
              <w:rPr>
                <w:rFonts w:hint="eastAsia"/>
                <w:color w:val="auto"/>
                <w:position w:val="15"/>
                <w:sz w:val="24"/>
                <w:highlight w:val="none"/>
                <w:u w:val="single" w:color="auto"/>
                <w:lang w:eastAsia="zh-CN"/>
              </w:rPr>
              <w:t>双河镇村生活饮用水来自双河镇自来水站，位于项目东北侧</w:t>
            </w:r>
            <w:r>
              <w:rPr>
                <w:rFonts w:hint="eastAsia"/>
                <w:color w:val="auto"/>
                <w:position w:val="15"/>
                <w:sz w:val="24"/>
                <w:highlight w:val="none"/>
                <w:u w:val="single" w:color="auto"/>
                <w:lang w:val="en-US" w:eastAsia="zh-CN"/>
              </w:rPr>
              <w:t>5500m</w:t>
            </w:r>
            <w:r>
              <w:rPr>
                <w:rFonts w:hint="eastAsia"/>
                <w:color w:val="auto"/>
                <w:position w:val="15"/>
                <w:sz w:val="24"/>
                <w:highlight w:val="none"/>
                <w:u w:val="single" w:color="auto"/>
              </w:rPr>
              <w:t>。</w:t>
            </w:r>
          </w:p>
          <w:p w14:paraId="110D0E47">
            <w:pPr>
              <w:adjustRightInd w:val="0"/>
              <w:snapToGrid w:val="0"/>
              <w:spacing w:line="360" w:lineRule="auto"/>
              <w:ind w:firstLine="480" w:firstLineChars="200"/>
              <w:jc w:val="both"/>
              <w:rPr>
                <w:rFonts w:hint="eastAsia"/>
                <w:color w:val="auto"/>
                <w:position w:val="15"/>
                <w:sz w:val="24"/>
                <w:highlight w:val="none"/>
                <w:u w:val="none" w:color="auto"/>
              </w:rPr>
            </w:pPr>
            <w:r>
              <w:rPr>
                <w:rFonts w:hint="eastAsia"/>
                <w:color w:val="auto"/>
                <w:position w:val="15"/>
                <w:sz w:val="24"/>
                <w:highlight w:val="none"/>
                <w:u w:val="none" w:color="auto"/>
              </w:rPr>
              <w:t>5、生态环境</w:t>
            </w:r>
          </w:p>
          <w:p w14:paraId="259AB3C6">
            <w:pPr>
              <w:adjustRightInd w:val="0"/>
              <w:snapToGrid w:val="0"/>
              <w:spacing w:line="360" w:lineRule="auto"/>
              <w:ind w:firstLine="480" w:firstLineChars="200"/>
              <w:jc w:val="both"/>
              <w:rPr>
                <w:color w:val="auto"/>
                <w:position w:val="15"/>
                <w:sz w:val="24"/>
                <w:highlight w:val="none"/>
                <w:u w:val="none" w:color="auto"/>
              </w:rPr>
            </w:pPr>
            <w:r>
              <w:rPr>
                <w:rFonts w:hint="eastAsia"/>
                <w:color w:val="auto"/>
                <w:position w:val="15"/>
                <w:sz w:val="24"/>
                <w:highlight w:val="none"/>
                <w:u w:val="none" w:color="auto"/>
              </w:rPr>
              <w:t>本项目场地位于吉林市永吉县双河镇铁南路南侧，占地</w:t>
            </w:r>
            <w:r>
              <w:rPr>
                <w:rFonts w:hint="eastAsia"/>
                <w:color w:val="auto"/>
                <w:position w:val="15"/>
                <w:sz w:val="24"/>
                <w:highlight w:val="none"/>
                <w:u w:val="none" w:color="auto"/>
                <w:lang w:eastAsia="zh-CN"/>
              </w:rPr>
              <w:t>不涉及</w:t>
            </w:r>
            <w:r>
              <w:rPr>
                <w:rFonts w:hint="eastAsia"/>
                <w:color w:val="auto"/>
                <w:position w:val="15"/>
                <w:sz w:val="24"/>
                <w:highlight w:val="none"/>
                <w:u w:val="none" w:color="auto"/>
              </w:rPr>
              <w:t>生态保护红线范围内。评价范围内环境保护目标调查详见下表。</w:t>
            </w:r>
          </w:p>
          <w:p w14:paraId="15B2B469">
            <w:pPr>
              <w:adjustRightInd w:val="0"/>
              <w:snapToGrid w:val="0"/>
              <w:spacing w:line="360" w:lineRule="auto"/>
              <w:jc w:val="center"/>
              <w:rPr>
                <w:b/>
                <w:bCs/>
                <w:color w:val="auto"/>
                <w:spacing w:val="-2"/>
                <w:sz w:val="24"/>
                <w:highlight w:val="none"/>
                <w:u w:val="none" w:color="auto"/>
              </w:rPr>
            </w:pPr>
            <w:r>
              <w:rPr>
                <w:b/>
                <w:bCs/>
                <w:color w:val="auto"/>
                <w:spacing w:val="-2"/>
                <w:sz w:val="24"/>
                <w:highlight w:val="none"/>
                <w:u w:val="none" w:color="auto"/>
              </w:rPr>
              <w:t>表</w:t>
            </w:r>
            <w:r>
              <w:rPr>
                <w:rFonts w:hint="eastAsia"/>
                <w:b/>
                <w:bCs/>
                <w:color w:val="auto"/>
                <w:spacing w:val="-2"/>
                <w:sz w:val="24"/>
                <w:highlight w:val="none"/>
                <w:u w:val="none" w:color="auto"/>
                <w:lang w:val="en-US" w:eastAsia="zh-CN"/>
              </w:rPr>
              <w:t xml:space="preserve">3-7 </w:t>
            </w:r>
            <w:r>
              <w:rPr>
                <w:b/>
                <w:bCs/>
                <w:color w:val="auto"/>
                <w:spacing w:val="-2"/>
                <w:sz w:val="24"/>
                <w:highlight w:val="none"/>
                <w:u w:val="none" w:color="auto"/>
              </w:rPr>
              <w:t>环境保护目标一览表</w:t>
            </w:r>
          </w:p>
          <w:tbl>
            <w:tblPr>
              <w:tblStyle w:val="44"/>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87"/>
              <w:gridCol w:w="1005"/>
              <w:gridCol w:w="870"/>
              <w:gridCol w:w="1003"/>
              <w:gridCol w:w="1208"/>
              <w:gridCol w:w="2637"/>
            </w:tblGrid>
            <w:tr w14:paraId="43EB1C0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21" w:hRule="atLeast"/>
                <w:jc w:val="center"/>
              </w:trPr>
              <w:tc>
                <w:tcPr>
                  <w:tcW w:w="987" w:type="dxa"/>
                  <w:tcBorders>
                    <w:tl2br w:val="nil"/>
                    <w:tr2bl w:val="nil"/>
                  </w:tcBorders>
                  <w:vAlign w:val="center"/>
                </w:tcPr>
                <w:p w14:paraId="77F48D94">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lang w:eastAsia="zh-CN"/>
                    </w:rPr>
                    <w:t>环境要素</w:t>
                  </w:r>
                </w:p>
              </w:tc>
              <w:tc>
                <w:tcPr>
                  <w:tcW w:w="1005" w:type="dxa"/>
                  <w:tcBorders>
                    <w:tl2br w:val="nil"/>
                    <w:tr2bl w:val="nil"/>
                  </w:tcBorders>
                  <w:vAlign w:val="center"/>
                </w:tcPr>
                <w:p w14:paraId="3B6C65ED">
                  <w:pPr>
                    <w:adjustRightInd w:val="0"/>
                    <w:snapToGrid w:val="0"/>
                    <w:spacing w:line="240" w:lineRule="auto"/>
                    <w:jc w:val="center"/>
                    <w:rPr>
                      <w:rFonts w:hint="eastAsia" w:eastAsia="宋体"/>
                      <w:snapToGrid w:val="0"/>
                      <w:color w:val="auto"/>
                      <w:szCs w:val="21"/>
                      <w:highlight w:val="none"/>
                      <w:u w:val="none" w:color="auto"/>
                      <w:lang w:eastAsia="zh-CN"/>
                    </w:rPr>
                  </w:pPr>
                  <w:r>
                    <w:rPr>
                      <w:rFonts w:hint="eastAsia"/>
                      <w:snapToGrid w:val="0"/>
                      <w:color w:val="auto"/>
                      <w:szCs w:val="21"/>
                      <w:highlight w:val="none"/>
                      <w:u w:val="none" w:color="auto"/>
                      <w:lang w:val="en-US" w:eastAsia="zh-CN"/>
                    </w:rPr>
                    <w:t>保护对象</w:t>
                  </w:r>
                </w:p>
              </w:tc>
              <w:tc>
                <w:tcPr>
                  <w:tcW w:w="870" w:type="dxa"/>
                  <w:tcBorders>
                    <w:tl2br w:val="nil"/>
                    <w:tr2bl w:val="nil"/>
                  </w:tcBorders>
                  <w:shd w:val="clear" w:color="auto" w:fill="auto"/>
                  <w:vAlign w:val="center"/>
                </w:tcPr>
                <w:p w14:paraId="0596766A">
                  <w:pPr>
                    <w:adjustRightInd w:val="0"/>
                    <w:snapToGrid w:val="0"/>
                    <w:spacing w:line="240" w:lineRule="auto"/>
                    <w:jc w:val="center"/>
                    <w:rPr>
                      <w:rFonts w:hint="eastAsia" w:ascii="Times New Roman" w:hAnsi="Times New Roman" w:eastAsia="宋体" w:cs="Times New Roman"/>
                      <w:snapToGrid w:val="0"/>
                      <w:color w:val="auto"/>
                      <w:kern w:val="2"/>
                      <w:sz w:val="21"/>
                      <w:szCs w:val="21"/>
                      <w:highlight w:val="none"/>
                      <w:u w:val="none" w:color="auto"/>
                      <w:lang w:val="en-US" w:eastAsia="zh-CN" w:bidi="ar-SA"/>
                    </w:rPr>
                  </w:pPr>
                  <w:r>
                    <w:rPr>
                      <w:rFonts w:hint="eastAsia"/>
                      <w:snapToGrid w:val="0"/>
                      <w:color w:val="auto"/>
                      <w:szCs w:val="21"/>
                      <w:highlight w:val="none"/>
                      <w:u w:val="none" w:color="auto"/>
                      <w:lang w:eastAsia="zh-CN"/>
                    </w:rPr>
                    <w:t>方位</w:t>
                  </w:r>
                </w:p>
              </w:tc>
              <w:tc>
                <w:tcPr>
                  <w:tcW w:w="1003" w:type="dxa"/>
                  <w:tcBorders>
                    <w:tl2br w:val="nil"/>
                    <w:tr2bl w:val="nil"/>
                  </w:tcBorders>
                  <w:shd w:val="clear" w:color="auto" w:fill="auto"/>
                  <w:vAlign w:val="center"/>
                </w:tcPr>
                <w:p w14:paraId="60F58BB0">
                  <w:pPr>
                    <w:adjustRightInd w:val="0"/>
                    <w:snapToGrid w:val="0"/>
                    <w:spacing w:line="240" w:lineRule="auto"/>
                    <w:jc w:val="center"/>
                    <w:rPr>
                      <w:rFonts w:ascii="Times New Roman" w:hAnsi="Times New Roman" w:eastAsia="宋体" w:cs="Times New Roman"/>
                      <w:snapToGrid w:val="0"/>
                      <w:color w:val="auto"/>
                      <w:kern w:val="2"/>
                      <w:sz w:val="21"/>
                      <w:szCs w:val="21"/>
                      <w:highlight w:val="none"/>
                      <w:u w:val="none" w:color="auto"/>
                      <w:lang w:val="en-US" w:eastAsia="zh-CN" w:bidi="ar-SA"/>
                    </w:rPr>
                  </w:pPr>
                  <w:r>
                    <w:rPr>
                      <w:snapToGrid w:val="0"/>
                      <w:color w:val="auto"/>
                      <w:szCs w:val="21"/>
                      <w:highlight w:val="none"/>
                      <w:u w:val="none" w:color="auto"/>
                    </w:rPr>
                    <w:t>相对距离</w:t>
                  </w:r>
                </w:p>
              </w:tc>
              <w:tc>
                <w:tcPr>
                  <w:tcW w:w="1208" w:type="dxa"/>
                  <w:tcBorders>
                    <w:tl2br w:val="nil"/>
                    <w:tr2bl w:val="nil"/>
                  </w:tcBorders>
                  <w:vAlign w:val="center"/>
                </w:tcPr>
                <w:p w14:paraId="6CF1CB03">
                  <w:pPr>
                    <w:adjustRightInd w:val="0"/>
                    <w:snapToGrid w:val="0"/>
                    <w:spacing w:line="240" w:lineRule="auto"/>
                    <w:jc w:val="center"/>
                    <w:rPr>
                      <w:rFonts w:hint="eastAsia" w:eastAsia="宋体"/>
                      <w:snapToGrid w:val="0"/>
                      <w:color w:val="auto"/>
                      <w:szCs w:val="21"/>
                      <w:highlight w:val="none"/>
                      <w:u w:val="none" w:color="auto"/>
                      <w:lang w:val="en-US" w:eastAsia="zh-CN"/>
                    </w:rPr>
                  </w:pPr>
                  <w:r>
                    <w:rPr>
                      <w:rFonts w:hint="eastAsia"/>
                      <w:snapToGrid w:val="0"/>
                      <w:color w:val="auto"/>
                      <w:szCs w:val="21"/>
                      <w:highlight w:val="none"/>
                      <w:u w:val="none" w:color="auto"/>
                      <w:lang w:val="en-US" w:eastAsia="zh-CN"/>
                    </w:rPr>
                    <w:t>保护内容</w:t>
                  </w:r>
                </w:p>
              </w:tc>
              <w:tc>
                <w:tcPr>
                  <w:tcW w:w="2637" w:type="dxa"/>
                  <w:tcBorders>
                    <w:tl2br w:val="nil"/>
                    <w:tr2bl w:val="nil"/>
                  </w:tcBorders>
                  <w:vAlign w:val="center"/>
                </w:tcPr>
                <w:p w14:paraId="5D15DD9C">
                  <w:pPr>
                    <w:adjustRightInd w:val="0"/>
                    <w:snapToGrid w:val="0"/>
                    <w:spacing w:line="240" w:lineRule="auto"/>
                    <w:jc w:val="center"/>
                    <w:rPr>
                      <w:snapToGrid w:val="0"/>
                      <w:color w:val="auto"/>
                      <w:szCs w:val="21"/>
                      <w:highlight w:val="none"/>
                      <w:u w:val="none" w:color="auto"/>
                    </w:rPr>
                  </w:pPr>
                  <w:r>
                    <w:rPr>
                      <w:color w:val="auto"/>
                      <w:highlight w:val="none"/>
                      <w:u w:val="none" w:color="auto"/>
                    </w:rPr>
                    <w:t>保护级别</w:t>
                  </w:r>
                </w:p>
              </w:tc>
            </w:tr>
            <w:tr w14:paraId="2454D6A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987" w:type="dxa"/>
                  <w:vMerge w:val="restart"/>
                  <w:tcBorders>
                    <w:tl2br w:val="nil"/>
                    <w:tr2bl w:val="nil"/>
                  </w:tcBorders>
                  <w:vAlign w:val="center"/>
                </w:tcPr>
                <w:p w14:paraId="406781D5">
                  <w:pPr>
                    <w:adjustRightInd w:val="0"/>
                    <w:snapToGrid w:val="0"/>
                    <w:spacing w:line="240" w:lineRule="auto"/>
                    <w:jc w:val="center"/>
                    <w:rPr>
                      <w:snapToGrid w:val="0"/>
                      <w:color w:val="auto"/>
                      <w:szCs w:val="21"/>
                      <w:highlight w:val="none"/>
                      <w:u w:val="none" w:color="auto"/>
                    </w:rPr>
                  </w:pPr>
                  <w:r>
                    <w:rPr>
                      <w:snapToGrid w:val="0"/>
                      <w:color w:val="auto"/>
                      <w:szCs w:val="21"/>
                      <w:highlight w:val="none"/>
                      <w:u w:val="none" w:color="auto"/>
                    </w:rPr>
                    <w:t>大气</w:t>
                  </w:r>
                  <w:r>
                    <w:rPr>
                      <w:rFonts w:hint="eastAsia"/>
                      <w:snapToGrid w:val="0"/>
                      <w:color w:val="auto"/>
                      <w:szCs w:val="21"/>
                      <w:highlight w:val="none"/>
                      <w:u w:val="none" w:color="auto"/>
                    </w:rPr>
                    <w:t>环境</w:t>
                  </w:r>
                </w:p>
              </w:tc>
              <w:tc>
                <w:tcPr>
                  <w:tcW w:w="1005" w:type="dxa"/>
                  <w:tcBorders>
                    <w:tl2br w:val="nil"/>
                    <w:tr2bl w:val="nil"/>
                  </w:tcBorders>
                  <w:vAlign w:val="center"/>
                </w:tcPr>
                <w:p w14:paraId="20133AED">
                  <w:pPr>
                    <w:adjustRightInd w:val="0"/>
                    <w:snapToGrid w:val="0"/>
                    <w:spacing w:line="240" w:lineRule="auto"/>
                    <w:jc w:val="center"/>
                    <w:rPr>
                      <w:rFonts w:hint="eastAsia" w:eastAsia="宋体"/>
                      <w:snapToGrid w:val="0"/>
                      <w:color w:val="auto"/>
                      <w:szCs w:val="21"/>
                      <w:highlight w:val="none"/>
                      <w:u w:val="single" w:color="auto"/>
                      <w:lang w:eastAsia="zh-CN"/>
                    </w:rPr>
                  </w:pPr>
                  <w:r>
                    <w:rPr>
                      <w:rFonts w:hint="eastAsia"/>
                      <w:snapToGrid w:val="0"/>
                      <w:color w:val="auto"/>
                      <w:szCs w:val="21"/>
                      <w:highlight w:val="none"/>
                      <w:u w:val="single" w:color="auto"/>
                      <w:lang w:val="en-US" w:eastAsia="zh-CN"/>
                    </w:rPr>
                    <w:t>双河镇村</w:t>
                  </w:r>
                </w:p>
              </w:tc>
              <w:tc>
                <w:tcPr>
                  <w:tcW w:w="870" w:type="dxa"/>
                  <w:tcBorders>
                    <w:tl2br w:val="nil"/>
                    <w:tr2bl w:val="nil"/>
                  </w:tcBorders>
                  <w:shd w:val="clear" w:color="auto" w:fill="auto"/>
                  <w:vAlign w:val="center"/>
                </w:tcPr>
                <w:p w14:paraId="790C6CC1">
                  <w:pPr>
                    <w:adjustRightInd w:val="0"/>
                    <w:snapToGrid w:val="0"/>
                    <w:spacing w:line="240" w:lineRule="auto"/>
                    <w:jc w:val="center"/>
                    <w:rPr>
                      <w:rFonts w:hint="default" w:ascii="Times New Roman" w:hAnsi="Times New Roman" w:eastAsia="宋体" w:cs="Times New Roman"/>
                      <w:snapToGrid w:val="0"/>
                      <w:color w:val="auto"/>
                      <w:kern w:val="2"/>
                      <w:sz w:val="21"/>
                      <w:szCs w:val="21"/>
                      <w:highlight w:val="none"/>
                      <w:u w:val="single" w:color="auto"/>
                      <w:lang w:val="en-US" w:eastAsia="zh-CN" w:bidi="ar-SA"/>
                    </w:rPr>
                  </w:pPr>
                  <w:r>
                    <w:rPr>
                      <w:rFonts w:hint="eastAsia"/>
                      <w:snapToGrid w:val="0"/>
                      <w:color w:val="auto"/>
                      <w:szCs w:val="21"/>
                      <w:highlight w:val="none"/>
                      <w:u w:val="single" w:color="auto"/>
                      <w:lang w:val="en-US" w:eastAsia="zh-CN"/>
                    </w:rPr>
                    <w:t>西</w:t>
                  </w:r>
                </w:p>
              </w:tc>
              <w:tc>
                <w:tcPr>
                  <w:tcW w:w="1003" w:type="dxa"/>
                  <w:tcBorders>
                    <w:tl2br w:val="nil"/>
                    <w:tr2bl w:val="nil"/>
                  </w:tcBorders>
                  <w:shd w:val="clear" w:color="auto" w:fill="auto"/>
                  <w:vAlign w:val="center"/>
                </w:tcPr>
                <w:p w14:paraId="3F6B9875">
                  <w:pPr>
                    <w:adjustRightInd w:val="0"/>
                    <w:snapToGrid w:val="0"/>
                    <w:spacing w:line="240" w:lineRule="auto"/>
                    <w:jc w:val="center"/>
                    <w:rPr>
                      <w:rFonts w:hint="eastAsia" w:ascii="Times New Roman" w:hAnsi="Times New Roman" w:eastAsia="宋体" w:cs="Times New Roman"/>
                      <w:snapToGrid w:val="0"/>
                      <w:color w:val="auto"/>
                      <w:kern w:val="2"/>
                      <w:sz w:val="21"/>
                      <w:szCs w:val="21"/>
                      <w:highlight w:val="none"/>
                      <w:u w:val="single" w:color="auto"/>
                      <w:lang w:val="en-US" w:eastAsia="zh-CN" w:bidi="ar-SA"/>
                    </w:rPr>
                  </w:pPr>
                  <w:r>
                    <w:rPr>
                      <w:rFonts w:hint="eastAsia"/>
                      <w:snapToGrid w:val="0"/>
                      <w:color w:val="auto"/>
                      <w:szCs w:val="21"/>
                      <w:highlight w:val="none"/>
                      <w:u w:val="single" w:color="auto"/>
                      <w:lang w:val="en-US" w:eastAsia="zh-CN"/>
                    </w:rPr>
                    <w:t>160-500</w:t>
                  </w:r>
                  <w:r>
                    <w:rPr>
                      <w:snapToGrid w:val="0"/>
                      <w:color w:val="auto"/>
                      <w:szCs w:val="21"/>
                      <w:highlight w:val="none"/>
                      <w:u w:val="single" w:color="auto"/>
                    </w:rPr>
                    <w:t>m</w:t>
                  </w:r>
                </w:p>
              </w:tc>
              <w:tc>
                <w:tcPr>
                  <w:tcW w:w="1208" w:type="dxa"/>
                  <w:tcBorders>
                    <w:tl2br w:val="nil"/>
                    <w:tr2bl w:val="nil"/>
                  </w:tcBorders>
                  <w:vAlign w:val="center"/>
                </w:tcPr>
                <w:p w14:paraId="29094367">
                  <w:pPr>
                    <w:adjustRightInd w:val="0"/>
                    <w:snapToGrid w:val="0"/>
                    <w:spacing w:line="240" w:lineRule="auto"/>
                    <w:jc w:val="center"/>
                    <w:rPr>
                      <w:rFonts w:hint="eastAsia" w:eastAsia="宋体"/>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36</w:t>
                  </w:r>
                  <w:r>
                    <w:rPr>
                      <w:rFonts w:hint="eastAsia"/>
                      <w:snapToGrid w:val="0"/>
                      <w:color w:val="auto"/>
                      <w:szCs w:val="21"/>
                      <w:highlight w:val="none"/>
                      <w:u w:val="single" w:color="auto"/>
                    </w:rPr>
                    <w:t>户</w:t>
                  </w:r>
                  <w:r>
                    <w:rPr>
                      <w:rFonts w:hint="eastAsia"/>
                      <w:snapToGrid w:val="0"/>
                      <w:color w:val="auto"/>
                      <w:szCs w:val="21"/>
                      <w:highlight w:val="none"/>
                      <w:u w:val="single" w:color="auto"/>
                      <w:lang w:eastAsia="zh-CN"/>
                    </w:rPr>
                    <w:t>居民</w:t>
                  </w:r>
                </w:p>
              </w:tc>
              <w:tc>
                <w:tcPr>
                  <w:tcW w:w="2637" w:type="dxa"/>
                  <w:vMerge w:val="restart"/>
                  <w:tcBorders>
                    <w:tl2br w:val="nil"/>
                    <w:tr2bl w:val="nil"/>
                  </w:tcBorders>
                  <w:vAlign w:val="center"/>
                </w:tcPr>
                <w:p w14:paraId="65AC6E19">
                  <w:pPr>
                    <w:adjustRightInd w:val="0"/>
                    <w:snapToGrid w:val="0"/>
                    <w:spacing w:line="240" w:lineRule="auto"/>
                    <w:jc w:val="center"/>
                    <w:rPr>
                      <w:snapToGrid w:val="0"/>
                      <w:color w:val="auto"/>
                      <w:szCs w:val="21"/>
                      <w:highlight w:val="none"/>
                      <w:u w:val="single" w:color="auto"/>
                    </w:rPr>
                  </w:pPr>
                  <w:r>
                    <w:rPr>
                      <w:snapToGrid w:val="0"/>
                      <w:color w:val="auto"/>
                      <w:szCs w:val="21"/>
                      <w:highlight w:val="none"/>
                      <w:u w:val="single" w:color="auto"/>
                    </w:rPr>
                    <w:t>《环境空气质量标准》</w:t>
                  </w:r>
                  <w:r>
                    <w:rPr>
                      <w:rFonts w:hint="eastAsia"/>
                      <w:snapToGrid w:val="0"/>
                      <w:color w:val="auto"/>
                      <w:szCs w:val="21"/>
                      <w:highlight w:val="none"/>
                      <w:u w:val="single" w:color="auto"/>
                    </w:rPr>
                    <w:t>（GB3095-2012）中二级标准</w:t>
                  </w:r>
                </w:p>
              </w:tc>
            </w:tr>
            <w:tr w14:paraId="61880F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987" w:type="dxa"/>
                  <w:vMerge w:val="continue"/>
                  <w:tcBorders>
                    <w:tl2br w:val="nil"/>
                    <w:tr2bl w:val="nil"/>
                  </w:tcBorders>
                  <w:vAlign w:val="center"/>
                </w:tcPr>
                <w:p w14:paraId="7D6A8684">
                  <w:pPr>
                    <w:adjustRightInd w:val="0"/>
                    <w:snapToGrid w:val="0"/>
                    <w:spacing w:line="240" w:lineRule="auto"/>
                    <w:jc w:val="center"/>
                    <w:rPr>
                      <w:snapToGrid w:val="0"/>
                      <w:color w:val="auto"/>
                      <w:szCs w:val="21"/>
                      <w:highlight w:val="none"/>
                      <w:u w:val="none" w:color="auto"/>
                    </w:rPr>
                  </w:pPr>
                </w:p>
              </w:tc>
              <w:tc>
                <w:tcPr>
                  <w:tcW w:w="1005" w:type="dxa"/>
                  <w:tcBorders>
                    <w:tl2br w:val="nil"/>
                    <w:tr2bl w:val="nil"/>
                  </w:tcBorders>
                  <w:vAlign w:val="center"/>
                </w:tcPr>
                <w:p w14:paraId="4FC46CEB">
                  <w:pPr>
                    <w:adjustRightInd w:val="0"/>
                    <w:snapToGrid w:val="0"/>
                    <w:spacing w:line="240" w:lineRule="auto"/>
                    <w:jc w:val="center"/>
                    <w:rPr>
                      <w:rFonts w:hint="eastAsia"/>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双河镇村</w:t>
                  </w:r>
                </w:p>
              </w:tc>
              <w:tc>
                <w:tcPr>
                  <w:tcW w:w="870" w:type="dxa"/>
                  <w:tcBorders>
                    <w:tl2br w:val="nil"/>
                    <w:tr2bl w:val="nil"/>
                  </w:tcBorders>
                  <w:shd w:val="clear" w:color="auto" w:fill="auto"/>
                  <w:vAlign w:val="center"/>
                </w:tcPr>
                <w:p w14:paraId="03393E9D">
                  <w:pPr>
                    <w:adjustRightInd w:val="0"/>
                    <w:snapToGrid w:val="0"/>
                    <w:spacing w:line="240" w:lineRule="auto"/>
                    <w:jc w:val="center"/>
                    <w:rPr>
                      <w:rFonts w:hint="eastAsia"/>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西北</w:t>
                  </w:r>
                </w:p>
              </w:tc>
              <w:tc>
                <w:tcPr>
                  <w:tcW w:w="1003" w:type="dxa"/>
                  <w:tcBorders>
                    <w:tl2br w:val="nil"/>
                    <w:tr2bl w:val="nil"/>
                  </w:tcBorders>
                  <w:shd w:val="clear" w:color="auto" w:fill="auto"/>
                  <w:vAlign w:val="center"/>
                </w:tcPr>
                <w:p w14:paraId="07E845FA">
                  <w:pPr>
                    <w:adjustRightInd w:val="0"/>
                    <w:snapToGrid w:val="0"/>
                    <w:spacing w:line="240" w:lineRule="auto"/>
                    <w:jc w:val="center"/>
                    <w:rPr>
                      <w:rFonts w:hint="default"/>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245-500m</w:t>
                  </w:r>
                </w:p>
              </w:tc>
              <w:tc>
                <w:tcPr>
                  <w:tcW w:w="1208" w:type="dxa"/>
                  <w:tcBorders>
                    <w:tl2br w:val="nil"/>
                    <w:tr2bl w:val="nil"/>
                  </w:tcBorders>
                  <w:vAlign w:val="center"/>
                </w:tcPr>
                <w:p w14:paraId="33BD7887">
                  <w:pPr>
                    <w:adjustRightInd w:val="0"/>
                    <w:snapToGrid w:val="0"/>
                    <w:spacing w:line="240" w:lineRule="auto"/>
                    <w:jc w:val="center"/>
                    <w:rPr>
                      <w:rFonts w:hint="default"/>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43户居民</w:t>
                  </w:r>
                </w:p>
              </w:tc>
              <w:tc>
                <w:tcPr>
                  <w:tcW w:w="2637" w:type="dxa"/>
                  <w:vMerge w:val="continue"/>
                  <w:tcBorders>
                    <w:tl2br w:val="nil"/>
                    <w:tr2bl w:val="nil"/>
                  </w:tcBorders>
                  <w:vAlign w:val="center"/>
                </w:tcPr>
                <w:p w14:paraId="77EC3BC5">
                  <w:pPr>
                    <w:adjustRightInd w:val="0"/>
                    <w:snapToGrid w:val="0"/>
                    <w:spacing w:line="240" w:lineRule="auto"/>
                    <w:jc w:val="center"/>
                    <w:rPr>
                      <w:snapToGrid w:val="0"/>
                      <w:color w:val="auto"/>
                      <w:szCs w:val="21"/>
                      <w:highlight w:val="none"/>
                      <w:u w:val="single" w:color="auto"/>
                    </w:rPr>
                  </w:pPr>
                </w:p>
              </w:tc>
            </w:tr>
            <w:tr w14:paraId="57922C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987" w:type="dxa"/>
                  <w:vMerge w:val="continue"/>
                  <w:tcBorders>
                    <w:tl2br w:val="nil"/>
                    <w:tr2bl w:val="nil"/>
                  </w:tcBorders>
                  <w:vAlign w:val="center"/>
                </w:tcPr>
                <w:p w14:paraId="190A8EF3">
                  <w:pPr>
                    <w:adjustRightInd w:val="0"/>
                    <w:snapToGrid w:val="0"/>
                    <w:spacing w:line="240" w:lineRule="auto"/>
                    <w:jc w:val="center"/>
                    <w:rPr>
                      <w:snapToGrid w:val="0"/>
                      <w:color w:val="auto"/>
                      <w:szCs w:val="21"/>
                      <w:highlight w:val="none"/>
                      <w:u w:val="none" w:color="auto"/>
                    </w:rPr>
                  </w:pPr>
                </w:p>
              </w:tc>
              <w:tc>
                <w:tcPr>
                  <w:tcW w:w="1005" w:type="dxa"/>
                  <w:tcBorders>
                    <w:tl2br w:val="nil"/>
                    <w:tr2bl w:val="nil"/>
                  </w:tcBorders>
                  <w:vAlign w:val="center"/>
                </w:tcPr>
                <w:p w14:paraId="7C16698D">
                  <w:pPr>
                    <w:adjustRightInd w:val="0"/>
                    <w:snapToGrid w:val="0"/>
                    <w:spacing w:line="240" w:lineRule="auto"/>
                    <w:jc w:val="center"/>
                    <w:rPr>
                      <w:rFonts w:hint="eastAsia"/>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零散居民</w:t>
                  </w:r>
                </w:p>
              </w:tc>
              <w:tc>
                <w:tcPr>
                  <w:tcW w:w="870" w:type="dxa"/>
                  <w:tcBorders>
                    <w:tl2br w:val="nil"/>
                    <w:tr2bl w:val="nil"/>
                  </w:tcBorders>
                  <w:shd w:val="clear" w:color="auto" w:fill="auto"/>
                  <w:vAlign w:val="center"/>
                </w:tcPr>
                <w:p w14:paraId="4237113C">
                  <w:pPr>
                    <w:adjustRightInd w:val="0"/>
                    <w:snapToGrid w:val="0"/>
                    <w:spacing w:line="240" w:lineRule="auto"/>
                    <w:jc w:val="center"/>
                    <w:rPr>
                      <w:rFonts w:hint="eastAsia"/>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南</w:t>
                  </w:r>
                </w:p>
              </w:tc>
              <w:tc>
                <w:tcPr>
                  <w:tcW w:w="1003" w:type="dxa"/>
                  <w:tcBorders>
                    <w:tl2br w:val="nil"/>
                    <w:tr2bl w:val="nil"/>
                  </w:tcBorders>
                  <w:shd w:val="clear" w:color="auto" w:fill="auto"/>
                  <w:vAlign w:val="center"/>
                </w:tcPr>
                <w:p w14:paraId="6FBE7B2F">
                  <w:pPr>
                    <w:adjustRightInd w:val="0"/>
                    <w:snapToGrid w:val="0"/>
                    <w:spacing w:line="240" w:lineRule="auto"/>
                    <w:jc w:val="center"/>
                    <w:rPr>
                      <w:rFonts w:hint="default"/>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195m</w:t>
                  </w:r>
                </w:p>
              </w:tc>
              <w:tc>
                <w:tcPr>
                  <w:tcW w:w="1208" w:type="dxa"/>
                  <w:tcBorders>
                    <w:tl2br w:val="nil"/>
                    <w:tr2bl w:val="nil"/>
                  </w:tcBorders>
                  <w:vAlign w:val="center"/>
                </w:tcPr>
                <w:p w14:paraId="337445EE">
                  <w:pPr>
                    <w:adjustRightInd w:val="0"/>
                    <w:snapToGrid w:val="0"/>
                    <w:spacing w:line="240" w:lineRule="auto"/>
                    <w:jc w:val="center"/>
                    <w:rPr>
                      <w:rFonts w:hint="default"/>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1户居民</w:t>
                  </w:r>
                </w:p>
              </w:tc>
              <w:tc>
                <w:tcPr>
                  <w:tcW w:w="2637" w:type="dxa"/>
                  <w:vMerge w:val="continue"/>
                  <w:tcBorders>
                    <w:tl2br w:val="nil"/>
                    <w:tr2bl w:val="nil"/>
                  </w:tcBorders>
                  <w:vAlign w:val="center"/>
                </w:tcPr>
                <w:p w14:paraId="24B90016">
                  <w:pPr>
                    <w:adjustRightInd w:val="0"/>
                    <w:snapToGrid w:val="0"/>
                    <w:spacing w:line="240" w:lineRule="auto"/>
                    <w:jc w:val="center"/>
                    <w:rPr>
                      <w:snapToGrid w:val="0"/>
                      <w:color w:val="auto"/>
                      <w:szCs w:val="21"/>
                      <w:highlight w:val="none"/>
                      <w:u w:val="single" w:color="auto"/>
                    </w:rPr>
                  </w:pPr>
                </w:p>
              </w:tc>
            </w:tr>
            <w:tr w14:paraId="538BB2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87" w:type="dxa"/>
                  <w:vMerge w:val="restart"/>
                  <w:tcBorders>
                    <w:tl2br w:val="nil"/>
                    <w:tr2bl w:val="nil"/>
                  </w:tcBorders>
                  <w:shd w:val="clear" w:color="auto" w:fill="auto"/>
                  <w:vAlign w:val="center"/>
                </w:tcPr>
                <w:p w14:paraId="5A28179D">
                  <w:pPr>
                    <w:adjustRightInd w:val="0"/>
                    <w:snapToGrid w:val="0"/>
                    <w:spacing w:line="240" w:lineRule="auto"/>
                    <w:jc w:val="center"/>
                    <w:rPr>
                      <w:rFonts w:hint="eastAsia" w:ascii="Times New Roman" w:hAnsi="Times New Roman" w:eastAsia="宋体" w:cs="Times New Roman"/>
                      <w:snapToGrid w:val="0"/>
                      <w:color w:val="auto"/>
                      <w:kern w:val="2"/>
                      <w:sz w:val="21"/>
                      <w:szCs w:val="21"/>
                      <w:highlight w:val="none"/>
                      <w:u w:val="none" w:color="auto"/>
                      <w:lang w:val="en-US" w:eastAsia="zh-CN" w:bidi="ar-SA"/>
                    </w:rPr>
                  </w:pPr>
                  <w:r>
                    <w:rPr>
                      <w:rFonts w:hint="eastAsia"/>
                      <w:snapToGrid w:val="0"/>
                      <w:color w:val="auto"/>
                      <w:szCs w:val="21"/>
                      <w:highlight w:val="none"/>
                      <w:u w:val="none" w:color="auto"/>
                    </w:rPr>
                    <w:t>地表水环境</w:t>
                  </w:r>
                </w:p>
              </w:tc>
              <w:tc>
                <w:tcPr>
                  <w:tcW w:w="1005" w:type="dxa"/>
                  <w:tcBorders>
                    <w:tl2br w:val="nil"/>
                    <w:tr2bl w:val="nil"/>
                  </w:tcBorders>
                  <w:shd w:val="clear" w:color="auto" w:fill="auto"/>
                  <w:vAlign w:val="center"/>
                </w:tcPr>
                <w:p w14:paraId="1E60D817">
                  <w:pPr>
                    <w:adjustRightInd w:val="0"/>
                    <w:snapToGrid w:val="0"/>
                    <w:spacing w:line="240" w:lineRule="auto"/>
                    <w:jc w:val="center"/>
                    <w:rPr>
                      <w:rFonts w:hint="eastAsia" w:ascii="Times New Roman" w:hAnsi="Times New Roman" w:eastAsia="宋体" w:cs="Times New Roman"/>
                      <w:snapToGrid w:val="0"/>
                      <w:color w:val="auto"/>
                      <w:kern w:val="2"/>
                      <w:sz w:val="21"/>
                      <w:szCs w:val="21"/>
                      <w:highlight w:val="none"/>
                      <w:u w:val="none" w:color="auto"/>
                      <w:lang w:val="en-US" w:eastAsia="zh-CN" w:bidi="ar-SA"/>
                    </w:rPr>
                  </w:pPr>
                  <w:r>
                    <w:rPr>
                      <w:rFonts w:hint="eastAsia"/>
                      <w:snapToGrid w:val="0"/>
                      <w:color w:val="auto"/>
                      <w:szCs w:val="21"/>
                      <w:highlight w:val="none"/>
                      <w:u w:val="none" w:color="auto"/>
                      <w:lang w:val="en-US" w:eastAsia="zh-CN"/>
                    </w:rPr>
                    <w:t>岔路河</w:t>
                  </w:r>
                </w:p>
              </w:tc>
              <w:tc>
                <w:tcPr>
                  <w:tcW w:w="870" w:type="dxa"/>
                  <w:tcBorders>
                    <w:tl2br w:val="nil"/>
                    <w:tr2bl w:val="nil"/>
                  </w:tcBorders>
                  <w:shd w:val="clear" w:color="auto" w:fill="auto"/>
                  <w:vAlign w:val="center"/>
                </w:tcPr>
                <w:p w14:paraId="16F7E799">
                  <w:pPr>
                    <w:adjustRightInd w:val="0"/>
                    <w:snapToGrid w:val="0"/>
                    <w:spacing w:line="240" w:lineRule="auto"/>
                    <w:jc w:val="center"/>
                    <w:rPr>
                      <w:rFonts w:hint="default" w:ascii="Times New Roman" w:hAnsi="Times New Roman" w:eastAsia="宋体" w:cs="Times New Roman"/>
                      <w:snapToGrid w:val="0"/>
                      <w:color w:val="auto"/>
                      <w:kern w:val="2"/>
                      <w:sz w:val="21"/>
                      <w:szCs w:val="21"/>
                      <w:highlight w:val="none"/>
                      <w:u w:val="none" w:color="auto"/>
                      <w:lang w:val="en-US" w:eastAsia="zh-CN" w:bidi="ar-SA"/>
                    </w:rPr>
                  </w:pPr>
                  <w:r>
                    <w:rPr>
                      <w:rFonts w:hint="eastAsia" w:cs="Times New Roman"/>
                      <w:snapToGrid w:val="0"/>
                      <w:color w:val="auto"/>
                      <w:kern w:val="2"/>
                      <w:sz w:val="21"/>
                      <w:szCs w:val="21"/>
                      <w:highlight w:val="none"/>
                      <w:u w:val="none" w:color="auto"/>
                      <w:lang w:val="en-US" w:eastAsia="zh-CN" w:bidi="ar-SA"/>
                    </w:rPr>
                    <w:t>西南</w:t>
                  </w:r>
                </w:p>
              </w:tc>
              <w:tc>
                <w:tcPr>
                  <w:tcW w:w="1003" w:type="dxa"/>
                  <w:tcBorders>
                    <w:tl2br w:val="nil"/>
                    <w:tr2bl w:val="nil"/>
                  </w:tcBorders>
                  <w:shd w:val="clear" w:color="auto" w:fill="auto"/>
                  <w:vAlign w:val="center"/>
                </w:tcPr>
                <w:p w14:paraId="394F721B">
                  <w:pPr>
                    <w:adjustRightInd w:val="0"/>
                    <w:snapToGrid w:val="0"/>
                    <w:spacing w:line="240" w:lineRule="auto"/>
                    <w:jc w:val="center"/>
                    <w:rPr>
                      <w:rFonts w:hint="eastAsia" w:ascii="Times New Roman" w:hAnsi="Times New Roman" w:eastAsia="宋体" w:cs="Times New Roman"/>
                      <w:snapToGrid w:val="0"/>
                      <w:color w:val="auto"/>
                      <w:kern w:val="2"/>
                      <w:sz w:val="21"/>
                      <w:szCs w:val="21"/>
                      <w:highlight w:val="none"/>
                      <w:u w:val="none" w:color="auto"/>
                      <w:lang w:val="en-US" w:eastAsia="zh-CN" w:bidi="ar-SA"/>
                    </w:rPr>
                  </w:pPr>
                  <w:r>
                    <w:rPr>
                      <w:rFonts w:hint="eastAsia"/>
                      <w:snapToGrid w:val="0"/>
                      <w:color w:val="auto"/>
                      <w:szCs w:val="21"/>
                      <w:highlight w:val="none"/>
                      <w:u w:val="none" w:color="auto"/>
                      <w:lang w:val="en-US" w:eastAsia="zh-CN"/>
                    </w:rPr>
                    <w:t>855</w:t>
                  </w:r>
                  <w:r>
                    <w:rPr>
                      <w:rFonts w:hint="eastAsia"/>
                      <w:snapToGrid w:val="0"/>
                      <w:color w:val="auto"/>
                      <w:szCs w:val="21"/>
                      <w:highlight w:val="none"/>
                      <w:u w:val="none" w:color="auto"/>
                    </w:rPr>
                    <w:t>m</w:t>
                  </w:r>
                </w:p>
              </w:tc>
              <w:tc>
                <w:tcPr>
                  <w:tcW w:w="1208" w:type="dxa"/>
                  <w:tcBorders>
                    <w:tl2br w:val="nil"/>
                    <w:tr2bl w:val="nil"/>
                  </w:tcBorders>
                  <w:shd w:val="clear" w:color="auto" w:fill="auto"/>
                  <w:vAlign w:val="center"/>
                </w:tcPr>
                <w:p w14:paraId="54F7EE85">
                  <w:pPr>
                    <w:adjustRightInd w:val="0"/>
                    <w:snapToGrid w:val="0"/>
                    <w:spacing w:line="240" w:lineRule="auto"/>
                    <w:jc w:val="center"/>
                    <w:rPr>
                      <w:rFonts w:hint="eastAsia" w:ascii="Times New Roman" w:hAnsi="Times New Roman" w:eastAsia="宋体" w:cs="Times New Roman"/>
                      <w:snapToGrid w:val="0"/>
                      <w:color w:val="auto"/>
                      <w:kern w:val="2"/>
                      <w:sz w:val="21"/>
                      <w:szCs w:val="21"/>
                      <w:highlight w:val="none"/>
                      <w:u w:val="none" w:color="auto"/>
                      <w:lang w:val="en-US" w:eastAsia="zh-CN" w:bidi="ar-SA"/>
                    </w:rPr>
                  </w:pPr>
                  <w:r>
                    <w:rPr>
                      <w:rFonts w:hint="eastAsia"/>
                      <w:snapToGrid w:val="0"/>
                      <w:color w:val="auto"/>
                      <w:szCs w:val="21"/>
                      <w:highlight w:val="none"/>
                      <w:u w:val="none" w:color="auto"/>
                      <w:lang w:val="en-US" w:eastAsia="zh-CN"/>
                    </w:rPr>
                    <w:t>地表水</w:t>
                  </w:r>
                </w:p>
              </w:tc>
              <w:tc>
                <w:tcPr>
                  <w:tcW w:w="2637" w:type="dxa"/>
                  <w:vMerge w:val="restart"/>
                  <w:tcBorders>
                    <w:tl2br w:val="nil"/>
                    <w:tr2bl w:val="nil"/>
                  </w:tcBorders>
                  <w:shd w:val="clear" w:color="auto" w:fill="auto"/>
                  <w:vAlign w:val="center"/>
                </w:tcPr>
                <w:p w14:paraId="5AD24CE1">
                  <w:pPr>
                    <w:adjustRightInd w:val="0"/>
                    <w:snapToGrid w:val="0"/>
                    <w:spacing w:line="240" w:lineRule="auto"/>
                    <w:jc w:val="center"/>
                    <w:rPr>
                      <w:rFonts w:hint="eastAsia" w:ascii="Times New Roman" w:hAnsi="Times New Roman" w:eastAsia="宋体" w:cs="Times New Roman"/>
                      <w:snapToGrid w:val="0"/>
                      <w:color w:val="auto"/>
                      <w:kern w:val="2"/>
                      <w:sz w:val="21"/>
                      <w:szCs w:val="21"/>
                      <w:highlight w:val="none"/>
                      <w:u w:val="none" w:color="auto"/>
                      <w:lang w:val="en-US" w:eastAsia="zh-CN" w:bidi="ar-SA"/>
                    </w:rPr>
                  </w:pPr>
                  <w:r>
                    <w:rPr>
                      <w:snapToGrid w:val="0"/>
                      <w:color w:val="auto"/>
                      <w:szCs w:val="21"/>
                      <w:highlight w:val="none"/>
                      <w:u w:val="none" w:color="auto"/>
                    </w:rPr>
                    <w:t>《地表水环境质量标准》</w:t>
                  </w:r>
                  <w:r>
                    <w:rPr>
                      <w:rFonts w:hint="eastAsia"/>
                      <w:snapToGrid w:val="0"/>
                      <w:color w:val="auto"/>
                      <w:szCs w:val="21"/>
                      <w:highlight w:val="none"/>
                      <w:u w:val="none" w:color="auto"/>
                    </w:rPr>
                    <w:t>（</w:t>
                  </w:r>
                  <w:r>
                    <w:rPr>
                      <w:snapToGrid w:val="0"/>
                      <w:color w:val="auto"/>
                      <w:szCs w:val="21"/>
                      <w:highlight w:val="none"/>
                      <w:u w:val="none" w:color="auto"/>
                    </w:rPr>
                    <w:t>GB3838-2002</w:t>
                  </w:r>
                  <w:r>
                    <w:rPr>
                      <w:rFonts w:hint="eastAsia"/>
                      <w:snapToGrid w:val="0"/>
                      <w:color w:val="auto"/>
                      <w:szCs w:val="21"/>
                      <w:highlight w:val="none"/>
                      <w:u w:val="none" w:color="auto"/>
                    </w:rPr>
                    <w:t>）</w:t>
                  </w:r>
                  <w:r>
                    <w:rPr>
                      <w:snapToGrid w:val="0"/>
                      <w:color w:val="auto"/>
                      <w:szCs w:val="21"/>
                      <w:highlight w:val="none"/>
                      <w:u w:val="none" w:color="auto"/>
                    </w:rPr>
                    <w:t>中Ⅲ</w:t>
                  </w:r>
                  <w:r>
                    <w:rPr>
                      <w:rFonts w:hint="eastAsia"/>
                      <w:snapToGrid w:val="0"/>
                      <w:color w:val="auto"/>
                      <w:szCs w:val="21"/>
                      <w:highlight w:val="none"/>
                      <w:u w:val="none" w:color="auto"/>
                      <w:lang w:eastAsia="zh-CN"/>
                    </w:rPr>
                    <w:t>类</w:t>
                  </w:r>
                  <w:r>
                    <w:rPr>
                      <w:snapToGrid w:val="0"/>
                      <w:color w:val="auto"/>
                      <w:szCs w:val="21"/>
                      <w:highlight w:val="none"/>
                      <w:u w:val="none" w:color="auto"/>
                    </w:rPr>
                    <w:t>标准</w:t>
                  </w:r>
                </w:p>
              </w:tc>
            </w:tr>
            <w:tr w14:paraId="4DEDF5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87" w:type="dxa"/>
                  <w:vMerge w:val="continue"/>
                  <w:tcBorders>
                    <w:tl2br w:val="nil"/>
                    <w:tr2bl w:val="nil"/>
                  </w:tcBorders>
                  <w:shd w:val="clear" w:color="auto" w:fill="auto"/>
                  <w:vAlign w:val="center"/>
                </w:tcPr>
                <w:p w14:paraId="17BC3950">
                  <w:pPr>
                    <w:adjustRightInd w:val="0"/>
                    <w:snapToGrid w:val="0"/>
                    <w:spacing w:line="240" w:lineRule="auto"/>
                    <w:jc w:val="center"/>
                    <w:rPr>
                      <w:rFonts w:hint="eastAsia"/>
                      <w:snapToGrid w:val="0"/>
                      <w:color w:val="auto"/>
                      <w:szCs w:val="21"/>
                      <w:highlight w:val="none"/>
                      <w:u w:val="none" w:color="auto"/>
                    </w:rPr>
                  </w:pPr>
                </w:p>
              </w:tc>
              <w:tc>
                <w:tcPr>
                  <w:tcW w:w="1005" w:type="dxa"/>
                  <w:tcBorders>
                    <w:tl2br w:val="nil"/>
                    <w:tr2bl w:val="nil"/>
                  </w:tcBorders>
                  <w:shd w:val="clear" w:color="auto" w:fill="auto"/>
                  <w:vAlign w:val="center"/>
                </w:tcPr>
                <w:p w14:paraId="038B5E11">
                  <w:pPr>
                    <w:adjustRightInd w:val="0"/>
                    <w:snapToGrid w:val="0"/>
                    <w:spacing w:line="240" w:lineRule="auto"/>
                    <w:jc w:val="center"/>
                    <w:rPr>
                      <w:rFonts w:hint="eastAsia"/>
                      <w:snapToGrid w:val="0"/>
                      <w:color w:val="auto"/>
                      <w:szCs w:val="21"/>
                      <w:highlight w:val="none"/>
                      <w:u w:val="none" w:color="auto"/>
                      <w:lang w:val="en-US" w:eastAsia="zh-CN"/>
                    </w:rPr>
                  </w:pPr>
                  <w:r>
                    <w:rPr>
                      <w:rFonts w:hint="eastAsia"/>
                      <w:snapToGrid w:val="0"/>
                      <w:color w:val="auto"/>
                      <w:szCs w:val="21"/>
                      <w:highlight w:val="none"/>
                      <w:u w:val="none" w:color="auto"/>
                      <w:lang w:val="en-US" w:eastAsia="zh-CN"/>
                    </w:rPr>
                    <w:t>倒木河</w:t>
                  </w:r>
                </w:p>
              </w:tc>
              <w:tc>
                <w:tcPr>
                  <w:tcW w:w="870" w:type="dxa"/>
                  <w:tcBorders>
                    <w:tl2br w:val="nil"/>
                    <w:tr2bl w:val="nil"/>
                  </w:tcBorders>
                  <w:shd w:val="clear" w:color="auto" w:fill="auto"/>
                  <w:vAlign w:val="center"/>
                </w:tcPr>
                <w:p w14:paraId="311157AF">
                  <w:pPr>
                    <w:adjustRightInd w:val="0"/>
                    <w:snapToGrid w:val="0"/>
                    <w:spacing w:line="240" w:lineRule="auto"/>
                    <w:jc w:val="center"/>
                    <w:rPr>
                      <w:rFonts w:hint="eastAsia" w:cs="Times New Roman"/>
                      <w:snapToGrid w:val="0"/>
                      <w:color w:val="auto"/>
                      <w:kern w:val="2"/>
                      <w:sz w:val="21"/>
                      <w:szCs w:val="21"/>
                      <w:highlight w:val="none"/>
                      <w:u w:val="none" w:color="auto"/>
                      <w:lang w:val="en-US" w:eastAsia="zh-CN" w:bidi="ar-SA"/>
                    </w:rPr>
                  </w:pPr>
                  <w:r>
                    <w:rPr>
                      <w:rFonts w:hint="eastAsia" w:cs="Times New Roman"/>
                      <w:snapToGrid w:val="0"/>
                      <w:color w:val="auto"/>
                      <w:kern w:val="2"/>
                      <w:sz w:val="21"/>
                      <w:szCs w:val="21"/>
                      <w:highlight w:val="none"/>
                      <w:u w:val="none" w:color="auto"/>
                      <w:lang w:val="en-US" w:eastAsia="zh-CN" w:bidi="ar-SA"/>
                    </w:rPr>
                    <w:t>东</w:t>
                  </w:r>
                </w:p>
              </w:tc>
              <w:tc>
                <w:tcPr>
                  <w:tcW w:w="1003" w:type="dxa"/>
                  <w:tcBorders>
                    <w:tl2br w:val="nil"/>
                    <w:tr2bl w:val="nil"/>
                  </w:tcBorders>
                  <w:shd w:val="clear" w:color="auto" w:fill="auto"/>
                  <w:vAlign w:val="center"/>
                </w:tcPr>
                <w:p w14:paraId="7668ED85">
                  <w:pPr>
                    <w:adjustRightInd w:val="0"/>
                    <w:snapToGrid w:val="0"/>
                    <w:spacing w:line="240" w:lineRule="auto"/>
                    <w:jc w:val="center"/>
                    <w:rPr>
                      <w:rFonts w:hint="default"/>
                      <w:snapToGrid w:val="0"/>
                      <w:color w:val="auto"/>
                      <w:szCs w:val="21"/>
                      <w:highlight w:val="none"/>
                      <w:u w:val="none" w:color="auto"/>
                      <w:lang w:val="en-US" w:eastAsia="zh-CN"/>
                    </w:rPr>
                  </w:pPr>
                  <w:r>
                    <w:rPr>
                      <w:rFonts w:hint="eastAsia"/>
                      <w:snapToGrid w:val="0"/>
                      <w:color w:val="auto"/>
                      <w:szCs w:val="21"/>
                      <w:highlight w:val="none"/>
                      <w:u w:val="none" w:color="auto"/>
                      <w:lang w:val="en-US" w:eastAsia="zh-CN"/>
                    </w:rPr>
                    <w:t>1000m</w:t>
                  </w:r>
                </w:p>
              </w:tc>
              <w:tc>
                <w:tcPr>
                  <w:tcW w:w="1208" w:type="dxa"/>
                  <w:tcBorders>
                    <w:tl2br w:val="nil"/>
                    <w:tr2bl w:val="nil"/>
                  </w:tcBorders>
                  <w:shd w:val="clear" w:color="auto" w:fill="auto"/>
                  <w:vAlign w:val="center"/>
                </w:tcPr>
                <w:p w14:paraId="2B807AFA">
                  <w:pPr>
                    <w:adjustRightInd w:val="0"/>
                    <w:snapToGrid w:val="0"/>
                    <w:spacing w:line="240" w:lineRule="auto"/>
                    <w:jc w:val="center"/>
                    <w:rPr>
                      <w:rFonts w:hint="eastAsia"/>
                      <w:snapToGrid w:val="0"/>
                      <w:color w:val="auto"/>
                      <w:szCs w:val="21"/>
                      <w:highlight w:val="none"/>
                      <w:u w:val="none" w:color="auto"/>
                      <w:lang w:val="en-US" w:eastAsia="zh-CN"/>
                    </w:rPr>
                  </w:pPr>
                  <w:r>
                    <w:rPr>
                      <w:rFonts w:hint="eastAsia"/>
                      <w:snapToGrid w:val="0"/>
                      <w:color w:val="auto"/>
                      <w:szCs w:val="21"/>
                      <w:highlight w:val="none"/>
                      <w:u w:val="none" w:color="auto"/>
                      <w:lang w:val="en-US" w:eastAsia="zh-CN"/>
                    </w:rPr>
                    <w:t>地表水</w:t>
                  </w:r>
                </w:p>
              </w:tc>
              <w:tc>
                <w:tcPr>
                  <w:tcW w:w="2637" w:type="dxa"/>
                  <w:vMerge w:val="continue"/>
                  <w:tcBorders>
                    <w:tl2br w:val="nil"/>
                    <w:tr2bl w:val="nil"/>
                  </w:tcBorders>
                  <w:shd w:val="clear" w:color="auto" w:fill="auto"/>
                  <w:vAlign w:val="center"/>
                </w:tcPr>
                <w:p w14:paraId="15EB91C0">
                  <w:pPr>
                    <w:adjustRightInd w:val="0"/>
                    <w:snapToGrid w:val="0"/>
                    <w:spacing w:line="240" w:lineRule="auto"/>
                    <w:jc w:val="center"/>
                    <w:rPr>
                      <w:snapToGrid w:val="0"/>
                      <w:color w:val="auto"/>
                      <w:szCs w:val="21"/>
                      <w:highlight w:val="yellow"/>
                      <w:u w:val="none" w:color="auto"/>
                    </w:rPr>
                  </w:pPr>
                </w:p>
              </w:tc>
            </w:tr>
          </w:tbl>
          <w:p w14:paraId="55DC15DD">
            <w:pPr>
              <w:adjustRightInd w:val="0"/>
              <w:snapToGrid w:val="0"/>
              <w:spacing w:line="360" w:lineRule="auto"/>
              <w:jc w:val="both"/>
              <w:rPr>
                <w:color w:val="auto"/>
                <w:position w:val="15"/>
                <w:sz w:val="24"/>
                <w:highlight w:val="none"/>
                <w:u w:val="none" w:color="auto"/>
              </w:rPr>
            </w:pPr>
          </w:p>
        </w:tc>
      </w:tr>
      <w:tr w14:paraId="350037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5" w:type="dxa"/>
            <w:tcMar>
              <w:left w:w="28" w:type="dxa"/>
              <w:right w:w="28" w:type="dxa"/>
            </w:tcMar>
            <w:vAlign w:val="center"/>
          </w:tcPr>
          <w:p w14:paraId="3A6FDB8E">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污染</w:t>
            </w:r>
          </w:p>
          <w:p w14:paraId="32A89A77">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物排</w:t>
            </w:r>
          </w:p>
          <w:p w14:paraId="50D8BAA1">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放控</w:t>
            </w:r>
          </w:p>
          <w:p w14:paraId="0B184021">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制标</w:t>
            </w:r>
          </w:p>
          <w:p w14:paraId="3A16BCAB">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准</w:t>
            </w:r>
          </w:p>
        </w:tc>
        <w:tc>
          <w:tcPr>
            <w:tcW w:w="8006" w:type="dxa"/>
            <w:vAlign w:val="center"/>
          </w:tcPr>
          <w:p w14:paraId="0BD6D3B4">
            <w:pPr>
              <w:adjustRightInd w:val="0"/>
              <w:snapToGrid w:val="0"/>
              <w:spacing w:line="360" w:lineRule="auto"/>
              <w:rPr>
                <w:b/>
                <w:bCs/>
                <w:color w:val="auto"/>
                <w:spacing w:val="-4"/>
                <w:sz w:val="24"/>
                <w:highlight w:val="none"/>
                <w:u w:val="none" w:color="auto"/>
              </w:rPr>
            </w:pPr>
            <w:r>
              <w:rPr>
                <w:b/>
                <w:bCs/>
                <w:color w:val="auto"/>
                <w:spacing w:val="-4"/>
                <w:sz w:val="24"/>
                <w:highlight w:val="none"/>
                <w:u w:val="none" w:color="auto"/>
              </w:rPr>
              <w:t>一、施工期</w:t>
            </w:r>
          </w:p>
          <w:p w14:paraId="516A916D">
            <w:pPr>
              <w:adjustRightInd w:val="0"/>
              <w:snapToGrid w:val="0"/>
              <w:spacing w:line="360" w:lineRule="auto"/>
              <w:ind w:firstLine="480" w:firstLineChars="200"/>
              <w:rPr>
                <w:color w:val="auto"/>
                <w:position w:val="15"/>
                <w:sz w:val="24"/>
                <w:highlight w:val="none"/>
                <w:u w:val="none" w:color="auto"/>
              </w:rPr>
            </w:pPr>
            <w:r>
              <w:rPr>
                <w:rFonts w:hint="eastAsia"/>
                <w:color w:val="auto"/>
                <w:position w:val="15"/>
                <w:sz w:val="24"/>
                <w:highlight w:val="none"/>
                <w:u w:val="none" w:color="auto"/>
              </w:rPr>
              <w:t>施工期无组织颗粒物排放执行《大气污染物综合排放标准》（</w:t>
            </w:r>
            <w:r>
              <w:rPr>
                <w:color w:val="auto"/>
                <w:position w:val="15"/>
                <w:sz w:val="24"/>
                <w:highlight w:val="none"/>
                <w:u w:val="none" w:color="auto"/>
              </w:rPr>
              <w:t>GB16297-1996</w:t>
            </w:r>
            <w:r>
              <w:rPr>
                <w:rFonts w:hint="eastAsia"/>
                <w:color w:val="auto"/>
                <w:position w:val="15"/>
                <w:sz w:val="24"/>
                <w:highlight w:val="none"/>
                <w:u w:val="none" w:color="auto"/>
              </w:rPr>
              <w:t>）中表</w:t>
            </w:r>
            <w:r>
              <w:rPr>
                <w:color w:val="auto"/>
                <w:position w:val="15"/>
                <w:sz w:val="24"/>
                <w:highlight w:val="none"/>
                <w:u w:val="none" w:color="auto"/>
              </w:rPr>
              <w:t>2</w:t>
            </w:r>
            <w:r>
              <w:rPr>
                <w:rFonts w:hint="eastAsia"/>
                <w:color w:val="auto"/>
                <w:position w:val="15"/>
                <w:sz w:val="24"/>
                <w:highlight w:val="none"/>
                <w:u w:val="none" w:color="auto"/>
              </w:rPr>
              <w:t>无组织排放监控浓度限值，详见下表。</w:t>
            </w:r>
          </w:p>
          <w:p w14:paraId="2CAB38F2">
            <w:pPr>
              <w:adjustRightInd w:val="0"/>
              <w:snapToGrid w:val="0"/>
              <w:spacing w:line="360" w:lineRule="auto"/>
              <w:jc w:val="center"/>
              <w:rPr>
                <w:b/>
                <w:bCs/>
                <w:color w:val="auto"/>
                <w:spacing w:val="-2"/>
                <w:sz w:val="24"/>
                <w:highlight w:val="none"/>
                <w:u w:val="none" w:color="auto"/>
              </w:rPr>
            </w:pPr>
            <w:r>
              <w:rPr>
                <w:b/>
                <w:bCs/>
                <w:color w:val="auto"/>
                <w:spacing w:val="-2"/>
                <w:sz w:val="24"/>
                <w:highlight w:val="none"/>
                <w:u w:val="none" w:color="auto"/>
              </w:rPr>
              <w:t>表</w:t>
            </w:r>
            <w:r>
              <w:rPr>
                <w:rFonts w:hint="eastAsia"/>
                <w:b/>
                <w:bCs/>
                <w:color w:val="auto"/>
                <w:spacing w:val="-2"/>
                <w:sz w:val="24"/>
                <w:highlight w:val="none"/>
                <w:u w:val="none" w:color="auto"/>
                <w:lang w:val="en-US" w:eastAsia="zh-CN"/>
              </w:rPr>
              <w:t>3-8 施工期废气排放</w:t>
            </w:r>
            <w:r>
              <w:rPr>
                <w:rFonts w:hint="eastAsia"/>
                <w:b/>
                <w:bCs/>
                <w:color w:val="auto"/>
                <w:spacing w:val="-2"/>
                <w:sz w:val="24"/>
                <w:highlight w:val="none"/>
                <w:u w:val="none" w:color="auto"/>
              </w:rPr>
              <w:t>标准</w:t>
            </w:r>
          </w:p>
          <w:tbl>
            <w:tblPr>
              <w:tblStyle w:val="2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1"/>
              <w:gridCol w:w="2113"/>
              <w:gridCol w:w="1496"/>
              <w:gridCol w:w="2798"/>
            </w:tblGrid>
            <w:tr w14:paraId="411275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231" w:type="dxa"/>
                  <w:vMerge w:val="restart"/>
                  <w:tcBorders>
                    <w:tl2br w:val="nil"/>
                    <w:tr2bl w:val="nil"/>
                  </w:tcBorders>
                  <w:vAlign w:val="center"/>
                </w:tcPr>
                <w:p w14:paraId="7B0B2B8A">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污染物</w:t>
                  </w:r>
                </w:p>
              </w:tc>
              <w:tc>
                <w:tcPr>
                  <w:tcW w:w="3609" w:type="dxa"/>
                  <w:gridSpan w:val="2"/>
                  <w:tcBorders>
                    <w:tl2br w:val="nil"/>
                    <w:tr2bl w:val="nil"/>
                  </w:tcBorders>
                  <w:vAlign w:val="center"/>
                </w:tcPr>
                <w:p w14:paraId="04FF760E">
                  <w:pPr>
                    <w:adjustRightInd w:val="0"/>
                    <w:snapToGrid w:val="0"/>
                    <w:spacing w:line="240" w:lineRule="auto"/>
                    <w:jc w:val="center"/>
                    <w:rPr>
                      <w:snapToGrid w:val="0"/>
                      <w:color w:val="auto"/>
                      <w:szCs w:val="21"/>
                      <w:highlight w:val="none"/>
                      <w:u w:val="none" w:color="auto"/>
                    </w:rPr>
                  </w:pPr>
                  <w:r>
                    <w:rPr>
                      <w:snapToGrid w:val="0"/>
                      <w:color w:val="auto"/>
                      <w:szCs w:val="21"/>
                      <w:highlight w:val="none"/>
                      <w:u w:val="none" w:color="auto"/>
                    </w:rPr>
                    <w:t>无组织排放监控浓度限值</w:t>
                  </w:r>
                </w:p>
              </w:tc>
              <w:tc>
                <w:tcPr>
                  <w:tcW w:w="2798" w:type="dxa"/>
                  <w:vMerge w:val="restart"/>
                  <w:tcBorders>
                    <w:tl2br w:val="nil"/>
                    <w:tr2bl w:val="nil"/>
                  </w:tcBorders>
                  <w:vAlign w:val="center"/>
                </w:tcPr>
                <w:p w14:paraId="58004DE7">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标准来源</w:t>
                  </w:r>
                </w:p>
              </w:tc>
            </w:tr>
            <w:tr w14:paraId="3EB89E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31" w:type="dxa"/>
                  <w:vMerge w:val="continue"/>
                  <w:tcBorders>
                    <w:tl2br w:val="nil"/>
                    <w:tr2bl w:val="nil"/>
                  </w:tcBorders>
                  <w:vAlign w:val="center"/>
                </w:tcPr>
                <w:p w14:paraId="37195705">
                  <w:pPr>
                    <w:adjustRightInd w:val="0"/>
                    <w:snapToGrid w:val="0"/>
                    <w:spacing w:line="240" w:lineRule="auto"/>
                    <w:jc w:val="center"/>
                    <w:rPr>
                      <w:snapToGrid w:val="0"/>
                      <w:color w:val="auto"/>
                      <w:szCs w:val="21"/>
                      <w:highlight w:val="none"/>
                      <w:u w:val="none" w:color="auto"/>
                    </w:rPr>
                  </w:pPr>
                </w:p>
              </w:tc>
              <w:tc>
                <w:tcPr>
                  <w:tcW w:w="2113" w:type="dxa"/>
                  <w:tcBorders>
                    <w:tl2br w:val="nil"/>
                    <w:tr2bl w:val="nil"/>
                  </w:tcBorders>
                  <w:vAlign w:val="center"/>
                </w:tcPr>
                <w:p w14:paraId="53D0C7FE">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监控点</w:t>
                  </w:r>
                </w:p>
              </w:tc>
              <w:tc>
                <w:tcPr>
                  <w:tcW w:w="1496" w:type="dxa"/>
                  <w:tcBorders>
                    <w:tl2br w:val="nil"/>
                    <w:tr2bl w:val="nil"/>
                  </w:tcBorders>
                  <w:vAlign w:val="center"/>
                </w:tcPr>
                <w:p w14:paraId="7688E1FD">
                  <w:pPr>
                    <w:adjustRightInd w:val="0"/>
                    <w:snapToGrid w:val="0"/>
                    <w:spacing w:line="240" w:lineRule="auto"/>
                    <w:jc w:val="center"/>
                    <w:rPr>
                      <w:snapToGrid w:val="0"/>
                      <w:color w:val="auto"/>
                      <w:szCs w:val="21"/>
                      <w:highlight w:val="none"/>
                      <w:u w:val="none" w:color="auto"/>
                    </w:rPr>
                  </w:pPr>
                  <w:r>
                    <w:rPr>
                      <w:snapToGrid w:val="0"/>
                      <w:color w:val="auto"/>
                      <w:szCs w:val="21"/>
                      <w:highlight w:val="none"/>
                      <w:u w:val="none" w:color="auto"/>
                    </w:rPr>
                    <w:t>浓度mg/m³</w:t>
                  </w:r>
                </w:p>
              </w:tc>
              <w:tc>
                <w:tcPr>
                  <w:tcW w:w="2798" w:type="dxa"/>
                  <w:vMerge w:val="continue"/>
                  <w:tcBorders>
                    <w:tl2br w:val="nil"/>
                    <w:tr2bl w:val="nil"/>
                  </w:tcBorders>
                  <w:vAlign w:val="center"/>
                </w:tcPr>
                <w:p w14:paraId="2ACEE9E7">
                  <w:pPr>
                    <w:adjustRightInd w:val="0"/>
                    <w:snapToGrid w:val="0"/>
                    <w:spacing w:line="240" w:lineRule="auto"/>
                    <w:jc w:val="center"/>
                    <w:rPr>
                      <w:snapToGrid w:val="0"/>
                      <w:color w:val="auto"/>
                      <w:szCs w:val="21"/>
                      <w:highlight w:val="none"/>
                      <w:u w:val="none" w:color="auto"/>
                    </w:rPr>
                  </w:pPr>
                </w:p>
              </w:tc>
            </w:tr>
            <w:tr w14:paraId="0B259F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231" w:type="dxa"/>
                  <w:tcBorders>
                    <w:tl2br w:val="nil"/>
                    <w:tr2bl w:val="nil"/>
                  </w:tcBorders>
                  <w:vAlign w:val="center"/>
                </w:tcPr>
                <w:p w14:paraId="55F15A13">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颗粒物</w:t>
                  </w:r>
                </w:p>
              </w:tc>
              <w:tc>
                <w:tcPr>
                  <w:tcW w:w="2113" w:type="dxa"/>
                  <w:tcBorders>
                    <w:tl2br w:val="nil"/>
                    <w:tr2bl w:val="nil"/>
                  </w:tcBorders>
                  <w:vAlign w:val="center"/>
                </w:tcPr>
                <w:p w14:paraId="407A1AEB">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周界外浓度最高点</w:t>
                  </w:r>
                </w:p>
              </w:tc>
              <w:tc>
                <w:tcPr>
                  <w:tcW w:w="1496" w:type="dxa"/>
                  <w:tcBorders>
                    <w:tl2br w:val="nil"/>
                    <w:tr2bl w:val="nil"/>
                  </w:tcBorders>
                  <w:vAlign w:val="center"/>
                </w:tcPr>
                <w:p w14:paraId="2E2954A9">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1.0</w:t>
                  </w:r>
                </w:p>
              </w:tc>
              <w:tc>
                <w:tcPr>
                  <w:tcW w:w="2798" w:type="dxa"/>
                  <w:tcBorders>
                    <w:tl2br w:val="nil"/>
                    <w:tr2bl w:val="nil"/>
                  </w:tcBorders>
                  <w:vAlign w:val="center"/>
                </w:tcPr>
                <w:p w14:paraId="59C8122D">
                  <w:pPr>
                    <w:adjustRightInd w:val="0"/>
                    <w:snapToGrid w:val="0"/>
                    <w:spacing w:line="240" w:lineRule="auto"/>
                    <w:jc w:val="center"/>
                    <w:rPr>
                      <w:rFonts w:hint="default" w:eastAsia="宋体"/>
                      <w:snapToGrid w:val="0"/>
                      <w:color w:val="auto"/>
                      <w:szCs w:val="21"/>
                      <w:highlight w:val="none"/>
                      <w:u w:val="none" w:color="auto"/>
                      <w:lang w:val="en-US" w:eastAsia="zh-CN"/>
                    </w:rPr>
                  </w:pPr>
                  <w:r>
                    <w:rPr>
                      <w:snapToGrid w:val="0"/>
                      <w:color w:val="auto"/>
                      <w:szCs w:val="21"/>
                      <w:highlight w:val="none"/>
                      <w:u w:val="none" w:color="auto"/>
                    </w:rPr>
                    <w:t>《大气污染物综合排放</w:t>
                  </w:r>
                  <w:r>
                    <w:rPr>
                      <w:rFonts w:hint="eastAsia"/>
                      <w:snapToGrid w:val="0"/>
                      <w:color w:val="auto"/>
                      <w:szCs w:val="21"/>
                      <w:highlight w:val="none"/>
                      <w:u w:val="none" w:color="auto"/>
                    </w:rPr>
                    <w:t>标准》（</w:t>
                  </w:r>
                  <w:r>
                    <w:rPr>
                      <w:snapToGrid w:val="0"/>
                      <w:color w:val="auto"/>
                      <w:szCs w:val="21"/>
                      <w:highlight w:val="none"/>
                      <w:u w:val="none" w:color="auto"/>
                    </w:rPr>
                    <w:t>GB16297-1996</w:t>
                  </w:r>
                  <w:r>
                    <w:rPr>
                      <w:rFonts w:hint="eastAsia"/>
                      <w:snapToGrid w:val="0"/>
                      <w:color w:val="auto"/>
                      <w:szCs w:val="21"/>
                      <w:highlight w:val="none"/>
                      <w:u w:val="none" w:color="auto"/>
                    </w:rPr>
                    <w:t>）</w:t>
                  </w:r>
                  <w:r>
                    <w:rPr>
                      <w:rFonts w:hint="eastAsia"/>
                      <w:snapToGrid w:val="0"/>
                      <w:color w:val="auto"/>
                      <w:szCs w:val="21"/>
                      <w:highlight w:val="none"/>
                      <w:u w:val="none" w:color="auto"/>
                      <w:lang w:val="en-US" w:eastAsia="zh-CN"/>
                    </w:rPr>
                    <w:t>表2</w:t>
                  </w:r>
                </w:p>
              </w:tc>
            </w:tr>
          </w:tbl>
          <w:p w14:paraId="148C799F">
            <w:pPr>
              <w:adjustRightInd w:val="0"/>
              <w:snapToGrid w:val="0"/>
              <w:spacing w:line="360" w:lineRule="auto"/>
              <w:ind w:firstLine="480" w:firstLineChars="200"/>
              <w:rPr>
                <w:color w:val="auto"/>
                <w:position w:val="15"/>
                <w:sz w:val="24"/>
                <w:highlight w:val="none"/>
                <w:u w:val="single" w:color="auto"/>
              </w:rPr>
            </w:pPr>
            <w:r>
              <w:rPr>
                <w:rFonts w:hint="eastAsia"/>
                <w:color w:val="auto"/>
                <w:position w:val="15"/>
                <w:sz w:val="24"/>
                <w:highlight w:val="none"/>
                <w:u w:val="single" w:color="auto"/>
                <w:lang w:eastAsia="zh-CN"/>
              </w:rPr>
              <w:t>未建完部分后续</w:t>
            </w:r>
            <w:r>
              <w:rPr>
                <w:rFonts w:hint="eastAsia"/>
                <w:color w:val="auto"/>
                <w:position w:val="15"/>
                <w:sz w:val="24"/>
                <w:highlight w:val="none"/>
                <w:u w:val="single" w:color="auto"/>
              </w:rPr>
              <w:t>施工期噪声执行《建筑施工噪声排放标准》（GB12523-20</w:t>
            </w:r>
            <w:r>
              <w:rPr>
                <w:rFonts w:hint="eastAsia"/>
                <w:color w:val="auto"/>
                <w:position w:val="15"/>
                <w:sz w:val="24"/>
                <w:highlight w:val="none"/>
                <w:u w:val="single" w:color="auto"/>
                <w:lang w:val="en-US" w:eastAsia="zh-CN"/>
              </w:rPr>
              <w:t>25</w:t>
            </w:r>
            <w:r>
              <w:rPr>
                <w:rFonts w:hint="eastAsia"/>
                <w:color w:val="auto"/>
                <w:position w:val="15"/>
                <w:sz w:val="24"/>
                <w:highlight w:val="none"/>
                <w:u w:val="single" w:color="auto"/>
              </w:rPr>
              <w:t>），</w:t>
            </w:r>
            <w:r>
              <w:rPr>
                <w:rFonts w:hint="eastAsia"/>
                <w:color w:val="auto"/>
                <w:position w:val="15"/>
                <w:sz w:val="24"/>
                <w:highlight w:val="none"/>
                <w:u w:val="single" w:color="auto"/>
                <w:lang w:eastAsia="zh-CN"/>
              </w:rPr>
              <w:t>已建成部分于</w:t>
            </w:r>
            <w:r>
              <w:rPr>
                <w:rFonts w:hint="eastAsia"/>
                <w:color w:val="auto"/>
                <w:position w:val="15"/>
                <w:sz w:val="24"/>
                <w:highlight w:val="none"/>
                <w:u w:val="single" w:color="auto"/>
                <w:lang w:val="en-US" w:eastAsia="zh-CN"/>
              </w:rPr>
              <w:t>2022年完成，施工期噪声执行《建筑施工场界环境噪声排放标准》（GB12523-2011）</w:t>
            </w:r>
            <w:r>
              <w:rPr>
                <w:rFonts w:hint="eastAsia"/>
                <w:color w:val="auto"/>
                <w:position w:val="15"/>
                <w:sz w:val="24"/>
                <w:highlight w:val="none"/>
                <w:u w:val="single" w:color="auto"/>
              </w:rPr>
              <w:t>详见下表。</w:t>
            </w:r>
          </w:p>
          <w:p w14:paraId="78C61E83">
            <w:pPr>
              <w:adjustRightInd w:val="0"/>
              <w:snapToGrid w:val="0"/>
              <w:spacing w:line="360" w:lineRule="auto"/>
              <w:jc w:val="center"/>
              <w:rPr>
                <w:b/>
                <w:bCs/>
                <w:color w:val="auto"/>
                <w:spacing w:val="-2"/>
                <w:sz w:val="24"/>
                <w:highlight w:val="none"/>
                <w:u w:val="none" w:color="auto"/>
              </w:rPr>
            </w:pPr>
            <w:r>
              <w:rPr>
                <w:b/>
                <w:bCs/>
                <w:color w:val="auto"/>
                <w:spacing w:val="-2"/>
                <w:sz w:val="24"/>
                <w:highlight w:val="none"/>
                <w:u w:val="none" w:color="auto"/>
              </w:rPr>
              <w:t>表</w:t>
            </w:r>
            <w:r>
              <w:rPr>
                <w:rFonts w:hint="eastAsia"/>
                <w:b/>
                <w:bCs/>
                <w:color w:val="auto"/>
                <w:spacing w:val="-2"/>
                <w:sz w:val="24"/>
                <w:highlight w:val="none"/>
                <w:u w:val="none" w:color="auto"/>
                <w:lang w:val="en-US" w:eastAsia="zh-CN"/>
              </w:rPr>
              <w:t>3-9 施工期</w:t>
            </w:r>
            <w:r>
              <w:rPr>
                <w:rFonts w:hint="eastAsia"/>
                <w:b/>
                <w:bCs/>
                <w:color w:val="auto"/>
                <w:spacing w:val="-2"/>
                <w:sz w:val="24"/>
                <w:highlight w:val="none"/>
                <w:u w:val="none" w:color="auto"/>
              </w:rPr>
              <w:t>噪声标准</w:t>
            </w:r>
          </w:p>
          <w:tbl>
            <w:tblPr>
              <w:tblStyle w:val="2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1396"/>
              <w:gridCol w:w="1484"/>
              <w:gridCol w:w="3153"/>
            </w:tblGrid>
            <w:tr w14:paraId="3404FB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626" w:type="dxa"/>
                  <w:vMerge w:val="restart"/>
                  <w:tcBorders>
                    <w:tl2br w:val="nil"/>
                    <w:tr2bl w:val="nil"/>
                  </w:tcBorders>
                  <w:vAlign w:val="center"/>
                </w:tcPr>
                <w:p w14:paraId="0544C540">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lang w:val="en-US" w:eastAsia="zh-CN"/>
                    </w:rPr>
                    <w:t>污染物</w:t>
                  </w:r>
                </w:p>
              </w:tc>
              <w:tc>
                <w:tcPr>
                  <w:tcW w:w="2880" w:type="dxa"/>
                  <w:gridSpan w:val="2"/>
                  <w:tcBorders>
                    <w:tl2br w:val="nil"/>
                    <w:tr2bl w:val="nil"/>
                  </w:tcBorders>
                  <w:vAlign w:val="center"/>
                </w:tcPr>
                <w:p w14:paraId="31497ECE">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环境噪声标准值dB（A）</w:t>
                  </w:r>
                </w:p>
              </w:tc>
              <w:tc>
                <w:tcPr>
                  <w:tcW w:w="3153" w:type="dxa"/>
                  <w:vMerge w:val="restart"/>
                  <w:tcBorders>
                    <w:tl2br w:val="nil"/>
                    <w:tr2bl w:val="nil"/>
                  </w:tcBorders>
                  <w:vAlign w:val="center"/>
                </w:tcPr>
                <w:p w14:paraId="6A210D14">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标准来源</w:t>
                  </w:r>
                </w:p>
              </w:tc>
            </w:tr>
            <w:tr w14:paraId="4F9181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26" w:type="dxa"/>
                  <w:vMerge w:val="continue"/>
                  <w:tcBorders>
                    <w:tl2br w:val="nil"/>
                    <w:tr2bl w:val="nil"/>
                  </w:tcBorders>
                  <w:vAlign w:val="center"/>
                </w:tcPr>
                <w:p w14:paraId="59169C34">
                  <w:pPr>
                    <w:adjustRightInd w:val="0"/>
                    <w:snapToGrid w:val="0"/>
                    <w:spacing w:line="240" w:lineRule="auto"/>
                    <w:jc w:val="center"/>
                    <w:rPr>
                      <w:snapToGrid w:val="0"/>
                      <w:color w:val="auto"/>
                      <w:szCs w:val="21"/>
                      <w:highlight w:val="none"/>
                      <w:u w:val="none" w:color="auto"/>
                    </w:rPr>
                  </w:pPr>
                </w:p>
              </w:tc>
              <w:tc>
                <w:tcPr>
                  <w:tcW w:w="1396" w:type="dxa"/>
                  <w:tcBorders>
                    <w:tl2br w:val="nil"/>
                    <w:tr2bl w:val="nil"/>
                  </w:tcBorders>
                  <w:vAlign w:val="center"/>
                </w:tcPr>
                <w:p w14:paraId="3A34E0A4">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昼间</w:t>
                  </w:r>
                </w:p>
              </w:tc>
              <w:tc>
                <w:tcPr>
                  <w:tcW w:w="1484" w:type="dxa"/>
                  <w:tcBorders>
                    <w:tl2br w:val="nil"/>
                    <w:tr2bl w:val="nil"/>
                  </w:tcBorders>
                  <w:vAlign w:val="center"/>
                </w:tcPr>
                <w:p w14:paraId="1F814543">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夜间</w:t>
                  </w:r>
                </w:p>
              </w:tc>
              <w:tc>
                <w:tcPr>
                  <w:tcW w:w="3153" w:type="dxa"/>
                  <w:vMerge w:val="continue"/>
                  <w:tcBorders>
                    <w:tl2br w:val="nil"/>
                    <w:tr2bl w:val="nil"/>
                  </w:tcBorders>
                  <w:vAlign w:val="center"/>
                </w:tcPr>
                <w:p w14:paraId="44C6493D">
                  <w:pPr>
                    <w:adjustRightInd w:val="0"/>
                    <w:snapToGrid w:val="0"/>
                    <w:spacing w:line="240" w:lineRule="auto"/>
                    <w:jc w:val="center"/>
                    <w:rPr>
                      <w:snapToGrid w:val="0"/>
                      <w:color w:val="auto"/>
                      <w:szCs w:val="21"/>
                      <w:highlight w:val="none"/>
                      <w:u w:val="none" w:color="auto"/>
                    </w:rPr>
                  </w:pPr>
                </w:p>
              </w:tc>
            </w:tr>
            <w:tr w14:paraId="5A560C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26" w:type="dxa"/>
                  <w:tcBorders>
                    <w:tl2br w:val="nil"/>
                    <w:tr2bl w:val="nil"/>
                  </w:tcBorders>
                  <w:vAlign w:val="center"/>
                </w:tcPr>
                <w:p w14:paraId="054091CC">
                  <w:pPr>
                    <w:adjustRightInd w:val="0"/>
                    <w:snapToGrid w:val="0"/>
                    <w:spacing w:line="240" w:lineRule="auto"/>
                    <w:jc w:val="center"/>
                    <w:rPr>
                      <w:rFonts w:hint="default"/>
                      <w:snapToGrid w:val="0"/>
                      <w:color w:val="auto"/>
                      <w:szCs w:val="21"/>
                      <w:highlight w:val="none"/>
                      <w:u w:val="none" w:color="auto"/>
                      <w:lang w:val="en-US"/>
                    </w:rPr>
                  </w:pPr>
                  <w:r>
                    <w:rPr>
                      <w:rFonts w:hint="eastAsia"/>
                      <w:snapToGrid w:val="0"/>
                      <w:color w:val="auto"/>
                      <w:szCs w:val="21"/>
                      <w:highlight w:val="none"/>
                      <w:u w:val="none" w:color="auto"/>
                      <w:lang w:val="en-US" w:eastAsia="zh-CN"/>
                    </w:rPr>
                    <w:t>等效A声级</w:t>
                  </w:r>
                </w:p>
              </w:tc>
              <w:tc>
                <w:tcPr>
                  <w:tcW w:w="1396" w:type="dxa"/>
                  <w:tcBorders>
                    <w:tl2br w:val="nil"/>
                    <w:tr2bl w:val="nil"/>
                  </w:tcBorders>
                  <w:vAlign w:val="center"/>
                </w:tcPr>
                <w:p w14:paraId="0C928079">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70</w:t>
                  </w:r>
                </w:p>
              </w:tc>
              <w:tc>
                <w:tcPr>
                  <w:tcW w:w="1484" w:type="dxa"/>
                  <w:tcBorders>
                    <w:tl2br w:val="nil"/>
                    <w:tr2bl w:val="nil"/>
                  </w:tcBorders>
                  <w:vAlign w:val="center"/>
                </w:tcPr>
                <w:p w14:paraId="66D44DDD">
                  <w:pPr>
                    <w:adjustRightInd w:val="0"/>
                    <w:snapToGrid w:val="0"/>
                    <w:spacing w:line="240" w:lineRule="auto"/>
                    <w:jc w:val="center"/>
                    <w:rPr>
                      <w:snapToGrid w:val="0"/>
                      <w:color w:val="auto"/>
                      <w:szCs w:val="21"/>
                      <w:highlight w:val="none"/>
                      <w:u w:val="none" w:color="auto"/>
                    </w:rPr>
                  </w:pPr>
                  <w:r>
                    <w:rPr>
                      <w:rFonts w:hint="eastAsia"/>
                      <w:snapToGrid w:val="0"/>
                      <w:color w:val="auto"/>
                      <w:szCs w:val="21"/>
                      <w:highlight w:val="none"/>
                      <w:u w:val="none" w:color="auto"/>
                    </w:rPr>
                    <w:t>55</w:t>
                  </w:r>
                </w:p>
              </w:tc>
              <w:tc>
                <w:tcPr>
                  <w:tcW w:w="3153" w:type="dxa"/>
                  <w:tcBorders>
                    <w:tl2br w:val="nil"/>
                    <w:tr2bl w:val="nil"/>
                  </w:tcBorders>
                  <w:vAlign w:val="center"/>
                </w:tcPr>
                <w:p w14:paraId="4F4F94E3">
                  <w:pPr>
                    <w:adjustRightInd w:val="0"/>
                    <w:snapToGrid w:val="0"/>
                    <w:spacing w:line="240" w:lineRule="auto"/>
                    <w:jc w:val="center"/>
                    <w:rPr>
                      <w:rFonts w:hint="default" w:eastAsia="宋体"/>
                      <w:snapToGrid w:val="0"/>
                      <w:color w:val="auto"/>
                      <w:szCs w:val="21"/>
                      <w:highlight w:val="none"/>
                      <w:u w:val="none" w:color="auto"/>
                      <w:lang w:val="en-US" w:eastAsia="zh-CN"/>
                    </w:rPr>
                  </w:pPr>
                  <w:r>
                    <w:rPr>
                      <w:rFonts w:hint="eastAsia"/>
                      <w:snapToGrid w:val="0"/>
                      <w:color w:val="auto"/>
                      <w:szCs w:val="21"/>
                      <w:highlight w:val="none"/>
                      <w:u w:val="none" w:color="auto"/>
                    </w:rPr>
                    <w:t>《建筑施工噪声排放标准》（</w:t>
                  </w:r>
                  <w:r>
                    <w:rPr>
                      <w:snapToGrid w:val="0"/>
                      <w:color w:val="auto"/>
                      <w:szCs w:val="21"/>
                      <w:highlight w:val="none"/>
                      <w:u w:val="none" w:color="auto"/>
                    </w:rPr>
                    <w:t>GB12523-20</w:t>
                  </w:r>
                  <w:r>
                    <w:rPr>
                      <w:rFonts w:hint="eastAsia"/>
                      <w:snapToGrid w:val="0"/>
                      <w:color w:val="auto"/>
                      <w:szCs w:val="21"/>
                      <w:highlight w:val="none"/>
                      <w:u w:val="none" w:color="auto"/>
                      <w:lang w:val="en-US" w:eastAsia="zh-CN"/>
                    </w:rPr>
                    <w:t>25</w:t>
                  </w:r>
                  <w:r>
                    <w:rPr>
                      <w:rFonts w:hint="eastAsia"/>
                      <w:snapToGrid w:val="0"/>
                      <w:color w:val="auto"/>
                      <w:szCs w:val="21"/>
                      <w:highlight w:val="none"/>
                      <w:u w:val="none" w:color="auto"/>
                    </w:rPr>
                    <w:t>）</w:t>
                  </w:r>
                </w:p>
              </w:tc>
            </w:tr>
            <w:tr w14:paraId="187535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626" w:type="dxa"/>
                  <w:tcBorders>
                    <w:tl2br w:val="nil"/>
                    <w:tr2bl w:val="nil"/>
                  </w:tcBorders>
                  <w:vAlign w:val="center"/>
                </w:tcPr>
                <w:p w14:paraId="73E94DDC">
                  <w:pPr>
                    <w:adjustRightInd w:val="0"/>
                    <w:snapToGrid w:val="0"/>
                    <w:spacing w:line="240" w:lineRule="auto"/>
                    <w:jc w:val="center"/>
                    <w:rPr>
                      <w:rFonts w:hint="eastAsia"/>
                      <w:snapToGrid w:val="0"/>
                      <w:color w:val="auto"/>
                      <w:szCs w:val="21"/>
                      <w:highlight w:val="none"/>
                      <w:u w:val="single" w:color="auto"/>
                      <w:lang w:val="en-US" w:eastAsia="zh-CN"/>
                    </w:rPr>
                  </w:pPr>
                  <w:r>
                    <w:rPr>
                      <w:rFonts w:hint="eastAsia"/>
                      <w:snapToGrid w:val="0"/>
                      <w:color w:val="auto"/>
                      <w:szCs w:val="21"/>
                      <w:highlight w:val="none"/>
                      <w:u w:val="single" w:color="auto"/>
                      <w:lang w:val="en-US" w:eastAsia="zh-CN"/>
                    </w:rPr>
                    <w:t>等效A声级</w:t>
                  </w:r>
                </w:p>
              </w:tc>
              <w:tc>
                <w:tcPr>
                  <w:tcW w:w="1396" w:type="dxa"/>
                  <w:tcBorders>
                    <w:tl2br w:val="nil"/>
                    <w:tr2bl w:val="nil"/>
                  </w:tcBorders>
                  <w:vAlign w:val="center"/>
                </w:tcPr>
                <w:p w14:paraId="55E88AFE">
                  <w:pPr>
                    <w:adjustRightInd w:val="0"/>
                    <w:snapToGrid w:val="0"/>
                    <w:spacing w:line="240" w:lineRule="auto"/>
                    <w:jc w:val="center"/>
                    <w:rPr>
                      <w:rFonts w:hint="eastAsia"/>
                      <w:snapToGrid w:val="0"/>
                      <w:color w:val="auto"/>
                      <w:szCs w:val="21"/>
                      <w:highlight w:val="none"/>
                      <w:u w:val="single" w:color="auto"/>
                    </w:rPr>
                  </w:pPr>
                  <w:r>
                    <w:rPr>
                      <w:rFonts w:hint="eastAsia"/>
                      <w:snapToGrid w:val="0"/>
                      <w:color w:val="auto"/>
                      <w:szCs w:val="21"/>
                      <w:highlight w:val="none"/>
                      <w:u w:val="single" w:color="auto"/>
                    </w:rPr>
                    <w:t>70</w:t>
                  </w:r>
                </w:p>
              </w:tc>
              <w:tc>
                <w:tcPr>
                  <w:tcW w:w="1484" w:type="dxa"/>
                  <w:tcBorders>
                    <w:tl2br w:val="nil"/>
                    <w:tr2bl w:val="nil"/>
                  </w:tcBorders>
                  <w:vAlign w:val="center"/>
                </w:tcPr>
                <w:p w14:paraId="1DFCB192">
                  <w:pPr>
                    <w:adjustRightInd w:val="0"/>
                    <w:snapToGrid w:val="0"/>
                    <w:spacing w:line="240" w:lineRule="auto"/>
                    <w:jc w:val="center"/>
                    <w:rPr>
                      <w:rFonts w:hint="eastAsia"/>
                      <w:snapToGrid w:val="0"/>
                      <w:color w:val="auto"/>
                      <w:szCs w:val="21"/>
                      <w:highlight w:val="none"/>
                      <w:u w:val="single" w:color="auto"/>
                    </w:rPr>
                  </w:pPr>
                  <w:r>
                    <w:rPr>
                      <w:rFonts w:hint="eastAsia"/>
                      <w:snapToGrid w:val="0"/>
                      <w:color w:val="auto"/>
                      <w:szCs w:val="21"/>
                      <w:highlight w:val="none"/>
                      <w:u w:val="single" w:color="auto"/>
                    </w:rPr>
                    <w:t>55</w:t>
                  </w:r>
                </w:p>
              </w:tc>
              <w:tc>
                <w:tcPr>
                  <w:tcW w:w="3153" w:type="dxa"/>
                  <w:tcBorders>
                    <w:tl2br w:val="nil"/>
                    <w:tr2bl w:val="nil"/>
                  </w:tcBorders>
                  <w:vAlign w:val="center"/>
                </w:tcPr>
                <w:p w14:paraId="0DB3FF34">
                  <w:pPr>
                    <w:adjustRightInd w:val="0"/>
                    <w:snapToGrid w:val="0"/>
                    <w:spacing w:line="240" w:lineRule="auto"/>
                    <w:jc w:val="center"/>
                    <w:rPr>
                      <w:rFonts w:hint="eastAsia"/>
                      <w:snapToGrid w:val="0"/>
                      <w:color w:val="auto"/>
                      <w:szCs w:val="21"/>
                      <w:highlight w:val="none"/>
                      <w:u w:val="single" w:color="auto"/>
                    </w:rPr>
                  </w:pPr>
                  <w:r>
                    <w:rPr>
                      <w:rFonts w:hint="eastAsia"/>
                      <w:snapToGrid w:val="0"/>
                      <w:color w:val="auto"/>
                      <w:szCs w:val="21"/>
                      <w:highlight w:val="none"/>
                      <w:u w:val="single" w:color="auto"/>
                    </w:rPr>
                    <w:t>《建筑施工场界环境噪声排放标准》（GB12523</w:t>
                  </w:r>
                  <w:r>
                    <w:rPr>
                      <w:rFonts w:hint="eastAsia"/>
                      <w:snapToGrid w:val="0"/>
                      <w:color w:val="auto"/>
                      <w:szCs w:val="21"/>
                      <w:highlight w:val="none"/>
                      <w:u w:val="single" w:color="auto"/>
                      <w:lang w:val="en-US" w:eastAsia="zh-CN"/>
                    </w:rPr>
                    <w:t>-</w:t>
                  </w:r>
                  <w:r>
                    <w:rPr>
                      <w:rFonts w:hint="eastAsia"/>
                      <w:snapToGrid w:val="0"/>
                      <w:color w:val="auto"/>
                      <w:szCs w:val="21"/>
                      <w:highlight w:val="none"/>
                      <w:u w:val="single" w:color="auto"/>
                    </w:rPr>
                    <w:t>2011）</w:t>
                  </w:r>
                </w:p>
              </w:tc>
            </w:tr>
          </w:tbl>
          <w:p w14:paraId="15C40EBB">
            <w:pPr>
              <w:adjustRightInd w:val="0"/>
              <w:snapToGrid w:val="0"/>
              <w:spacing w:line="360" w:lineRule="auto"/>
              <w:rPr>
                <w:b/>
                <w:bCs/>
                <w:color w:val="auto"/>
                <w:spacing w:val="-4"/>
                <w:sz w:val="24"/>
                <w:highlight w:val="none"/>
                <w:u w:val="none" w:color="auto"/>
              </w:rPr>
            </w:pPr>
          </w:p>
          <w:p w14:paraId="6EF50004">
            <w:pPr>
              <w:adjustRightInd w:val="0"/>
              <w:snapToGrid w:val="0"/>
              <w:spacing w:line="360" w:lineRule="auto"/>
              <w:rPr>
                <w:b/>
                <w:bCs/>
                <w:color w:val="auto"/>
                <w:spacing w:val="-4"/>
                <w:sz w:val="24"/>
                <w:highlight w:val="none"/>
                <w:u w:val="none" w:color="auto"/>
              </w:rPr>
            </w:pPr>
            <w:r>
              <w:rPr>
                <w:b/>
                <w:bCs/>
                <w:color w:val="auto"/>
                <w:spacing w:val="-4"/>
                <w:sz w:val="24"/>
                <w:highlight w:val="none"/>
                <w:u w:val="none" w:color="auto"/>
              </w:rPr>
              <w:t>二、营运期</w:t>
            </w:r>
          </w:p>
          <w:p w14:paraId="7D6BBBA0">
            <w:pPr>
              <w:adjustRightInd w:val="0"/>
              <w:snapToGrid w:val="0"/>
              <w:spacing w:line="360" w:lineRule="auto"/>
              <w:ind w:firstLine="482" w:firstLineChars="200"/>
              <w:rPr>
                <w:b/>
                <w:bCs/>
                <w:color w:val="auto"/>
                <w:sz w:val="24"/>
                <w:highlight w:val="none"/>
                <w:u w:val="none" w:color="auto"/>
              </w:rPr>
            </w:pPr>
            <w:r>
              <w:rPr>
                <w:rFonts w:hint="eastAsia"/>
                <w:b/>
                <w:bCs/>
                <w:color w:val="auto"/>
                <w:sz w:val="24"/>
                <w:highlight w:val="none"/>
                <w:u w:val="none" w:color="auto"/>
              </w:rPr>
              <w:t>1、废气</w:t>
            </w:r>
          </w:p>
          <w:p w14:paraId="4781B998">
            <w:pPr>
              <w:adjustRightInd w:val="0"/>
              <w:snapToGrid w:val="0"/>
              <w:spacing w:line="360" w:lineRule="auto"/>
              <w:ind w:firstLine="480" w:firstLineChars="200"/>
              <w:rPr>
                <w:rFonts w:hint="eastAsia" w:eastAsia="宋体"/>
                <w:b w:val="0"/>
                <w:bCs w:val="0"/>
                <w:color w:val="auto"/>
                <w:sz w:val="24"/>
                <w:highlight w:val="none"/>
                <w:u w:val="none" w:color="auto"/>
                <w:lang w:eastAsia="zh-CN"/>
              </w:rPr>
            </w:pPr>
            <w:r>
              <w:rPr>
                <w:rFonts w:hint="eastAsia"/>
                <w:color w:val="auto"/>
                <w:sz w:val="24"/>
                <w:highlight w:val="none"/>
                <w:u w:val="none" w:color="auto"/>
              </w:rPr>
              <w:t>本项目筛分废气、</w:t>
            </w:r>
            <w:r>
              <w:rPr>
                <w:color w:val="auto"/>
                <w:sz w:val="24"/>
                <w:highlight w:val="none"/>
                <w:u w:val="none" w:color="auto"/>
              </w:rPr>
              <w:t>烘干粉尘、</w:t>
            </w:r>
            <w:r>
              <w:rPr>
                <w:rFonts w:hint="eastAsia"/>
                <w:color w:val="auto"/>
                <w:sz w:val="24"/>
                <w:highlight w:val="none"/>
                <w:u w:val="none" w:color="auto"/>
              </w:rPr>
              <w:t>装卸废气以无组织形式排放，执行</w:t>
            </w:r>
            <w:r>
              <w:rPr>
                <w:color w:val="auto"/>
                <w:sz w:val="24"/>
                <w:highlight w:val="none"/>
                <w:u w:val="none" w:color="auto"/>
              </w:rPr>
              <w:t>《大气污染物综合排放标准》(GB16297-1996</w:t>
            </w:r>
            <w:r>
              <w:rPr>
                <w:rFonts w:hint="eastAsia"/>
                <w:color w:val="auto"/>
                <w:sz w:val="24"/>
                <w:highlight w:val="none"/>
                <w:u w:val="none" w:color="auto"/>
              </w:rPr>
              <w:t>）</w:t>
            </w:r>
            <w:r>
              <w:rPr>
                <w:color w:val="auto"/>
                <w:sz w:val="24"/>
                <w:highlight w:val="none"/>
                <w:u w:val="none" w:color="auto"/>
              </w:rPr>
              <w:t>中无组织排放最高允许浓度标准</w:t>
            </w:r>
            <w:r>
              <w:rPr>
                <w:rFonts w:hint="eastAsia"/>
                <w:color w:val="auto"/>
                <w:sz w:val="24"/>
                <w:highlight w:val="none"/>
                <w:u w:val="none" w:color="auto"/>
              </w:rPr>
              <w:t>；</w:t>
            </w:r>
            <w:r>
              <w:rPr>
                <w:rFonts w:hint="eastAsia"/>
                <w:color w:val="auto"/>
                <w:sz w:val="24"/>
                <w:highlight w:val="none"/>
                <w:u w:val="none" w:color="auto"/>
                <w:lang w:eastAsia="zh-CN"/>
              </w:rPr>
              <w:t>按照热风炉的工作原理，</w:t>
            </w:r>
            <w:r>
              <w:rPr>
                <w:rFonts w:hint="eastAsia"/>
                <w:color w:val="auto"/>
                <w:sz w:val="24"/>
                <w:highlight w:val="none"/>
                <w:u w:val="none" w:color="auto"/>
              </w:rPr>
              <w:t>热风炉烟气（颗粒物、SO</w:t>
            </w:r>
            <w:r>
              <w:rPr>
                <w:rFonts w:hint="eastAsia"/>
                <w:color w:val="auto"/>
                <w:sz w:val="24"/>
                <w:highlight w:val="none"/>
                <w:u w:val="none" w:color="auto"/>
                <w:vertAlign w:val="subscript"/>
              </w:rPr>
              <w:t>2</w:t>
            </w:r>
            <w:r>
              <w:rPr>
                <w:rFonts w:hint="eastAsia"/>
                <w:color w:val="auto"/>
                <w:sz w:val="24"/>
                <w:highlight w:val="none"/>
                <w:u w:val="none" w:color="auto"/>
              </w:rPr>
              <w:t>、烟气黑度）</w:t>
            </w:r>
            <w:r>
              <w:rPr>
                <w:rFonts w:hint="eastAsia"/>
                <w:color w:val="auto"/>
                <w:sz w:val="24"/>
                <w:highlight w:val="none"/>
                <w:u w:val="none" w:color="auto"/>
                <w:lang w:eastAsia="zh-CN"/>
              </w:rPr>
              <w:t>应</w:t>
            </w:r>
            <w:r>
              <w:rPr>
                <w:rFonts w:hint="eastAsia"/>
                <w:color w:val="auto"/>
                <w:sz w:val="24"/>
                <w:highlight w:val="none"/>
                <w:u w:val="none" w:color="auto"/>
              </w:rPr>
              <w:t>执行《工业炉窑大气污染物排放标准》（GB9078- 1996）中表2、表4二级标准，</w:t>
            </w:r>
            <w:r>
              <w:rPr>
                <w:rFonts w:hint="eastAsia"/>
                <w:color w:val="auto"/>
                <w:sz w:val="24"/>
                <w:highlight w:val="none"/>
                <w:u w:val="none" w:color="auto"/>
                <w:lang w:eastAsia="zh-CN"/>
              </w:rPr>
              <w:t>以及</w:t>
            </w:r>
            <w:r>
              <w:rPr>
                <w:rFonts w:hint="eastAsia"/>
                <w:color w:val="auto"/>
                <w:sz w:val="24"/>
                <w:highlight w:val="none"/>
                <w:u w:val="none" w:color="auto"/>
                <w:lang w:val="en-US" w:eastAsia="zh-CN"/>
              </w:rPr>
              <w:t>4.6.1及4.6.3条款烟囱高度要求，</w:t>
            </w:r>
            <w:r>
              <w:rPr>
                <w:rFonts w:hint="eastAsia"/>
                <w:b w:val="0"/>
                <w:bCs w:val="0"/>
                <w:color w:val="auto"/>
                <w:sz w:val="24"/>
                <w:highlight w:val="none"/>
                <w:u w:val="none" w:color="auto"/>
                <w:lang w:eastAsia="zh-CN"/>
              </w:rPr>
              <w:t>本项目新建烟囱周边</w:t>
            </w:r>
            <w:r>
              <w:rPr>
                <w:rFonts w:hint="eastAsia"/>
                <w:b w:val="0"/>
                <w:bCs w:val="0"/>
                <w:color w:val="auto"/>
                <w:sz w:val="24"/>
                <w:highlight w:val="none"/>
                <w:u w:val="none" w:color="auto"/>
                <w:lang w:val="en-US" w:eastAsia="zh-CN"/>
              </w:rPr>
              <w:t>200m范围内无高于12m的建筑物，因此烟囱设置为18m高，符合</w:t>
            </w:r>
            <w:r>
              <w:rPr>
                <w:rFonts w:hint="eastAsia"/>
                <w:color w:val="auto"/>
                <w:sz w:val="24"/>
                <w:highlight w:val="none"/>
                <w:u w:val="none" w:color="auto"/>
              </w:rPr>
              <w:t>GB9078-1996</w:t>
            </w:r>
            <w:r>
              <w:rPr>
                <w:rFonts w:hint="eastAsia"/>
                <w:color w:val="auto"/>
                <w:sz w:val="24"/>
                <w:highlight w:val="none"/>
                <w:u w:val="none" w:color="auto"/>
                <w:lang w:eastAsia="zh-CN"/>
              </w:rPr>
              <w:t>要求</w:t>
            </w:r>
            <w:r>
              <w:rPr>
                <w:rFonts w:hint="eastAsia"/>
                <w:b w:val="0"/>
                <w:bCs w:val="0"/>
                <w:color w:val="auto"/>
                <w:sz w:val="24"/>
                <w:highlight w:val="none"/>
                <w:u w:val="none" w:color="auto"/>
                <w:lang w:eastAsia="zh-CN"/>
              </w:rPr>
              <w:t>，</w:t>
            </w:r>
            <w:r>
              <w:rPr>
                <w:rFonts w:hint="eastAsia"/>
                <w:b w:val="0"/>
                <w:bCs w:val="0"/>
                <w:color w:val="auto"/>
                <w:sz w:val="24"/>
                <w:highlight w:val="none"/>
                <w:u w:val="none" w:color="auto"/>
              </w:rPr>
              <w:t>该标准中无NOx排放浓度限值要求，热风炉烟气中NOx参照执行《大气污染物综合排放标准》(GB16297-1996）中表2新污染源大气污染物排放限值要求</w:t>
            </w:r>
            <w:r>
              <w:rPr>
                <w:rFonts w:hint="eastAsia"/>
                <w:b w:val="0"/>
                <w:bCs w:val="0"/>
                <w:color w:val="auto"/>
                <w:sz w:val="24"/>
                <w:highlight w:val="none"/>
                <w:u w:val="none" w:color="auto"/>
                <w:lang w:eastAsia="zh-CN"/>
              </w:rPr>
              <w:t>。</w:t>
            </w:r>
          </w:p>
          <w:p w14:paraId="19D430C5">
            <w:pPr>
              <w:adjustRightInd w:val="0"/>
              <w:snapToGrid w:val="0"/>
              <w:spacing w:line="360" w:lineRule="auto"/>
              <w:jc w:val="center"/>
              <w:rPr>
                <w:rFonts w:hint="eastAsia" w:ascii="Times New Roman" w:hAnsi="Times New Roman" w:eastAsia="宋体" w:cs="Times New Roman"/>
                <w:b/>
                <w:bCs/>
                <w:color w:val="auto"/>
                <w:spacing w:val="-2"/>
                <w:sz w:val="24"/>
                <w:highlight w:val="none"/>
                <w:u w:val="none" w:color="auto"/>
                <w:lang w:val="en-US" w:eastAsia="zh-CN"/>
              </w:rPr>
            </w:pPr>
            <w:r>
              <w:rPr>
                <w:rFonts w:hint="default" w:ascii="Times New Roman" w:hAnsi="Times New Roman" w:eastAsia="宋体" w:cs="Times New Roman"/>
                <w:b/>
                <w:bCs/>
                <w:color w:val="auto"/>
                <w:spacing w:val="-2"/>
                <w:sz w:val="24"/>
                <w:highlight w:val="none"/>
                <w:u w:val="none" w:color="auto"/>
                <w:lang w:val="en-US" w:eastAsia="zh-CN"/>
              </w:rPr>
              <w:t xml:space="preserve">表 </w:t>
            </w:r>
            <w:r>
              <w:rPr>
                <w:rFonts w:hint="eastAsia" w:ascii="Times New Roman" w:hAnsi="Times New Roman" w:eastAsia="宋体" w:cs="Times New Roman"/>
                <w:b/>
                <w:bCs/>
                <w:color w:val="auto"/>
                <w:spacing w:val="-2"/>
                <w:sz w:val="24"/>
                <w:highlight w:val="none"/>
                <w:u w:val="none" w:color="auto"/>
                <w:lang w:val="en-US" w:eastAsia="zh-CN"/>
              </w:rPr>
              <w:t>3-1</w:t>
            </w:r>
            <w:r>
              <w:rPr>
                <w:rFonts w:hint="eastAsia" w:cs="Times New Roman"/>
                <w:b/>
                <w:bCs/>
                <w:color w:val="auto"/>
                <w:spacing w:val="-2"/>
                <w:sz w:val="24"/>
                <w:highlight w:val="none"/>
                <w:u w:val="none" w:color="auto"/>
                <w:lang w:val="en-US" w:eastAsia="zh-CN"/>
              </w:rPr>
              <w:t>0</w:t>
            </w:r>
            <w:r>
              <w:rPr>
                <w:rFonts w:hint="eastAsia" w:ascii="Times New Roman" w:hAnsi="Times New Roman" w:eastAsia="宋体" w:cs="Times New Roman"/>
                <w:b/>
                <w:bCs/>
                <w:color w:val="auto"/>
                <w:spacing w:val="-2"/>
                <w:sz w:val="24"/>
                <w:highlight w:val="none"/>
                <w:u w:val="none" w:color="auto"/>
                <w:lang w:val="en-US" w:eastAsia="zh-CN"/>
              </w:rPr>
              <w:t xml:space="preserve">  废气排放执行标准</w:t>
            </w:r>
          </w:p>
          <w:tbl>
            <w:tblPr>
              <w:tblStyle w:val="28"/>
              <w:tblW w:w="4954"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59"/>
              <w:gridCol w:w="2129"/>
              <w:gridCol w:w="1795"/>
              <w:gridCol w:w="3136"/>
            </w:tblGrid>
            <w:tr w14:paraId="3B37C94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72" w:hRule="atLeast"/>
                <w:jc w:val="center"/>
              </w:trPr>
              <w:tc>
                <w:tcPr>
                  <w:tcW w:w="659" w:type="dxa"/>
                  <w:tcBorders>
                    <w:tl2br w:val="nil"/>
                    <w:tr2bl w:val="nil"/>
                  </w:tcBorders>
                  <w:vAlign w:val="center"/>
                </w:tcPr>
                <w:p w14:paraId="23486934">
                  <w:pPr>
                    <w:pStyle w:val="73"/>
                    <w:jc w:val="center"/>
                    <w:rPr>
                      <w:b/>
                      <w:bCs/>
                      <w:color w:val="auto"/>
                      <w:szCs w:val="21"/>
                      <w:highlight w:val="none"/>
                      <w:u w:val="none" w:color="auto"/>
                    </w:rPr>
                  </w:pPr>
                  <w:r>
                    <w:rPr>
                      <w:rFonts w:hint="eastAsia"/>
                      <w:b/>
                      <w:bCs/>
                      <w:color w:val="auto"/>
                      <w:szCs w:val="21"/>
                      <w:highlight w:val="none"/>
                      <w:u w:val="none" w:color="auto"/>
                    </w:rPr>
                    <w:t>项目</w:t>
                  </w:r>
                </w:p>
              </w:tc>
              <w:tc>
                <w:tcPr>
                  <w:tcW w:w="2129" w:type="dxa"/>
                  <w:tcBorders>
                    <w:tl2br w:val="nil"/>
                    <w:tr2bl w:val="nil"/>
                  </w:tcBorders>
                  <w:vAlign w:val="center"/>
                </w:tcPr>
                <w:p w14:paraId="360C8A9D">
                  <w:pPr>
                    <w:pStyle w:val="73"/>
                    <w:jc w:val="center"/>
                    <w:rPr>
                      <w:b/>
                      <w:bCs/>
                      <w:color w:val="auto"/>
                      <w:szCs w:val="21"/>
                      <w:highlight w:val="none"/>
                      <w:u w:val="none" w:color="auto"/>
                    </w:rPr>
                  </w:pPr>
                  <w:r>
                    <w:rPr>
                      <w:b/>
                      <w:bCs/>
                      <w:color w:val="auto"/>
                      <w:szCs w:val="21"/>
                      <w:highlight w:val="none"/>
                      <w:u w:val="none" w:color="auto"/>
                    </w:rPr>
                    <w:t>污染物</w:t>
                  </w:r>
                </w:p>
              </w:tc>
              <w:tc>
                <w:tcPr>
                  <w:tcW w:w="1795" w:type="dxa"/>
                  <w:tcBorders>
                    <w:tl2br w:val="nil"/>
                    <w:tr2bl w:val="nil"/>
                  </w:tcBorders>
                  <w:vAlign w:val="center"/>
                </w:tcPr>
                <w:p w14:paraId="16AD7F7B">
                  <w:pPr>
                    <w:pStyle w:val="73"/>
                    <w:jc w:val="center"/>
                    <w:rPr>
                      <w:rFonts w:hint="eastAsia" w:eastAsia="宋体"/>
                      <w:b/>
                      <w:bCs/>
                      <w:color w:val="auto"/>
                      <w:szCs w:val="21"/>
                      <w:highlight w:val="none"/>
                      <w:u w:val="none" w:color="auto"/>
                      <w:lang w:val="en-US" w:eastAsia="zh-CN"/>
                    </w:rPr>
                  </w:pPr>
                  <w:r>
                    <w:rPr>
                      <w:rFonts w:hint="eastAsia"/>
                      <w:b/>
                      <w:bCs/>
                      <w:color w:val="auto"/>
                      <w:szCs w:val="21"/>
                      <w:highlight w:val="none"/>
                      <w:u w:val="none" w:color="auto"/>
                      <w:lang w:val="en-US" w:eastAsia="zh-CN"/>
                    </w:rPr>
                    <w:t>限值</w:t>
                  </w:r>
                </w:p>
              </w:tc>
              <w:tc>
                <w:tcPr>
                  <w:tcW w:w="3136" w:type="dxa"/>
                  <w:tcBorders>
                    <w:tl2br w:val="nil"/>
                    <w:tr2bl w:val="nil"/>
                  </w:tcBorders>
                  <w:vAlign w:val="center"/>
                </w:tcPr>
                <w:p w14:paraId="1BA644CF">
                  <w:pPr>
                    <w:pStyle w:val="73"/>
                    <w:jc w:val="center"/>
                    <w:rPr>
                      <w:b/>
                      <w:bCs/>
                      <w:color w:val="auto"/>
                      <w:szCs w:val="21"/>
                      <w:highlight w:val="none"/>
                      <w:u w:val="none" w:color="auto"/>
                    </w:rPr>
                  </w:pPr>
                  <w:r>
                    <w:rPr>
                      <w:rFonts w:hint="eastAsia"/>
                      <w:b/>
                      <w:bCs/>
                      <w:color w:val="auto"/>
                      <w:szCs w:val="21"/>
                      <w:highlight w:val="none"/>
                      <w:u w:val="none" w:color="auto"/>
                    </w:rPr>
                    <w:t>标准来源</w:t>
                  </w:r>
                </w:p>
              </w:tc>
            </w:tr>
            <w:tr w14:paraId="5CBFB22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77" w:hRule="atLeast"/>
                <w:jc w:val="center"/>
              </w:trPr>
              <w:tc>
                <w:tcPr>
                  <w:tcW w:w="659" w:type="dxa"/>
                  <w:vMerge w:val="restart"/>
                  <w:tcBorders>
                    <w:tl2br w:val="nil"/>
                    <w:tr2bl w:val="nil"/>
                  </w:tcBorders>
                  <w:vAlign w:val="center"/>
                </w:tcPr>
                <w:p w14:paraId="3A64233D">
                  <w:pPr>
                    <w:pStyle w:val="73"/>
                    <w:jc w:val="center"/>
                    <w:rPr>
                      <w:b w:val="0"/>
                      <w:bCs w:val="0"/>
                      <w:color w:val="auto"/>
                      <w:sz w:val="21"/>
                      <w:szCs w:val="21"/>
                      <w:highlight w:val="none"/>
                      <w:u w:val="none" w:color="auto"/>
                    </w:rPr>
                  </w:pPr>
                  <w:r>
                    <w:rPr>
                      <w:rFonts w:hint="eastAsia"/>
                      <w:b w:val="0"/>
                      <w:bCs w:val="0"/>
                      <w:color w:val="auto"/>
                      <w:sz w:val="21"/>
                      <w:szCs w:val="21"/>
                      <w:highlight w:val="none"/>
                      <w:u w:val="none" w:color="auto"/>
                    </w:rPr>
                    <w:t>有组织废气</w:t>
                  </w:r>
                </w:p>
              </w:tc>
              <w:tc>
                <w:tcPr>
                  <w:tcW w:w="2129" w:type="dxa"/>
                  <w:tcBorders>
                    <w:tl2br w:val="nil"/>
                    <w:tr2bl w:val="nil"/>
                  </w:tcBorders>
                  <w:shd w:val="clear" w:color="auto" w:fill="auto"/>
                  <w:vAlign w:val="center"/>
                </w:tcPr>
                <w:p w14:paraId="26B6C32D">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rPr>
                    <w:t>颗粒物</w:t>
                  </w:r>
                </w:p>
              </w:tc>
              <w:tc>
                <w:tcPr>
                  <w:tcW w:w="1795" w:type="dxa"/>
                  <w:tcBorders>
                    <w:tl2br w:val="nil"/>
                    <w:tr2bl w:val="nil"/>
                  </w:tcBorders>
                  <w:shd w:val="clear" w:color="auto" w:fill="auto"/>
                  <w:vAlign w:val="center"/>
                </w:tcPr>
                <w:p w14:paraId="08DD39C9">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rPr>
                    <w:t>200mg/m</w:t>
                  </w:r>
                  <w:r>
                    <w:rPr>
                      <w:rFonts w:hint="eastAsia" w:ascii="Times New Roman" w:hAnsi="Times New Roman" w:eastAsia="宋体" w:cs="Times New Roman"/>
                      <w:b w:val="0"/>
                      <w:bCs w:val="0"/>
                      <w:color w:val="auto"/>
                      <w:sz w:val="21"/>
                      <w:szCs w:val="21"/>
                      <w:highlight w:val="none"/>
                      <w:u w:val="none" w:color="auto"/>
                      <w:vertAlign w:val="superscript"/>
                    </w:rPr>
                    <w:t>3</w:t>
                  </w:r>
                </w:p>
              </w:tc>
              <w:tc>
                <w:tcPr>
                  <w:tcW w:w="3136" w:type="dxa"/>
                  <w:vMerge w:val="restart"/>
                  <w:tcBorders>
                    <w:tl2br w:val="nil"/>
                    <w:tr2bl w:val="nil"/>
                  </w:tcBorders>
                  <w:vAlign w:val="center"/>
                </w:tcPr>
                <w:p w14:paraId="3E8C6B5B">
                  <w:pPr>
                    <w:pStyle w:val="73"/>
                    <w:ind w:firstLine="0" w:firstLineChars="0"/>
                    <w:jc w:val="center"/>
                    <w:rPr>
                      <w:rFonts w:hint="default" w:ascii="Times New Roman" w:hAnsi="Times New Roman" w:eastAsia="宋体" w:cs="Times New Roman"/>
                      <w:b w:val="0"/>
                      <w:bCs w:val="0"/>
                      <w:color w:val="auto"/>
                      <w:sz w:val="21"/>
                      <w:szCs w:val="21"/>
                      <w:highlight w:val="none"/>
                      <w:u w:val="none" w:color="auto"/>
                      <w:lang w:val="en-US"/>
                    </w:rPr>
                  </w:pPr>
                  <w:r>
                    <w:rPr>
                      <w:rFonts w:hint="eastAsia" w:ascii="Times New Roman" w:hAnsi="Times New Roman" w:eastAsia="宋体" w:cs="Times New Roman"/>
                      <w:b w:val="0"/>
                      <w:bCs w:val="0"/>
                      <w:color w:val="auto"/>
                      <w:sz w:val="21"/>
                      <w:szCs w:val="21"/>
                      <w:highlight w:val="none"/>
                      <w:u w:val="none" w:color="auto"/>
                    </w:rPr>
                    <w:t>《工业炉窑大气污染物排放标准》（GB9078-1996）</w:t>
                  </w:r>
                </w:p>
              </w:tc>
            </w:tr>
            <w:tr w14:paraId="79C68C4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77" w:hRule="atLeast"/>
                <w:jc w:val="center"/>
              </w:trPr>
              <w:tc>
                <w:tcPr>
                  <w:tcW w:w="659" w:type="dxa"/>
                  <w:vMerge w:val="continue"/>
                  <w:tcBorders>
                    <w:tl2br w:val="nil"/>
                    <w:tr2bl w:val="nil"/>
                  </w:tcBorders>
                  <w:vAlign w:val="center"/>
                </w:tcPr>
                <w:p w14:paraId="67C4EBE1">
                  <w:pPr>
                    <w:pStyle w:val="73"/>
                    <w:jc w:val="center"/>
                    <w:rPr>
                      <w:rFonts w:hint="eastAsia"/>
                      <w:b w:val="0"/>
                      <w:bCs w:val="0"/>
                      <w:color w:val="auto"/>
                      <w:sz w:val="21"/>
                      <w:szCs w:val="21"/>
                      <w:highlight w:val="none"/>
                      <w:u w:val="none" w:color="auto"/>
                    </w:rPr>
                  </w:pPr>
                </w:p>
              </w:tc>
              <w:tc>
                <w:tcPr>
                  <w:tcW w:w="2129" w:type="dxa"/>
                  <w:tcBorders>
                    <w:tl2br w:val="nil"/>
                    <w:tr2bl w:val="nil"/>
                  </w:tcBorders>
                  <w:shd w:val="clear" w:color="auto" w:fill="auto"/>
                  <w:vAlign w:val="center"/>
                </w:tcPr>
                <w:p w14:paraId="77EA4F8B">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rPr>
                    <w:t>二氧化硫</w:t>
                  </w:r>
                </w:p>
              </w:tc>
              <w:tc>
                <w:tcPr>
                  <w:tcW w:w="1795" w:type="dxa"/>
                  <w:tcBorders>
                    <w:tl2br w:val="nil"/>
                    <w:tr2bl w:val="nil"/>
                  </w:tcBorders>
                  <w:shd w:val="clear" w:color="auto" w:fill="auto"/>
                  <w:vAlign w:val="center"/>
                </w:tcPr>
                <w:p w14:paraId="46323E34">
                  <w:pPr>
                    <w:pStyle w:val="73"/>
                    <w:ind w:firstLine="0" w:firstLineChars="0"/>
                    <w:jc w:val="center"/>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rPr>
                    <w:t>850mg/m</w:t>
                  </w:r>
                  <w:r>
                    <w:rPr>
                      <w:rFonts w:hint="eastAsia" w:ascii="Times New Roman" w:hAnsi="Times New Roman" w:eastAsia="宋体" w:cs="Times New Roman"/>
                      <w:b w:val="0"/>
                      <w:bCs w:val="0"/>
                      <w:color w:val="auto"/>
                      <w:sz w:val="21"/>
                      <w:szCs w:val="21"/>
                      <w:highlight w:val="none"/>
                      <w:u w:val="none" w:color="auto"/>
                      <w:vertAlign w:val="superscript"/>
                    </w:rPr>
                    <w:t>3</w:t>
                  </w:r>
                </w:p>
              </w:tc>
              <w:tc>
                <w:tcPr>
                  <w:tcW w:w="3136" w:type="dxa"/>
                  <w:vMerge w:val="continue"/>
                  <w:tcBorders>
                    <w:tl2br w:val="nil"/>
                    <w:tr2bl w:val="nil"/>
                  </w:tcBorders>
                  <w:vAlign w:val="center"/>
                </w:tcPr>
                <w:p w14:paraId="2405C7FF">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rPr>
                  </w:pPr>
                </w:p>
              </w:tc>
            </w:tr>
            <w:tr w14:paraId="45D59B6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99" w:hRule="atLeast"/>
                <w:jc w:val="center"/>
              </w:trPr>
              <w:tc>
                <w:tcPr>
                  <w:tcW w:w="659" w:type="dxa"/>
                  <w:vMerge w:val="continue"/>
                  <w:tcBorders>
                    <w:tl2br w:val="nil"/>
                    <w:tr2bl w:val="nil"/>
                  </w:tcBorders>
                  <w:vAlign w:val="center"/>
                </w:tcPr>
                <w:p w14:paraId="122995A6">
                  <w:pPr>
                    <w:pStyle w:val="73"/>
                    <w:jc w:val="center"/>
                    <w:rPr>
                      <w:b w:val="0"/>
                      <w:bCs w:val="0"/>
                      <w:color w:val="auto"/>
                      <w:sz w:val="21"/>
                      <w:szCs w:val="21"/>
                      <w:highlight w:val="none"/>
                      <w:u w:val="none" w:color="auto"/>
                    </w:rPr>
                  </w:pPr>
                </w:p>
              </w:tc>
              <w:tc>
                <w:tcPr>
                  <w:tcW w:w="2129" w:type="dxa"/>
                  <w:tcBorders>
                    <w:tl2br w:val="nil"/>
                    <w:tr2bl w:val="nil"/>
                  </w:tcBorders>
                  <w:vAlign w:val="center"/>
                </w:tcPr>
                <w:p w14:paraId="68A66F51">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lang w:eastAsia="zh-CN"/>
                    </w:rPr>
                  </w:pPr>
                  <w:r>
                    <w:rPr>
                      <w:rFonts w:hint="eastAsia" w:ascii="Times New Roman" w:hAnsi="Times New Roman" w:eastAsia="宋体" w:cs="Times New Roman"/>
                      <w:b w:val="0"/>
                      <w:bCs w:val="0"/>
                      <w:color w:val="auto"/>
                      <w:sz w:val="21"/>
                      <w:szCs w:val="21"/>
                      <w:highlight w:val="none"/>
                      <w:u w:val="none" w:color="auto"/>
                    </w:rPr>
                    <w:t>林格曼黑度</w:t>
                  </w:r>
                </w:p>
              </w:tc>
              <w:tc>
                <w:tcPr>
                  <w:tcW w:w="1795" w:type="dxa"/>
                  <w:tcBorders>
                    <w:tl2br w:val="nil"/>
                    <w:tr2bl w:val="nil"/>
                  </w:tcBorders>
                  <w:vAlign w:val="center"/>
                </w:tcPr>
                <w:p w14:paraId="07DA479B">
                  <w:pPr>
                    <w:pStyle w:val="73"/>
                    <w:ind w:firstLine="0" w:firstLineChars="0"/>
                    <w:jc w:val="center"/>
                    <w:rPr>
                      <w:rFonts w:hint="default"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rPr>
                    <w:t>1级</w:t>
                  </w:r>
                </w:p>
              </w:tc>
              <w:tc>
                <w:tcPr>
                  <w:tcW w:w="3136" w:type="dxa"/>
                  <w:vMerge w:val="continue"/>
                  <w:tcBorders>
                    <w:tl2br w:val="nil"/>
                    <w:tr2bl w:val="nil"/>
                  </w:tcBorders>
                  <w:vAlign w:val="center"/>
                </w:tcPr>
                <w:p w14:paraId="6A9757E8">
                  <w:pPr>
                    <w:pStyle w:val="73"/>
                    <w:ind w:firstLine="0" w:firstLineChars="0"/>
                    <w:jc w:val="center"/>
                    <w:rPr>
                      <w:rFonts w:hint="default" w:ascii="Times New Roman" w:hAnsi="Times New Roman" w:eastAsia="宋体" w:cs="Times New Roman"/>
                      <w:b w:val="0"/>
                      <w:bCs w:val="0"/>
                      <w:color w:val="auto"/>
                      <w:sz w:val="21"/>
                      <w:szCs w:val="21"/>
                      <w:highlight w:val="none"/>
                      <w:u w:val="none" w:color="auto"/>
                      <w:lang w:val="en-US"/>
                    </w:rPr>
                  </w:pPr>
                </w:p>
              </w:tc>
            </w:tr>
            <w:tr w14:paraId="78AA260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06" w:hRule="atLeast"/>
                <w:jc w:val="center"/>
              </w:trPr>
              <w:tc>
                <w:tcPr>
                  <w:tcW w:w="659" w:type="dxa"/>
                  <w:vMerge w:val="continue"/>
                  <w:tcBorders>
                    <w:tl2br w:val="nil"/>
                    <w:tr2bl w:val="nil"/>
                  </w:tcBorders>
                  <w:vAlign w:val="center"/>
                </w:tcPr>
                <w:p w14:paraId="79DF2848">
                  <w:pPr>
                    <w:pStyle w:val="73"/>
                    <w:jc w:val="center"/>
                    <w:rPr>
                      <w:b w:val="0"/>
                      <w:bCs w:val="0"/>
                      <w:color w:val="auto"/>
                      <w:sz w:val="21"/>
                      <w:szCs w:val="21"/>
                      <w:highlight w:val="none"/>
                      <w:u w:val="none" w:color="auto"/>
                    </w:rPr>
                  </w:pPr>
                </w:p>
              </w:tc>
              <w:tc>
                <w:tcPr>
                  <w:tcW w:w="2129" w:type="dxa"/>
                  <w:tcBorders>
                    <w:tl2br w:val="nil"/>
                    <w:tr2bl w:val="nil"/>
                  </w:tcBorders>
                  <w:vAlign w:val="center"/>
                </w:tcPr>
                <w:p w14:paraId="42871649">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lang w:eastAsia="zh-CN"/>
                    </w:rPr>
                  </w:pPr>
                  <w:r>
                    <w:rPr>
                      <w:rFonts w:hint="eastAsia" w:ascii="Times New Roman" w:hAnsi="Times New Roman" w:eastAsia="宋体" w:cs="Times New Roman"/>
                      <w:b w:val="0"/>
                      <w:bCs w:val="0"/>
                      <w:color w:val="auto"/>
                      <w:sz w:val="21"/>
                      <w:szCs w:val="21"/>
                      <w:highlight w:val="none"/>
                      <w:u w:val="none" w:color="auto"/>
                    </w:rPr>
                    <w:t>氮氧化物</w:t>
                  </w:r>
                </w:p>
              </w:tc>
              <w:tc>
                <w:tcPr>
                  <w:tcW w:w="1795" w:type="dxa"/>
                  <w:tcBorders>
                    <w:tl2br w:val="nil"/>
                    <w:tr2bl w:val="nil"/>
                  </w:tcBorders>
                  <w:vAlign w:val="center"/>
                </w:tcPr>
                <w:p w14:paraId="36184124">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vertAlign w:val="superscript"/>
                    </w:rPr>
                  </w:pPr>
                  <w:r>
                    <w:rPr>
                      <w:rFonts w:hint="eastAsia" w:ascii="Times New Roman" w:hAnsi="Times New Roman" w:eastAsia="宋体" w:cs="Times New Roman"/>
                      <w:b w:val="0"/>
                      <w:bCs w:val="0"/>
                      <w:color w:val="auto"/>
                      <w:sz w:val="21"/>
                      <w:szCs w:val="21"/>
                      <w:highlight w:val="none"/>
                      <w:u w:val="none" w:color="auto"/>
                    </w:rPr>
                    <w:t>240mg/m</w:t>
                  </w:r>
                  <w:r>
                    <w:rPr>
                      <w:rFonts w:hint="eastAsia" w:ascii="Times New Roman" w:hAnsi="Times New Roman" w:eastAsia="宋体" w:cs="Times New Roman"/>
                      <w:b w:val="0"/>
                      <w:bCs w:val="0"/>
                      <w:color w:val="auto"/>
                      <w:sz w:val="21"/>
                      <w:szCs w:val="21"/>
                      <w:highlight w:val="none"/>
                      <w:u w:val="none" w:color="auto"/>
                      <w:vertAlign w:val="superscript"/>
                    </w:rPr>
                    <w:t>3</w:t>
                  </w:r>
                </w:p>
                <w:p w14:paraId="1F4644B0">
                  <w:pPr>
                    <w:pStyle w:val="73"/>
                    <w:ind w:firstLine="0" w:firstLineChars="0"/>
                    <w:jc w:val="center"/>
                    <w:rPr>
                      <w:rFonts w:hint="default" w:ascii="Times New Roman" w:hAnsi="Times New Roman" w:eastAsia="宋体" w:cs="Times New Roman"/>
                      <w:b w:val="0"/>
                      <w:bCs w:val="0"/>
                      <w:color w:val="auto"/>
                      <w:sz w:val="21"/>
                      <w:szCs w:val="21"/>
                      <w:highlight w:val="none"/>
                      <w:u w:val="none" w:color="auto"/>
                      <w:vertAlign w:val="superscript"/>
                      <w:lang w:val="en-US" w:eastAsia="zh-CN"/>
                    </w:rPr>
                  </w:pPr>
                  <w:r>
                    <w:rPr>
                      <w:rFonts w:hint="eastAsia" w:cs="Times New Roman"/>
                      <w:b w:val="0"/>
                      <w:bCs w:val="0"/>
                      <w:color w:val="auto"/>
                      <w:sz w:val="21"/>
                      <w:szCs w:val="21"/>
                      <w:highlight w:val="none"/>
                      <w:u w:val="none" w:color="auto"/>
                      <w:vertAlign w:val="baseline"/>
                      <w:lang w:val="en-US" w:eastAsia="zh-CN"/>
                    </w:rPr>
                    <w:t>1.088kg/h（18m）</w:t>
                  </w:r>
                </w:p>
              </w:tc>
              <w:tc>
                <w:tcPr>
                  <w:tcW w:w="3136" w:type="dxa"/>
                  <w:tcBorders>
                    <w:tl2br w:val="nil"/>
                    <w:tr2bl w:val="nil"/>
                  </w:tcBorders>
                  <w:vAlign w:val="center"/>
                </w:tcPr>
                <w:p w14:paraId="2CD2180F">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rPr>
                  </w:pPr>
                  <w:r>
                    <w:rPr>
                      <w:rFonts w:hint="eastAsia" w:ascii="Times New Roman" w:hAnsi="Times New Roman" w:eastAsia="宋体" w:cs="Times New Roman"/>
                      <w:b w:val="0"/>
                      <w:bCs w:val="0"/>
                      <w:color w:val="auto"/>
                      <w:sz w:val="21"/>
                      <w:szCs w:val="21"/>
                      <w:highlight w:val="none"/>
                      <w:u w:val="none" w:color="auto"/>
                    </w:rPr>
                    <w:t>《大气污染物综合排放标准》（GB16297-1996）</w:t>
                  </w:r>
                </w:p>
              </w:tc>
            </w:tr>
            <w:tr w14:paraId="40BA863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06" w:hRule="atLeast"/>
                <w:jc w:val="center"/>
              </w:trPr>
              <w:tc>
                <w:tcPr>
                  <w:tcW w:w="659" w:type="dxa"/>
                  <w:tcBorders>
                    <w:tl2br w:val="nil"/>
                    <w:tr2bl w:val="nil"/>
                  </w:tcBorders>
                  <w:vAlign w:val="center"/>
                </w:tcPr>
                <w:p w14:paraId="03FC4EB6">
                  <w:pPr>
                    <w:pStyle w:val="73"/>
                    <w:jc w:val="center"/>
                    <w:rPr>
                      <w:b w:val="0"/>
                      <w:bCs w:val="0"/>
                      <w:color w:val="auto"/>
                      <w:sz w:val="21"/>
                      <w:szCs w:val="21"/>
                      <w:highlight w:val="none"/>
                      <w:u w:val="none" w:color="auto"/>
                    </w:rPr>
                  </w:pPr>
                  <w:r>
                    <w:rPr>
                      <w:rFonts w:ascii="宋体" w:hAnsi="宋体" w:eastAsia="宋体" w:cs="宋体"/>
                      <w:color w:val="auto"/>
                      <w:spacing w:val="5"/>
                      <w:sz w:val="21"/>
                      <w:szCs w:val="21"/>
                      <w:u w:val="none" w:color="auto"/>
                    </w:rPr>
                    <w:t>热风炉</w:t>
                  </w:r>
                  <w:r>
                    <w:rPr>
                      <w:rFonts w:ascii="宋体" w:hAnsi="宋体" w:eastAsia="宋体" w:cs="宋体"/>
                      <w:color w:val="auto"/>
                      <w:spacing w:val="4"/>
                      <w:sz w:val="21"/>
                      <w:szCs w:val="21"/>
                      <w:u w:val="none" w:color="auto"/>
                    </w:rPr>
                    <w:t>周边</w:t>
                  </w:r>
                </w:p>
              </w:tc>
              <w:tc>
                <w:tcPr>
                  <w:tcW w:w="2129" w:type="dxa"/>
                  <w:tcBorders>
                    <w:tl2br w:val="nil"/>
                    <w:tr2bl w:val="nil"/>
                  </w:tcBorders>
                  <w:vAlign w:val="center"/>
                </w:tcPr>
                <w:p w14:paraId="4FC9C279">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rPr>
                  </w:pPr>
                  <w:r>
                    <w:rPr>
                      <w:rFonts w:hint="eastAsia" w:ascii="Times New Roman" w:hAnsi="Times New Roman" w:eastAsia="宋体" w:cs="Times New Roman"/>
                      <w:b w:val="0"/>
                      <w:bCs w:val="0"/>
                      <w:color w:val="auto"/>
                      <w:sz w:val="21"/>
                      <w:szCs w:val="21"/>
                      <w:highlight w:val="none"/>
                      <w:u w:val="none" w:color="auto"/>
                    </w:rPr>
                    <w:t>颗粒物</w:t>
                  </w:r>
                </w:p>
              </w:tc>
              <w:tc>
                <w:tcPr>
                  <w:tcW w:w="1795" w:type="dxa"/>
                  <w:tcBorders>
                    <w:tl2br w:val="nil"/>
                    <w:tr2bl w:val="nil"/>
                  </w:tcBorders>
                  <w:vAlign w:val="center"/>
                </w:tcPr>
                <w:p w14:paraId="0D7CA8B4">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rPr>
                  </w:pPr>
                  <w:r>
                    <w:rPr>
                      <w:rFonts w:hint="eastAsia" w:ascii="Times New Roman" w:hAnsi="Times New Roman" w:eastAsia="宋体" w:cs="Times New Roman"/>
                      <w:b w:val="0"/>
                      <w:bCs w:val="0"/>
                      <w:color w:val="auto"/>
                      <w:sz w:val="21"/>
                      <w:szCs w:val="21"/>
                      <w:highlight w:val="none"/>
                      <w:u w:val="none" w:color="auto"/>
                    </w:rPr>
                    <w:t>5mg/m</w:t>
                  </w:r>
                  <w:r>
                    <w:rPr>
                      <w:rFonts w:hint="eastAsia" w:ascii="Times New Roman" w:hAnsi="Times New Roman" w:eastAsia="宋体" w:cs="Times New Roman"/>
                      <w:b w:val="0"/>
                      <w:bCs w:val="0"/>
                      <w:color w:val="auto"/>
                      <w:sz w:val="21"/>
                      <w:szCs w:val="21"/>
                      <w:highlight w:val="none"/>
                      <w:u w:val="none" w:color="auto"/>
                      <w:vertAlign w:val="superscript"/>
                    </w:rPr>
                    <w:t>3</w:t>
                  </w:r>
                </w:p>
              </w:tc>
              <w:tc>
                <w:tcPr>
                  <w:tcW w:w="3136" w:type="dxa"/>
                  <w:tcBorders>
                    <w:tl2br w:val="nil"/>
                    <w:tr2bl w:val="nil"/>
                  </w:tcBorders>
                  <w:vAlign w:val="center"/>
                </w:tcPr>
                <w:p w14:paraId="790CC06D">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rPr>
                  </w:pPr>
                  <w:r>
                    <w:rPr>
                      <w:rFonts w:hint="eastAsia" w:ascii="Times New Roman" w:hAnsi="Times New Roman" w:eastAsia="宋体" w:cs="Times New Roman"/>
                      <w:b w:val="0"/>
                      <w:bCs w:val="0"/>
                      <w:color w:val="auto"/>
                      <w:sz w:val="21"/>
                      <w:szCs w:val="21"/>
                      <w:highlight w:val="none"/>
                      <w:u w:val="none" w:color="auto"/>
                    </w:rPr>
                    <w:t>《工业炉窑大气污染物排放标准》（GB9078-1996）</w:t>
                  </w:r>
                </w:p>
              </w:tc>
            </w:tr>
            <w:tr w14:paraId="3889366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533" w:hRule="atLeast"/>
                <w:jc w:val="center"/>
              </w:trPr>
              <w:tc>
                <w:tcPr>
                  <w:tcW w:w="659" w:type="dxa"/>
                  <w:tcBorders>
                    <w:tl2br w:val="nil"/>
                    <w:tr2bl w:val="nil"/>
                  </w:tcBorders>
                  <w:shd w:val="clear" w:color="auto" w:fill="auto"/>
                  <w:vAlign w:val="center"/>
                </w:tcPr>
                <w:p w14:paraId="5114EE3F">
                  <w:pPr>
                    <w:pStyle w:val="73"/>
                    <w:ind w:firstLine="0" w:firstLineChars="0"/>
                    <w:jc w:val="center"/>
                    <w:rPr>
                      <w:rFonts w:hint="eastAsia" w:ascii="Times New Roman" w:hAnsi="Times New Roman" w:eastAsia="宋体" w:cs="Times New Roman"/>
                      <w:b w:val="0"/>
                      <w:bCs w:val="0"/>
                      <w:color w:val="auto"/>
                      <w:kern w:val="2"/>
                      <w:sz w:val="21"/>
                      <w:szCs w:val="21"/>
                      <w:highlight w:val="none"/>
                      <w:u w:val="none" w:color="auto"/>
                      <w:lang w:val="en-US" w:eastAsia="zh-CN" w:bidi="ar-SA"/>
                    </w:rPr>
                  </w:pPr>
                  <w:r>
                    <w:rPr>
                      <w:rFonts w:hint="eastAsia"/>
                      <w:b w:val="0"/>
                      <w:bCs w:val="0"/>
                      <w:color w:val="auto"/>
                      <w:sz w:val="21"/>
                      <w:szCs w:val="21"/>
                      <w:highlight w:val="none"/>
                      <w:u w:val="none" w:color="auto"/>
                    </w:rPr>
                    <w:t>无组织废气</w:t>
                  </w:r>
                </w:p>
              </w:tc>
              <w:tc>
                <w:tcPr>
                  <w:tcW w:w="2129" w:type="dxa"/>
                  <w:tcBorders>
                    <w:tl2br w:val="nil"/>
                    <w:tr2bl w:val="nil"/>
                  </w:tcBorders>
                  <w:shd w:val="clear" w:color="auto" w:fill="auto"/>
                  <w:vAlign w:val="center"/>
                </w:tcPr>
                <w:p w14:paraId="683061BB">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rPr>
                    <w:t>颗粒物</w:t>
                  </w:r>
                </w:p>
              </w:tc>
              <w:tc>
                <w:tcPr>
                  <w:tcW w:w="1795" w:type="dxa"/>
                  <w:tcBorders>
                    <w:tl2br w:val="nil"/>
                    <w:tr2bl w:val="nil"/>
                  </w:tcBorders>
                  <w:shd w:val="clear" w:color="auto" w:fill="auto"/>
                  <w:vAlign w:val="center"/>
                </w:tcPr>
                <w:p w14:paraId="5DA0CE8A">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rPr>
                    <w:t>周界外浓度最高点1.0mg/m</w:t>
                  </w:r>
                  <w:r>
                    <w:rPr>
                      <w:rFonts w:hint="eastAsia" w:ascii="Times New Roman" w:hAnsi="Times New Roman" w:eastAsia="宋体" w:cs="Times New Roman"/>
                      <w:b w:val="0"/>
                      <w:bCs w:val="0"/>
                      <w:color w:val="auto"/>
                      <w:sz w:val="21"/>
                      <w:szCs w:val="21"/>
                      <w:highlight w:val="none"/>
                      <w:u w:val="none" w:color="auto"/>
                      <w:vertAlign w:val="superscript"/>
                    </w:rPr>
                    <w:t>3</w:t>
                  </w:r>
                </w:p>
              </w:tc>
              <w:tc>
                <w:tcPr>
                  <w:tcW w:w="3136" w:type="dxa"/>
                  <w:tcBorders>
                    <w:tl2br w:val="nil"/>
                    <w:tr2bl w:val="nil"/>
                  </w:tcBorders>
                  <w:shd w:val="clear" w:color="auto" w:fill="auto"/>
                  <w:vAlign w:val="center"/>
                </w:tcPr>
                <w:p w14:paraId="0A80303C">
                  <w:pPr>
                    <w:pStyle w:val="73"/>
                    <w:ind w:firstLine="0" w:firstLineChars="0"/>
                    <w:jc w:val="center"/>
                    <w:rPr>
                      <w:rFonts w:hint="eastAsia" w:ascii="Times New Roman" w:hAnsi="Times New Roman" w:eastAsia="宋体" w:cs="Times New Roman"/>
                      <w:b w:val="0"/>
                      <w:bCs w:val="0"/>
                      <w:color w:val="auto"/>
                      <w:sz w:val="21"/>
                      <w:szCs w:val="21"/>
                      <w:highlight w:val="none"/>
                      <w:u w:val="none" w:color="auto"/>
                      <w:lang w:val="en-US" w:eastAsia="zh-CN"/>
                    </w:rPr>
                  </w:pPr>
                  <w:r>
                    <w:rPr>
                      <w:rFonts w:hint="eastAsia" w:ascii="Times New Roman" w:hAnsi="Times New Roman" w:eastAsia="宋体" w:cs="Times New Roman"/>
                      <w:b w:val="0"/>
                      <w:bCs w:val="0"/>
                      <w:color w:val="auto"/>
                      <w:sz w:val="21"/>
                      <w:szCs w:val="21"/>
                      <w:highlight w:val="none"/>
                      <w:u w:val="none" w:color="auto"/>
                    </w:rPr>
                    <w:t>《大气污染物综合排放标准》（GB16297-1996）表2</w:t>
                  </w:r>
                </w:p>
              </w:tc>
            </w:tr>
            <w:tr w14:paraId="0108CF7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98" w:hRule="atLeast"/>
                <w:jc w:val="center"/>
              </w:trPr>
              <w:tc>
                <w:tcPr>
                  <w:tcW w:w="7719" w:type="dxa"/>
                  <w:gridSpan w:val="4"/>
                  <w:tcBorders>
                    <w:tl2br w:val="nil"/>
                    <w:tr2bl w:val="nil"/>
                  </w:tcBorders>
                  <w:shd w:val="clear" w:color="auto" w:fill="auto"/>
                  <w:vAlign w:val="center"/>
                </w:tcPr>
                <w:p w14:paraId="00CCB7CC">
                  <w:pPr>
                    <w:pStyle w:val="73"/>
                    <w:ind w:firstLine="0" w:firstLineChars="0"/>
                    <w:jc w:val="left"/>
                    <w:rPr>
                      <w:rFonts w:hint="default" w:ascii="Times New Roman" w:hAnsi="Times New Roman" w:eastAsia="宋体" w:cs="Times New Roman"/>
                      <w:b w:val="0"/>
                      <w:bCs w:val="0"/>
                      <w:color w:val="auto"/>
                      <w:sz w:val="21"/>
                      <w:szCs w:val="21"/>
                      <w:highlight w:val="none"/>
                      <w:u w:val="none" w:color="auto"/>
                      <w:lang w:val="en-US" w:eastAsia="zh-CN"/>
                    </w:rPr>
                  </w:pPr>
                  <w:r>
                    <w:rPr>
                      <w:rFonts w:hint="eastAsia" w:cs="Times New Roman"/>
                      <w:b w:val="0"/>
                      <w:bCs w:val="0"/>
                      <w:color w:val="auto"/>
                      <w:sz w:val="21"/>
                      <w:szCs w:val="21"/>
                      <w:highlight w:val="none"/>
                      <w:u w:val="single" w:color="auto"/>
                      <w:lang w:eastAsia="zh-CN"/>
                    </w:rPr>
                    <w:t>注：烟囱高度</w:t>
                  </w:r>
                  <w:r>
                    <w:rPr>
                      <w:rFonts w:hint="eastAsia" w:cs="Times New Roman"/>
                      <w:b w:val="0"/>
                      <w:bCs w:val="0"/>
                      <w:color w:val="auto"/>
                      <w:sz w:val="21"/>
                      <w:szCs w:val="21"/>
                      <w:highlight w:val="none"/>
                      <w:u w:val="single" w:color="auto"/>
                      <w:lang w:val="en-US" w:eastAsia="zh-CN"/>
                    </w:rPr>
                    <w:t>18m，氮氧化物排放速率限值根据内插法计算</w:t>
                  </w:r>
                </w:p>
              </w:tc>
            </w:tr>
          </w:tbl>
          <w:p w14:paraId="082457D9">
            <w:pPr>
              <w:pStyle w:val="72"/>
              <w:adjustRightInd w:val="0"/>
              <w:snapToGrid w:val="0"/>
              <w:spacing w:before="93" w:beforeLines="30"/>
              <w:ind w:left="0" w:leftChars="0" w:firstLine="482" w:firstLineChars="200"/>
              <w:rPr>
                <w:color w:val="auto"/>
                <w:highlight w:val="none"/>
                <w:u w:val="none" w:color="auto"/>
              </w:rPr>
            </w:pPr>
            <w:r>
              <w:rPr>
                <w:rFonts w:hint="eastAsia"/>
                <w:color w:val="auto"/>
                <w:highlight w:val="none"/>
                <w:u w:val="none" w:color="auto"/>
              </w:rPr>
              <w:t>2</w:t>
            </w:r>
            <w:r>
              <w:rPr>
                <w:color w:val="auto"/>
                <w:highlight w:val="none"/>
                <w:u w:val="none" w:color="auto"/>
              </w:rPr>
              <w:t>、噪声</w:t>
            </w:r>
          </w:p>
          <w:p w14:paraId="2776BF24">
            <w:pPr>
              <w:spacing w:line="360" w:lineRule="auto"/>
              <w:ind w:firstLine="480" w:firstLineChars="200"/>
              <w:rPr>
                <w:rFonts w:hint="default" w:ascii="Times New Roman" w:hAnsi="Times New Roman" w:eastAsia="宋体" w:cs="Times New Roman"/>
                <w:color w:val="auto"/>
                <w:sz w:val="24"/>
                <w:highlight w:val="none"/>
                <w:u w:val="none" w:color="auto"/>
                <w:lang w:eastAsia="zh-CN"/>
              </w:rPr>
            </w:pPr>
            <w:r>
              <w:rPr>
                <w:rFonts w:hint="eastAsia" w:ascii="Times New Roman" w:hAnsi="宋体" w:eastAsia="宋体" w:cs="Times New Roman"/>
                <w:color w:val="auto"/>
                <w:sz w:val="24"/>
                <w:highlight w:val="none"/>
                <w:u w:val="single" w:color="auto"/>
                <w:lang w:eastAsia="zh-CN"/>
              </w:rPr>
              <w:t>本项目根据《声环境质量标准》（GB3096-2008）7.2（d）可知“村庄原则上执行</w:t>
            </w:r>
            <w:r>
              <w:rPr>
                <w:rFonts w:hint="eastAsia" w:ascii="Times New Roman" w:hAnsi="宋体" w:eastAsia="宋体" w:cs="Times New Roman"/>
                <w:color w:val="auto"/>
                <w:sz w:val="24"/>
                <w:highlight w:val="none"/>
                <w:u w:val="single" w:color="auto"/>
                <w:lang w:val="en-US" w:eastAsia="zh-CN"/>
              </w:rPr>
              <w:t>1</w:t>
            </w:r>
            <w:r>
              <w:rPr>
                <w:rFonts w:hint="eastAsia" w:ascii="Times New Roman" w:hAnsi="宋体" w:eastAsia="宋体" w:cs="Times New Roman"/>
                <w:color w:val="auto"/>
                <w:sz w:val="24"/>
                <w:highlight w:val="none"/>
                <w:u w:val="single" w:color="auto"/>
                <w:lang w:eastAsia="zh-CN"/>
              </w:rPr>
              <w:t>类声环境功能区要求，工业活动较多的村庄以及有交通干线经过的村庄（指执行</w:t>
            </w:r>
            <w:r>
              <w:rPr>
                <w:rFonts w:hint="eastAsia" w:ascii="Times New Roman" w:hAnsi="宋体" w:eastAsia="宋体" w:cs="Times New Roman"/>
                <w:color w:val="auto"/>
                <w:sz w:val="24"/>
                <w:highlight w:val="none"/>
                <w:u w:val="single" w:color="auto"/>
                <w:lang w:val="en-US" w:eastAsia="zh-CN"/>
              </w:rPr>
              <w:t>4</w:t>
            </w:r>
            <w:r>
              <w:rPr>
                <w:rFonts w:hint="eastAsia" w:ascii="Times New Roman" w:hAnsi="宋体" w:eastAsia="宋体" w:cs="Times New Roman"/>
                <w:color w:val="auto"/>
                <w:sz w:val="24"/>
                <w:highlight w:val="none"/>
                <w:u w:val="single" w:color="auto"/>
                <w:lang w:eastAsia="zh-CN"/>
              </w:rPr>
              <w:t>类声环境功能区要求以外的地区）可局部或全部执行</w:t>
            </w:r>
            <w:r>
              <w:rPr>
                <w:rFonts w:hint="eastAsia" w:ascii="Times New Roman" w:hAnsi="宋体" w:eastAsia="宋体" w:cs="Times New Roman"/>
                <w:color w:val="auto"/>
                <w:sz w:val="24"/>
                <w:highlight w:val="none"/>
                <w:u w:val="single" w:color="auto"/>
                <w:lang w:val="en-US" w:eastAsia="zh-CN"/>
              </w:rPr>
              <w:t>2</w:t>
            </w:r>
            <w:r>
              <w:rPr>
                <w:rFonts w:hint="eastAsia" w:ascii="Times New Roman" w:hAnsi="宋体" w:eastAsia="宋体" w:cs="Times New Roman"/>
                <w:color w:val="auto"/>
                <w:sz w:val="24"/>
                <w:highlight w:val="none"/>
                <w:u w:val="single" w:color="auto"/>
                <w:lang w:eastAsia="zh-CN"/>
              </w:rPr>
              <w:t>类声环境功能区要求”，因此本项目</w:t>
            </w:r>
            <w:r>
              <w:rPr>
                <w:rFonts w:hint="eastAsia" w:ascii="Times New Roman" w:hAnsi="宋体" w:eastAsia="宋体" w:cs="Times New Roman"/>
                <w:color w:val="auto"/>
                <w:sz w:val="24"/>
                <w:highlight w:val="none"/>
                <w:u w:val="none" w:color="auto"/>
                <w:lang w:eastAsia="zh-CN"/>
              </w:rPr>
              <w:t>运营期噪声排放执行《工业企业厂界环境噪声排放标准》（GB12348-2008</w:t>
            </w:r>
            <w:r>
              <w:rPr>
                <w:rFonts w:hint="default" w:ascii="Times New Roman" w:hAnsi="Times New Roman" w:eastAsia="宋体" w:cs="Times New Roman"/>
                <w:color w:val="auto"/>
                <w:sz w:val="24"/>
                <w:highlight w:val="none"/>
                <w:u w:val="none" w:color="auto"/>
                <w:lang w:eastAsia="zh-CN"/>
              </w:rPr>
              <w:t>）中2类区标准。</w:t>
            </w:r>
          </w:p>
          <w:p w14:paraId="3D86E809">
            <w:pPr>
              <w:adjustRightInd w:val="0"/>
              <w:snapToGrid w:val="0"/>
              <w:spacing w:line="360" w:lineRule="auto"/>
              <w:jc w:val="center"/>
              <w:rPr>
                <w:rFonts w:hint="default" w:ascii="Times New Roman" w:hAnsi="Times New Roman" w:eastAsia="宋体" w:cs="Times New Roman"/>
                <w:b/>
                <w:bCs/>
                <w:color w:val="auto"/>
                <w:spacing w:val="-2"/>
                <w:sz w:val="24"/>
                <w:highlight w:val="none"/>
                <w:u w:val="none" w:color="auto"/>
                <w:lang w:val="en-US" w:eastAsia="zh-CN"/>
              </w:rPr>
            </w:pPr>
            <w:r>
              <w:rPr>
                <w:rFonts w:hint="default" w:ascii="Times New Roman" w:hAnsi="Times New Roman" w:eastAsia="宋体" w:cs="Times New Roman"/>
                <w:b/>
                <w:bCs/>
                <w:color w:val="auto"/>
                <w:spacing w:val="-2"/>
                <w:sz w:val="24"/>
                <w:highlight w:val="none"/>
                <w:u w:val="none" w:color="auto"/>
                <w:lang w:val="en-US" w:eastAsia="zh-CN"/>
              </w:rPr>
              <w:t>表3-1</w:t>
            </w:r>
            <w:r>
              <w:rPr>
                <w:rFonts w:hint="eastAsia" w:cs="Times New Roman"/>
                <w:b/>
                <w:bCs/>
                <w:color w:val="auto"/>
                <w:spacing w:val="-2"/>
                <w:sz w:val="24"/>
                <w:highlight w:val="none"/>
                <w:u w:val="none" w:color="auto"/>
                <w:lang w:val="en-US" w:eastAsia="zh-CN"/>
              </w:rPr>
              <w:t>1</w:t>
            </w:r>
            <w:r>
              <w:rPr>
                <w:rFonts w:hint="default" w:ascii="Times New Roman" w:hAnsi="Times New Roman" w:eastAsia="宋体" w:cs="Times New Roman"/>
                <w:b/>
                <w:bCs/>
                <w:color w:val="auto"/>
                <w:spacing w:val="-2"/>
                <w:sz w:val="24"/>
                <w:highlight w:val="none"/>
                <w:u w:val="none" w:color="auto"/>
                <w:lang w:val="en-US" w:eastAsia="zh-CN"/>
              </w:rPr>
              <w:t xml:space="preserve">  噪声排放标准一览表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71"/>
              <w:gridCol w:w="1746"/>
              <w:gridCol w:w="2017"/>
              <w:gridCol w:w="3256"/>
            </w:tblGrid>
            <w:tr w14:paraId="2ED33B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494" w:type="pct"/>
                  <w:vMerge w:val="restart"/>
                  <w:noWrap w:val="0"/>
                  <w:vAlign w:val="center"/>
                </w:tcPr>
                <w:p w14:paraId="5C35E2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类别</w:t>
                  </w:r>
                </w:p>
              </w:tc>
              <w:tc>
                <w:tcPr>
                  <w:tcW w:w="2415" w:type="pct"/>
                  <w:gridSpan w:val="2"/>
                  <w:noWrap w:val="0"/>
                  <w:vAlign w:val="center"/>
                </w:tcPr>
                <w:p w14:paraId="61EE64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环境噪声标准值dB(A)</w:t>
                  </w:r>
                </w:p>
              </w:tc>
              <w:tc>
                <w:tcPr>
                  <w:tcW w:w="2089" w:type="pct"/>
                  <w:vMerge w:val="restart"/>
                  <w:noWrap w:val="0"/>
                  <w:vAlign w:val="center"/>
                </w:tcPr>
                <w:p w14:paraId="589063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标准来源</w:t>
                  </w:r>
                </w:p>
              </w:tc>
            </w:tr>
            <w:tr w14:paraId="45FBB7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7" w:hRule="atLeast"/>
                <w:jc w:val="center"/>
              </w:trPr>
              <w:tc>
                <w:tcPr>
                  <w:tcW w:w="494" w:type="pct"/>
                  <w:vMerge w:val="continue"/>
                  <w:noWrap w:val="0"/>
                  <w:vAlign w:val="center"/>
                </w:tcPr>
                <w:p w14:paraId="3086B7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p>
              </w:tc>
              <w:tc>
                <w:tcPr>
                  <w:tcW w:w="1120" w:type="pct"/>
                  <w:noWrap w:val="0"/>
                  <w:vAlign w:val="center"/>
                </w:tcPr>
                <w:p w14:paraId="479AD3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昼间</w:t>
                  </w:r>
                </w:p>
              </w:tc>
              <w:tc>
                <w:tcPr>
                  <w:tcW w:w="1294" w:type="pct"/>
                  <w:noWrap w:val="0"/>
                  <w:vAlign w:val="center"/>
                </w:tcPr>
                <w:p w14:paraId="4FAF06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夜间</w:t>
                  </w:r>
                </w:p>
              </w:tc>
              <w:tc>
                <w:tcPr>
                  <w:tcW w:w="2089" w:type="pct"/>
                  <w:vMerge w:val="continue"/>
                  <w:noWrap w:val="0"/>
                  <w:vAlign w:val="center"/>
                </w:tcPr>
                <w:p w14:paraId="5DED64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p>
              </w:tc>
            </w:tr>
            <w:tr w14:paraId="71C5E6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2" w:hRule="atLeast"/>
                <w:jc w:val="center"/>
              </w:trPr>
              <w:tc>
                <w:tcPr>
                  <w:tcW w:w="494" w:type="pct"/>
                  <w:noWrap w:val="0"/>
                  <w:vAlign w:val="center"/>
                </w:tcPr>
                <w:p w14:paraId="008D8B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2类</w:t>
                  </w:r>
                </w:p>
              </w:tc>
              <w:tc>
                <w:tcPr>
                  <w:tcW w:w="1120" w:type="pct"/>
                  <w:noWrap w:val="0"/>
                  <w:vAlign w:val="center"/>
                </w:tcPr>
                <w:p w14:paraId="20A7B6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60</w:t>
                  </w:r>
                </w:p>
              </w:tc>
              <w:tc>
                <w:tcPr>
                  <w:tcW w:w="1294" w:type="pct"/>
                  <w:noWrap w:val="0"/>
                  <w:vAlign w:val="center"/>
                </w:tcPr>
                <w:p w14:paraId="23A878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50</w:t>
                  </w:r>
                </w:p>
              </w:tc>
              <w:tc>
                <w:tcPr>
                  <w:tcW w:w="2089" w:type="pct"/>
                  <w:noWrap w:val="0"/>
                  <w:vAlign w:val="center"/>
                </w:tcPr>
                <w:p w14:paraId="4E6F25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8"/>
                      <w:u w:val="none" w:color="auto"/>
                      <w:lang w:val="en-US" w:eastAsia="zh-CN" w:bidi="ar-SA"/>
                    </w:rPr>
                  </w:pPr>
                  <w:r>
                    <w:rPr>
                      <w:rFonts w:hint="default" w:ascii="Times New Roman" w:hAnsi="Times New Roman" w:eastAsia="宋体" w:cs="Times New Roman"/>
                      <w:color w:val="auto"/>
                      <w:kern w:val="2"/>
                      <w:sz w:val="21"/>
                      <w:szCs w:val="28"/>
                      <w:u w:val="none" w:color="auto"/>
                      <w:lang w:val="en-US" w:eastAsia="zh-CN" w:bidi="ar-SA"/>
                    </w:rPr>
                    <w:t>《工业企业厂界环境噪声排放标准》（GB12348-2008）</w:t>
                  </w:r>
                </w:p>
              </w:tc>
            </w:tr>
          </w:tbl>
          <w:p w14:paraId="38789E72">
            <w:pPr>
              <w:adjustRightInd w:val="0"/>
              <w:snapToGrid w:val="0"/>
              <w:spacing w:line="360" w:lineRule="auto"/>
              <w:jc w:val="center"/>
              <w:rPr>
                <w:rFonts w:hint="default" w:ascii="Times New Roman" w:hAnsi="Times New Roman" w:eastAsia="宋体" w:cs="Times New Roman"/>
                <w:b/>
                <w:bCs/>
                <w:color w:val="auto"/>
                <w:spacing w:val="-2"/>
                <w:sz w:val="24"/>
                <w:highlight w:val="none"/>
                <w:u w:val="none" w:color="auto"/>
                <w:lang w:val="en-US" w:eastAsia="zh-CN"/>
              </w:rPr>
            </w:pPr>
          </w:p>
          <w:p w14:paraId="22A5E8CE">
            <w:pPr>
              <w:adjustRightInd w:val="0"/>
              <w:snapToGrid w:val="0"/>
              <w:spacing w:before="93" w:beforeLines="30" w:line="360" w:lineRule="auto"/>
              <w:ind w:firstLine="482" w:firstLineChars="200"/>
              <w:rPr>
                <w:b/>
                <w:bCs/>
                <w:color w:val="auto"/>
                <w:sz w:val="24"/>
                <w:highlight w:val="none"/>
                <w:u w:val="none" w:color="auto"/>
              </w:rPr>
            </w:pPr>
            <w:r>
              <w:rPr>
                <w:rFonts w:hint="eastAsia"/>
                <w:b/>
                <w:bCs/>
                <w:color w:val="auto"/>
                <w:sz w:val="24"/>
                <w:highlight w:val="none"/>
                <w:u w:val="none" w:color="auto"/>
              </w:rPr>
              <w:t>3、</w:t>
            </w:r>
            <w:r>
              <w:rPr>
                <w:b/>
                <w:bCs/>
                <w:color w:val="auto"/>
                <w:sz w:val="24"/>
                <w:highlight w:val="none"/>
                <w:u w:val="none" w:color="auto"/>
              </w:rPr>
              <w:t>固体废物</w:t>
            </w:r>
          </w:p>
          <w:p w14:paraId="31C09AB3">
            <w:pPr>
              <w:adjustRightInd w:val="0"/>
              <w:snapToGrid w:val="0"/>
              <w:spacing w:line="360" w:lineRule="auto"/>
              <w:ind w:firstLine="480" w:firstLineChars="200"/>
              <w:rPr>
                <w:rFonts w:hint="eastAsia"/>
                <w:color w:val="auto"/>
                <w:sz w:val="24"/>
                <w:highlight w:val="none"/>
                <w:u w:val="none" w:color="auto"/>
              </w:rPr>
            </w:pPr>
            <w:r>
              <w:rPr>
                <w:rFonts w:hint="eastAsia"/>
                <w:color w:val="auto"/>
                <w:sz w:val="24"/>
                <w:highlight w:val="none"/>
                <w:u w:val="none" w:color="auto"/>
              </w:rPr>
              <w:t>本项目产生的固体废物贮存、利用、处置执行《中华人民共和国固体废物污染环境防治法》。一般固体废物执行</w:t>
            </w:r>
            <w:r>
              <w:rPr>
                <w:color w:val="auto"/>
                <w:sz w:val="24"/>
                <w:highlight w:val="none"/>
                <w:u w:val="none" w:color="auto"/>
              </w:rPr>
              <w:t>《一般工业固体废物贮存和填埋污染控制</w:t>
            </w:r>
            <w:r>
              <w:rPr>
                <w:rFonts w:hint="eastAsia"/>
                <w:color w:val="auto"/>
                <w:sz w:val="24"/>
                <w:highlight w:val="none"/>
                <w:u w:val="none" w:color="auto"/>
              </w:rPr>
              <w:t>标准</w:t>
            </w:r>
            <w:r>
              <w:rPr>
                <w:color w:val="auto"/>
                <w:sz w:val="24"/>
                <w:highlight w:val="none"/>
                <w:u w:val="none" w:color="auto"/>
              </w:rPr>
              <w:t>》（GB18599-2020）</w:t>
            </w:r>
            <w:r>
              <w:rPr>
                <w:rFonts w:hint="eastAsia"/>
                <w:color w:val="auto"/>
                <w:sz w:val="24"/>
                <w:highlight w:val="none"/>
                <w:u w:val="none" w:color="auto"/>
              </w:rPr>
              <w:t>、《一般固体废物分类与代码》（GB/T 39198-2020）</w:t>
            </w:r>
            <w:r>
              <w:rPr>
                <w:rFonts w:hint="eastAsia"/>
                <w:color w:val="auto"/>
                <w:sz w:val="24"/>
                <w:highlight w:val="none"/>
                <w:u w:val="none" w:color="auto"/>
                <w:lang w:eastAsia="zh-CN"/>
              </w:rPr>
              <w:t>、</w:t>
            </w:r>
            <w:r>
              <w:rPr>
                <w:rFonts w:hint="eastAsia"/>
                <w:color w:val="auto"/>
                <w:sz w:val="24"/>
                <w:highlight w:val="none"/>
                <w:u w:val="none" w:color="auto"/>
              </w:rPr>
              <w:t>《固体废物分类与代码目录》（生态环境部办公厅2024年1月22日印发）。</w:t>
            </w:r>
          </w:p>
          <w:p w14:paraId="32E79639">
            <w:pPr>
              <w:adjustRightInd w:val="0"/>
              <w:snapToGrid w:val="0"/>
              <w:spacing w:line="360" w:lineRule="auto"/>
              <w:ind w:firstLine="480" w:firstLineChars="200"/>
              <w:rPr>
                <w:rFonts w:hint="eastAsia"/>
                <w:color w:val="auto"/>
                <w:sz w:val="24"/>
                <w:highlight w:val="none"/>
                <w:u w:val="none" w:color="auto"/>
              </w:rPr>
            </w:pPr>
          </w:p>
        </w:tc>
      </w:tr>
      <w:tr w14:paraId="26E607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77" w:hRule="atLeast"/>
          <w:jc w:val="center"/>
        </w:trPr>
        <w:tc>
          <w:tcPr>
            <w:tcW w:w="1055" w:type="dxa"/>
            <w:vAlign w:val="center"/>
          </w:tcPr>
          <w:p w14:paraId="39C7D300">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总量</w:t>
            </w:r>
          </w:p>
          <w:p w14:paraId="5C5AB496">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控制</w:t>
            </w:r>
          </w:p>
          <w:p w14:paraId="7D546EB6">
            <w:pPr>
              <w:adjustRightInd w:val="0"/>
              <w:snapToGrid w:val="0"/>
              <w:jc w:val="center"/>
              <w:rPr>
                <w:rFonts w:ascii="宋体" w:hAnsi="宋体" w:cs="宋体"/>
                <w:color w:val="auto"/>
                <w:kern w:val="0"/>
                <w:szCs w:val="21"/>
                <w:highlight w:val="none"/>
                <w:u w:val="none" w:color="auto"/>
              </w:rPr>
            </w:pPr>
            <w:r>
              <w:rPr>
                <w:rFonts w:hint="eastAsia" w:ascii="宋体" w:hAnsi="宋体" w:cs="宋体"/>
                <w:color w:val="auto"/>
                <w:kern w:val="0"/>
                <w:szCs w:val="21"/>
                <w:highlight w:val="none"/>
                <w:u w:val="none" w:color="auto"/>
              </w:rPr>
              <w:t>指标</w:t>
            </w:r>
          </w:p>
        </w:tc>
        <w:tc>
          <w:tcPr>
            <w:tcW w:w="8006" w:type="dxa"/>
            <w:vAlign w:val="center"/>
          </w:tcPr>
          <w:p w14:paraId="70C283BF">
            <w:pPr>
              <w:pStyle w:val="15"/>
              <w:spacing w:line="360" w:lineRule="auto"/>
              <w:ind w:left="0" w:leftChars="0" w:firstLine="499" w:firstLineChars="208"/>
              <w:rPr>
                <w:rFonts w:hint="eastAsia"/>
                <w:color w:val="auto"/>
                <w:position w:val="15"/>
                <w:sz w:val="24"/>
                <w:highlight w:val="none"/>
                <w:u w:val="none" w:color="auto"/>
              </w:rPr>
            </w:pPr>
            <w:r>
              <w:rPr>
                <w:rFonts w:hint="eastAsia" w:ascii="Times New Roman" w:hAnsi="Times New Roman" w:eastAsia="宋体" w:cs="Times New Roman"/>
                <w:color w:val="auto"/>
                <w:spacing w:val="0"/>
                <w:kern w:val="21"/>
                <w:sz w:val="24"/>
                <w:szCs w:val="24"/>
                <w:highlight w:val="none"/>
                <w:u w:val="none" w:color="auto"/>
                <w:lang w:val="en-US" w:eastAsia="zh-CN" w:bidi="ar-SA"/>
              </w:rPr>
              <w:t>按照吉林省生态环境厅《关于进一步明确建设项目主要污染物排放总量审核有关事宜的复函》的要求，实施总量审核管理的主要污染物包括：大气主要污染物是指挥发性有机物（VOCs）、氮氧化物（NOx）、二氧化硫（SO</w:t>
            </w:r>
            <w:r>
              <w:rPr>
                <w:rFonts w:hint="eastAsia" w:ascii="Times New Roman" w:hAnsi="Times New Roman" w:eastAsia="宋体" w:cs="Times New Roman"/>
                <w:color w:val="auto"/>
                <w:spacing w:val="0"/>
                <w:kern w:val="21"/>
                <w:sz w:val="24"/>
                <w:szCs w:val="24"/>
                <w:highlight w:val="none"/>
                <w:u w:val="none" w:color="auto"/>
                <w:vertAlign w:val="subscript"/>
                <w:lang w:val="en-US" w:eastAsia="zh-CN" w:bidi="ar-SA"/>
              </w:rPr>
              <w:t>2</w:t>
            </w:r>
            <w:r>
              <w:rPr>
                <w:rFonts w:hint="eastAsia" w:ascii="Times New Roman" w:hAnsi="Times New Roman" w:eastAsia="宋体" w:cs="Times New Roman"/>
                <w:color w:val="auto"/>
                <w:spacing w:val="0"/>
                <w:kern w:val="21"/>
                <w:sz w:val="24"/>
                <w:szCs w:val="24"/>
                <w:highlight w:val="none"/>
                <w:u w:val="none" w:color="auto"/>
                <w:lang w:val="en-US" w:eastAsia="zh-CN" w:bidi="ar-SA"/>
              </w:rPr>
              <w:t>）、烟尘，水主要污染物是指化学需氧量（COD）、氨氮（NH</w:t>
            </w:r>
            <w:r>
              <w:rPr>
                <w:rFonts w:hint="eastAsia" w:ascii="Times New Roman" w:hAnsi="Times New Roman" w:eastAsia="宋体" w:cs="Times New Roman"/>
                <w:color w:val="auto"/>
                <w:spacing w:val="0"/>
                <w:kern w:val="21"/>
                <w:sz w:val="24"/>
                <w:szCs w:val="24"/>
                <w:highlight w:val="none"/>
                <w:u w:val="none" w:color="auto"/>
                <w:vertAlign w:val="subscript"/>
                <w:lang w:val="en-US" w:eastAsia="zh-CN" w:bidi="ar-SA"/>
              </w:rPr>
              <w:t>3</w:t>
            </w:r>
            <w:r>
              <w:rPr>
                <w:rFonts w:hint="eastAsia" w:ascii="Times New Roman" w:hAnsi="Times New Roman" w:eastAsia="宋体" w:cs="Times New Roman"/>
                <w:color w:val="auto"/>
                <w:spacing w:val="0"/>
                <w:kern w:val="21"/>
                <w:sz w:val="24"/>
                <w:szCs w:val="24"/>
                <w:highlight w:val="none"/>
                <w:u w:val="none" w:color="auto"/>
                <w:lang w:val="en-US" w:eastAsia="zh-CN" w:bidi="ar-SA"/>
              </w:rPr>
              <w:t>-N）。本项目无废水外排，涉及的总量指标为氮氧化物（NOx</w:t>
            </w:r>
            <w:r>
              <w:rPr>
                <w:rFonts w:hint="eastAsia" w:cs="Times New Roman"/>
                <w:color w:val="auto"/>
                <w:spacing w:val="0"/>
                <w:kern w:val="21"/>
                <w:sz w:val="24"/>
                <w:szCs w:val="24"/>
                <w:highlight w:val="none"/>
                <w:u w:val="none" w:color="auto"/>
                <w:lang w:val="en-US" w:eastAsia="zh-CN" w:bidi="ar-SA"/>
              </w:rPr>
              <w:t>）</w:t>
            </w:r>
            <w:r>
              <w:rPr>
                <w:rFonts w:hint="eastAsia" w:ascii="Times New Roman" w:hAnsi="Times New Roman" w:eastAsia="宋体" w:cs="Times New Roman"/>
                <w:color w:val="auto"/>
                <w:spacing w:val="0"/>
                <w:kern w:val="21"/>
                <w:sz w:val="24"/>
                <w:szCs w:val="24"/>
                <w:highlight w:val="none"/>
                <w:u w:val="none" w:color="auto"/>
                <w:lang w:val="en-US" w:eastAsia="zh-CN" w:bidi="ar-SA"/>
              </w:rPr>
              <w:t>、二氧化硫（SO</w:t>
            </w:r>
            <w:r>
              <w:rPr>
                <w:rFonts w:hint="eastAsia" w:ascii="Times New Roman" w:hAnsi="Times New Roman" w:eastAsia="宋体" w:cs="Times New Roman"/>
                <w:color w:val="auto"/>
                <w:spacing w:val="0"/>
                <w:kern w:val="21"/>
                <w:sz w:val="24"/>
                <w:szCs w:val="24"/>
                <w:highlight w:val="none"/>
                <w:u w:val="none" w:color="auto"/>
                <w:vertAlign w:val="subscript"/>
                <w:lang w:val="en-US" w:eastAsia="zh-CN" w:bidi="ar-SA"/>
              </w:rPr>
              <w:t>2</w:t>
            </w:r>
            <w:r>
              <w:rPr>
                <w:rFonts w:hint="eastAsia" w:cs="Times New Roman"/>
                <w:color w:val="auto"/>
                <w:spacing w:val="0"/>
                <w:kern w:val="21"/>
                <w:sz w:val="24"/>
                <w:szCs w:val="24"/>
                <w:highlight w:val="none"/>
                <w:u w:val="none" w:color="auto"/>
                <w:lang w:val="en-US" w:eastAsia="zh-CN" w:bidi="ar-SA"/>
              </w:rPr>
              <w:t>）</w:t>
            </w:r>
            <w:r>
              <w:rPr>
                <w:rFonts w:hint="eastAsia" w:ascii="Times New Roman" w:hAnsi="Times New Roman" w:eastAsia="宋体" w:cs="Times New Roman"/>
                <w:color w:val="auto"/>
                <w:spacing w:val="0"/>
                <w:kern w:val="21"/>
                <w:sz w:val="24"/>
                <w:szCs w:val="24"/>
                <w:highlight w:val="none"/>
                <w:u w:val="none" w:color="auto"/>
                <w:lang w:val="en-US" w:eastAsia="zh-CN" w:bidi="ar-SA"/>
              </w:rPr>
              <w:t>、烟尘。</w:t>
            </w:r>
          </w:p>
          <w:p w14:paraId="32E5BFDA">
            <w:pPr>
              <w:pStyle w:val="15"/>
              <w:spacing w:line="360" w:lineRule="auto"/>
              <w:ind w:left="0" w:leftChars="0" w:firstLine="499" w:firstLineChars="208"/>
              <w:rPr>
                <w:rFonts w:hint="eastAsia" w:ascii="Times New Roman" w:hAnsi="Times New Roman" w:cs="Times New Roman"/>
                <w:color w:val="auto"/>
                <w:position w:val="15"/>
                <w:sz w:val="24"/>
                <w:highlight w:val="none"/>
                <w:u w:val="none" w:color="auto"/>
                <w:lang w:val="en-US" w:eastAsia="zh-CN"/>
              </w:rPr>
            </w:pPr>
            <w:r>
              <w:rPr>
                <w:rFonts w:hint="eastAsia"/>
                <w:color w:val="auto"/>
                <w:position w:val="15"/>
                <w:sz w:val="24"/>
                <w:highlight w:val="none"/>
                <w:u w:val="none" w:color="auto"/>
              </w:rPr>
              <w:t>本项目不属于执行重点行业排放管理的建设项目</w:t>
            </w:r>
            <w:r>
              <w:rPr>
                <w:rFonts w:hint="eastAsia"/>
                <w:color w:val="auto"/>
                <w:position w:val="15"/>
                <w:sz w:val="24"/>
                <w:highlight w:val="none"/>
                <w:u w:val="none" w:color="auto"/>
                <w:lang w:eastAsia="zh-CN"/>
              </w:rPr>
              <w:t>。</w:t>
            </w:r>
            <w:r>
              <w:rPr>
                <w:rFonts w:hint="eastAsia" w:ascii="Times New Roman" w:hAnsi="Times New Roman" w:cs="Times New Roman"/>
                <w:color w:val="auto"/>
                <w:position w:val="15"/>
                <w:sz w:val="24"/>
                <w:highlight w:val="none"/>
                <w:u w:val="none" w:color="auto"/>
                <w:lang w:val="en-US" w:eastAsia="zh-CN"/>
              </w:rPr>
              <w:t>本项目属于《吉林省生态环境厅关于进一步明确建设项目主要污染物排放总量审核有关事宜的复函》中“执行一般行业排放管理的建设项目”，无需编制削减替代方案和提供减量替代污染源。</w:t>
            </w:r>
            <w:r>
              <w:rPr>
                <w:rFonts w:hint="eastAsia" w:cs="Times New Roman"/>
                <w:color w:val="auto"/>
                <w:position w:val="15"/>
                <w:sz w:val="24"/>
                <w:highlight w:val="none"/>
                <w:u w:val="none" w:color="auto"/>
                <w:lang w:val="en-US" w:eastAsia="zh-CN"/>
              </w:rPr>
              <w:t>本</w:t>
            </w:r>
            <w:r>
              <w:rPr>
                <w:rFonts w:hint="eastAsia" w:ascii="Times New Roman" w:hAnsi="Times New Roman" w:cs="Times New Roman"/>
                <w:color w:val="auto"/>
                <w:position w:val="15"/>
                <w:sz w:val="24"/>
                <w:highlight w:val="none"/>
                <w:u w:val="none" w:color="auto"/>
                <w:lang w:val="en-US" w:eastAsia="zh-CN"/>
              </w:rPr>
              <w:t>项目无需申请总量，仅对新增</w:t>
            </w:r>
            <w:r>
              <w:rPr>
                <w:rFonts w:hint="eastAsia" w:cs="Times New Roman"/>
                <w:color w:val="auto"/>
                <w:position w:val="15"/>
                <w:sz w:val="24"/>
                <w:highlight w:val="none"/>
                <w:u w:val="none" w:color="auto"/>
                <w:lang w:val="en-US" w:eastAsia="zh-CN"/>
              </w:rPr>
              <w:t>污染物</w:t>
            </w:r>
            <w:r>
              <w:rPr>
                <w:rFonts w:hint="eastAsia" w:ascii="Times New Roman" w:hAnsi="Times New Roman" w:cs="Times New Roman"/>
                <w:color w:val="auto"/>
                <w:position w:val="15"/>
                <w:sz w:val="24"/>
                <w:highlight w:val="none"/>
                <w:u w:val="none" w:color="auto"/>
                <w:lang w:val="en-US" w:eastAsia="zh-CN"/>
              </w:rPr>
              <w:t>排放量进行</w:t>
            </w:r>
            <w:r>
              <w:rPr>
                <w:rFonts w:hint="eastAsia" w:cs="Times New Roman"/>
                <w:color w:val="auto"/>
                <w:position w:val="15"/>
                <w:sz w:val="24"/>
                <w:highlight w:val="none"/>
                <w:u w:val="none" w:color="auto"/>
                <w:lang w:val="en-US" w:eastAsia="zh-CN"/>
              </w:rPr>
              <w:t>核算</w:t>
            </w:r>
            <w:r>
              <w:rPr>
                <w:rFonts w:hint="eastAsia" w:ascii="Times New Roman" w:hAnsi="Times New Roman" w:cs="Times New Roman"/>
                <w:color w:val="auto"/>
                <w:position w:val="15"/>
                <w:sz w:val="24"/>
                <w:highlight w:val="none"/>
                <w:u w:val="none" w:color="auto"/>
                <w:lang w:val="en-US" w:eastAsia="zh-CN"/>
              </w:rPr>
              <w:t>。</w:t>
            </w:r>
          </w:p>
          <w:p w14:paraId="02DD0E73">
            <w:pPr>
              <w:pStyle w:val="15"/>
              <w:spacing w:line="360" w:lineRule="auto"/>
              <w:ind w:left="0" w:leftChars="0" w:firstLine="499" w:firstLineChars="208"/>
              <w:rPr>
                <w:rFonts w:hint="default" w:ascii="Times New Roman" w:hAnsi="Times New Roman" w:eastAsia="宋体" w:cs="Times New Roman"/>
                <w:color w:val="auto"/>
                <w:kern w:val="2"/>
                <w:position w:val="15"/>
                <w:sz w:val="24"/>
                <w:szCs w:val="24"/>
                <w:highlight w:val="none"/>
                <w:u w:val="single" w:color="auto"/>
                <w:lang w:val="en-US" w:eastAsia="zh-CN" w:bidi="ar-SA"/>
              </w:rPr>
            </w:pPr>
            <w:r>
              <w:rPr>
                <w:rFonts w:hint="default" w:ascii="Times New Roman" w:hAnsi="Times New Roman" w:eastAsia="宋体" w:cs="Times New Roman"/>
                <w:color w:val="auto"/>
                <w:kern w:val="2"/>
                <w:position w:val="15"/>
                <w:sz w:val="24"/>
                <w:szCs w:val="24"/>
                <w:highlight w:val="none"/>
                <w:u w:val="single" w:color="auto"/>
                <w:lang w:val="en-US" w:eastAsia="zh-CN" w:bidi="ar-SA"/>
              </w:rPr>
              <w:t>废气</w:t>
            </w:r>
            <w:r>
              <w:rPr>
                <w:rFonts w:hint="eastAsia" w:cs="Times New Roman"/>
                <w:color w:val="auto"/>
                <w:kern w:val="2"/>
                <w:position w:val="15"/>
                <w:sz w:val="24"/>
                <w:szCs w:val="24"/>
                <w:highlight w:val="none"/>
                <w:u w:val="single" w:color="auto"/>
                <w:lang w:val="en-US" w:eastAsia="zh-CN" w:bidi="ar-SA"/>
              </w:rPr>
              <w:t>污染物</w:t>
            </w:r>
            <w:r>
              <w:rPr>
                <w:rFonts w:hint="default" w:ascii="Times New Roman" w:hAnsi="Times New Roman" w:eastAsia="宋体" w:cs="Times New Roman"/>
                <w:color w:val="auto"/>
                <w:kern w:val="2"/>
                <w:position w:val="15"/>
                <w:sz w:val="24"/>
                <w:szCs w:val="24"/>
                <w:highlight w:val="none"/>
                <w:u w:val="single" w:color="auto"/>
                <w:lang w:val="en-US" w:eastAsia="zh-CN" w:bidi="ar-SA"/>
              </w:rPr>
              <w:t>总量：</w:t>
            </w:r>
            <w:r>
              <w:rPr>
                <w:rFonts w:hint="default" w:ascii="Times New Roman" w:hAnsi="Times New Roman" w:cs="Times New Roman"/>
                <w:color w:val="auto"/>
                <w:position w:val="15"/>
                <w:sz w:val="24"/>
                <w:highlight w:val="none"/>
                <w:u w:val="single" w:color="auto"/>
                <w:lang w:val="en-US" w:eastAsia="zh-CN"/>
              </w:rPr>
              <w:t>颗粒物</w:t>
            </w:r>
            <w:r>
              <w:rPr>
                <w:rFonts w:hint="eastAsia" w:cs="Times New Roman"/>
                <w:color w:val="auto"/>
                <w:kern w:val="2"/>
                <w:position w:val="15"/>
                <w:sz w:val="24"/>
                <w:szCs w:val="24"/>
                <w:highlight w:val="none"/>
                <w:u w:val="single" w:color="auto"/>
                <w:lang w:val="en-US" w:eastAsia="zh-CN" w:bidi="ar-SA"/>
              </w:rPr>
              <w:t>1.144</w:t>
            </w:r>
            <w:r>
              <w:rPr>
                <w:rFonts w:hint="default" w:ascii="Times New Roman" w:hAnsi="Times New Roman" w:eastAsia="宋体" w:cs="Times New Roman"/>
                <w:color w:val="auto"/>
                <w:kern w:val="2"/>
                <w:position w:val="15"/>
                <w:sz w:val="24"/>
                <w:szCs w:val="24"/>
                <w:highlight w:val="none"/>
                <w:u w:val="single" w:color="auto"/>
                <w:lang w:val="en-US" w:eastAsia="zh-CN" w:bidi="ar-SA"/>
              </w:rPr>
              <w:t>t/a</w:t>
            </w:r>
            <w:r>
              <w:rPr>
                <w:rFonts w:hint="eastAsia" w:ascii="Times New Roman" w:hAnsi="Times New Roman" w:eastAsia="宋体" w:cs="Times New Roman"/>
                <w:color w:val="auto"/>
                <w:kern w:val="2"/>
                <w:position w:val="15"/>
                <w:sz w:val="24"/>
                <w:szCs w:val="24"/>
                <w:highlight w:val="none"/>
                <w:u w:val="single" w:color="auto"/>
                <w:lang w:val="en-US" w:eastAsia="zh-CN" w:bidi="ar-SA"/>
              </w:rPr>
              <w:t>；二氧化硫</w:t>
            </w:r>
            <w:r>
              <w:rPr>
                <w:rFonts w:hint="eastAsia" w:cs="Times New Roman"/>
                <w:color w:val="auto"/>
                <w:kern w:val="2"/>
                <w:position w:val="15"/>
                <w:sz w:val="24"/>
                <w:szCs w:val="24"/>
                <w:highlight w:val="none"/>
                <w:u w:val="single" w:color="auto"/>
                <w:lang w:val="en-US" w:eastAsia="zh-CN" w:bidi="ar-SA"/>
              </w:rPr>
              <w:t>0.2t</w:t>
            </w:r>
            <w:r>
              <w:rPr>
                <w:rFonts w:hint="eastAsia" w:ascii="Times New Roman" w:hAnsi="Times New Roman" w:eastAsia="宋体" w:cs="Times New Roman"/>
                <w:color w:val="auto"/>
                <w:kern w:val="2"/>
                <w:position w:val="15"/>
                <w:sz w:val="24"/>
                <w:szCs w:val="24"/>
                <w:highlight w:val="none"/>
                <w:u w:val="single" w:color="auto"/>
                <w:lang w:val="en-US" w:eastAsia="zh-CN" w:bidi="ar-SA"/>
              </w:rPr>
              <w:t>/a；氮氧化物</w:t>
            </w:r>
            <w:r>
              <w:rPr>
                <w:rFonts w:hint="eastAsia" w:cs="Times New Roman"/>
                <w:color w:val="auto"/>
                <w:kern w:val="2"/>
                <w:position w:val="15"/>
                <w:sz w:val="24"/>
                <w:szCs w:val="24"/>
                <w:highlight w:val="none"/>
                <w:u w:val="single" w:color="auto"/>
                <w:lang w:val="en-US" w:eastAsia="zh-CN" w:bidi="ar-SA"/>
              </w:rPr>
              <w:t>1.27</w:t>
            </w:r>
            <w:r>
              <w:rPr>
                <w:rFonts w:hint="eastAsia" w:ascii="Times New Roman" w:hAnsi="Times New Roman" w:eastAsia="宋体" w:cs="Times New Roman"/>
                <w:color w:val="auto"/>
                <w:kern w:val="2"/>
                <w:position w:val="15"/>
                <w:sz w:val="24"/>
                <w:szCs w:val="24"/>
                <w:highlight w:val="none"/>
                <w:u w:val="single" w:color="auto"/>
                <w:lang w:val="en-US" w:eastAsia="zh-CN" w:bidi="ar-SA"/>
              </w:rPr>
              <w:t>t/a。</w:t>
            </w:r>
          </w:p>
          <w:p w14:paraId="442475DA">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412618E8">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7ACEA357">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6D8345EC">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207B5DBC">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347EB769">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575CEF6E">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730E193C">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0B03A293">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412CC397">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44E67BA6">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326B42FC">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1431DE9D">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026DDD49">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2FD80A62">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3F72F9A4">
            <w:pPr>
              <w:adjustRightInd w:val="0"/>
              <w:snapToGrid w:val="0"/>
              <w:spacing w:line="360" w:lineRule="auto"/>
              <w:ind w:firstLine="480" w:firstLineChars="200"/>
              <w:rPr>
                <w:rFonts w:hint="eastAsia" w:ascii="Times New Roman" w:hAnsi="Times New Roman" w:cs="Times New Roman"/>
                <w:color w:val="auto"/>
                <w:sz w:val="24"/>
                <w:highlight w:val="none"/>
                <w:u w:val="none" w:color="auto"/>
              </w:rPr>
            </w:pPr>
          </w:p>
          <w:p w14:paraId="4DE65C3C">
            <w:pPr>
              <w:rPr>
                <w:color w:val="auto"/>
                <w:highlight w:val="none"/>
                <w:u w:val="none" w:color="auto"/>
              </w:rPr>
            </w:pPr>
          </w:p>
        </w:tc>
      </w:tr>
    </w:tbl>
    <w:p w14:paraId="7934F8DF">
      <w:pPr>
        <w:pStyle w:val="24"/>
        <w:jc w:val="center"/>
        <w:outlineLvl w:val="0"/>
        <w:rPr>
          <w:rFonts w:ascii="黑体" w:hAnsi="黑体" w:eastAsia="黑体"/>
          <w:snapToGrid w:val="0"/>
          <w:color w:val="auto"/>
          <w:sz w:val="30"/>
          <w:szCs w:val="30"/>
          <w:highlight w:val="none"/>
          <w:u w:val="none" w:color="auto"/>
        </w:rPr>
      </w:pPr>
      <w:r>
        <w:rPr>
          <w:rFonts w:ascii="黑体" w:hAnsi="黑体" w:eastAsia="黑体"/>
          <w:snapToGrid w:val="0"/>
          <w:color w:val="auto"/>
          <w:sz w:val="36"/>
          <w:szCs w:val="36"/>
          <w:highlight w:val="none"/>
          <w:u w:val="none" w:color="auto"/>
        </w:rPr>
        <w:br w:type="page"/>
      </w:r>
      <w:r>
        <w:rPr>
          <w:rFonts w:hint="eastAsia" w:ascii="黑体" w:hAnsi="黑体" w:eastAsia="黑体"/>
          <w:snapToGrid w:val="0"/>
          <w:color w:val="auto"/>
          <w:sz w:val="30"/>
          <w:szCs w:val="30"/>
          <w:highlight w:val="none"/>
          <w:u w:val="none" w:color="auto"/>
        </w:rPr>
        <w:t>四、主要环境影响和保护措施</w:t>
      </w:r>
    </w:p>
    <w:tbl>
      <w:tblPr>
        <w:tblStyle w:val="28"/>
        <w:tblW w:w="91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8030"/>
        <w:gridCol w:w="62"/>
      </w:tblGrid>
      <w:tr w14:paraId="26C06F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2" w:type="dxa"/>
          <w:trHeight w:val="11862" w:hRule="atLeast"/>
          <w:jc w:val="center"/>
        </w:trPr>
        <w:tc>
          <w:tcPr>
            <w:tcW w:w="1013" w:type="dxa"/>
            <w:tcMar>
              <w:left w:w="28" w:type="dxa"/>
              <w:right w:w="28" w:type="dxa"/>
            </w:tcMar>
            <w:vAlign w:val="center"/>
          </w:tcPr>
          <w:p w14:paraId="02BD1F57">
            <w:pPr>
              <w:pStyle w:val="24"/>
              <w:adjustRightInd w:val="0"/>
              <w:snapToGrid w:val="0"/>
              <w:spacing w:before="0" w:beforeAutospacing="0" w:after="0" w:afterAutospacing="0"/>
              <w:jc w:val="center"/>
              <w:rPr>
                <w:rFonts w:hint="default" w:ascii="Times New Roman" w:hAnsi="Times New Roman" w:cs="Times New Roman"/>
                <w:bCs/>
                <w:color w:val="auto"/>
                <w:kern w:val="2"/>
                <w:sz w:val="21"/>
                <w:szCs w:val="21"/>
                <w:highlight w:val="none"/>
                <w:u w:val="none" w:color="auto"/>
              </w:rPr>
            </w:pPr>
            <w:r>
              <w:rPr>
                <w:rFonts w:hint="default" w:ascii="Times New Roman" w:hAnsi="Times New Roman" w:cs="Times New Roman"/>
                <w:color w:val="auto"/>
                <w:kern w:val="2"/>
                <w:sz w:val="21"/>
                <w:szCs w:val="21"/>
                <w:highlight w:val="none"/>
                <w:u w:val="none" w:color="auto"/>
              </w:rPr>
              <w:t>施工期环境保护措施</w:t>
            </w:r>
          </w:p>
        </w:tc>
        <w:tc>
          <w:tcPr>
            <w:tcW w:w="8030" w:type="dxa"/>
            <w:vAlign w:val="center"/>
          </w:tcPr>
          <w:p w14:paraId="4299F485">
            <w:pPr>
              <w:adjustRightInd w:val="0"/>
              <w:snapToGrid w:val="0"/>
              <w:spacing w:line="360" w:lineRule="auto"/>
              <w:ind w:firstLine="480" w:firstLineChars="200"/>
              <w:rPr>
                <w:rFonts w:hint="default" w:ascii="Times New Roman" w:hAnsi="Times New Roman" w:cs="Times New Roman"/>
                <w:color w:val="auto"/>
                <w:position w:val="15"/>
                <w:sz w:val="24"/>
                <w:highlight w:val="none"/>
                <w:u w:val="single" w:color="auto"/>
              </w:rPr>
            </w:pPr>
            <w:r>
              <w:rPr>
                <w:rFonts w:hint="eastAsia" w:cs="Times New Roman"/>
                <w:color w:val="auto"/>
                <w:position w:val="15"/>
                <w:sz w:val="24"/>
                <w:highlight w:val="none"/>
                <w:u w:val="single" w:color="auto"/>
                <w:lang w:val="en-US" w:eastAsia="zh-CN"/>
              </w:rPr>
              <w:t>项目现状已建成烘干塔、热风炉、除尘器、烟囱、干粮仓和湿粮仓等，后续未建成部分施工期包括建设热风炉房和圆筒筛密闭罩，为防止项目建设对环境造成明显影响，建设单位对施工期污染物采取了一系列的污染防治措施，现就已建成工程施工期污染防治措施进行回顾性分析，后续建设工程施工期环境影响和措施与已建工程保持一致。</w:t>
            </w:r>
          </w:p>
          <w:p w14:paraId="28C09F10">
            <w:pPr>
              <w:adjustRightInd w:val="0"/>
              <w:snapToGrid w:val="0"/>
              <w:spacing w:line="360" w:lineRule="auto"/>
              <w:ind w:firstLine="482" w:firstLineChars="200"/>
              <w:rPr>
                <w:rFonts w:hint="eastAsia" w:ascii="Times New Roman" w:hAnsi="Times New Roman" w:eastAsia="宋体" w:cs="Times New Roman"/>
                <w:b/>
                <w:bCs/>
                <w:color w:val="auto"/>
                <w:position w:val="15"/>
                <w:sz w:val="24"/>
                <w:highlight w:val="none"/>
                <w:u w:val="single" w:color="auto"/>
                <w:lang w:val="en-US" w:eastAsia="zh-CN"/>
              </w:rPr>
            </w:pPr>
            <w:r>
              <w:rPr>
                <w:rFonts w:hint="eastAsia" w:cs="Times New Roman"/>
                <w:b/>
                <w:bCs/>
                <w:color w:val="auto"/>
                <w:position w:val="15"/>
                <w:sz w:val="24"/>
                <w:highlight w:val="none"/>
                <w:u w:val="single" w:color="auto"/>
                <w:lang w:val="en-US" w:eastAsia="zh-CN"/>
              </w:rPr>
              <w:t>4.1</w:t>
            </w:r>
            <w:r>
              <w:rPr>
                <w:rFonts w:hint="default" w:ascii="Times New Roman" w:hAnsi="Times New Roman" w:cs="Times New Roman"/>
                <w:b/>
                <w:bCs/>
                <w:color w:val="auto"/>
                <w:position w:val="15"/>
                <w:sz w:val="24"/>
                <w:highlight w:val="none"/>
                <w:u w:val="single" w:color="auto"/>
              </w:rPr>
              <w:t>施工</w:t>
            </w:r>
            <w:r>
              <w:rPr>
                <w:rFonts w:hint="eastAsia" w:cs="Times New Roman"/>
                <w:b/>
                <w:bCs/>
                <w:color w:val="auto"/>
                <w:position w:val="15"/>
                <w:sz w:val="24"/>
                <w:highlight w:val="none"/>
                <w:u w:val="single" w:color="auto"/>
                <w:lang w:val="en-US" w:eastAsia="zh-CN"/>
              </w:rPr>
              <w:t>期</w:t>
            </w:r>
            <w:r>
              <w:rPr>
                <w:rFonts w:hint="eastAsia" w:ascii="Times New Roman" w:hAnsi="Times New Roman" w:eastAsia="宋体" w:cs="Times New Roman"/>
                <w:b/>
                <w:bCs/>
                <w:color w:val="auto"/>
                <w:position w:val="15"/>
                <w:sz w:val="24"/>
                <w:highlight w:val="none"/>
                <w:u w:val="single" w:color="auto"/>
                <w:lang w:val="en-US" w:eastAsia="zh-CN"/>
              </w:rPr>
              <w:t>废气</w:t>
            </w:r>
          </w:p>
          <w:p w14:paraId="5575088B">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施工期废气包括土石方施工，建筑材料在运输、堆存过程产生的扬尘等</w:t>
            </w:r>
          </w:p>
          <w:p w14:paraId="2909BD58">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已采取如下污染防范措施：</w:t>
            </w:r>
          </w:p>
          <w:p w14:paraId="0FE88D0C">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（1）施工场地周围设置不低于2m的硬质围挡，建材堆放点相对集中，对粉尘性材料的运输、装卸和临时堆放，均采取遮盖、洒水和防风遮挡措施。</w:t>
            </w:r>
            <w:r>
              <w:rPr>
                <w:rFonts w:hint="default" w:ascii="Times New Roman" w:hAnsi="Times New Roman" w:cs="Times New Roman"/>
                <w:color w:val="auto"/>
                <w:position w:val="15"/>
                <w:sz w:val="24"/>
                <w:highlight w:val="none"/>
                <w:u w:val="single" w:color="auto"/>
              </w:rPr>
              <w:t>遇到易起尘的土方工程作业时，辅以洒水压尘，尽量缩短起尘操作时间。</w:t>
            </w:r>
          </w:p>
          <w:p w14:paraId="464B8D41">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（2）使用商品混凝土，运输车辆实行封闭运输，避免在运输过程中的抛撒。</w:t>
            </w:r>
            <w:r>
              <w:rPr>
                <w:rFonts w:hint="default" w:ascii="Times New Roman" w:hAnsi="Times New Roman" w:cs="Times New Roman"/>
                <w:color w:val="auto"/>
                <w:position w:val="15"/>
                <w:sz w:val="24"/>
                <w:highlight w:val="none"/>
                <w:u w:val="single" w:color="auto"/>
              </w:rPr>
              <w:t>尽量选用排气量较少车辆</w:t>
            </w:r>
            <w:r>
              <w:rPr>
                <w:rFonts w:hint="eastAsia" w:ascii="Times New Roman" w:hAnsi="Times New Roman" w:cs="Times New Roman"/>
                <w:color w:val="auto"/>
                <w:position w:val="15"/>
                <w:sz w:val="24"/>
                <w:highlight w:val="none"/>
                <w:u w:val="single" w:color="auto"/>
                <w:lang w:val="en-US" w:eastAsia="zh-CN"/>
              </w:rPr>
              <w:t>及施工设备</w:t>
            </w:r>
            <w:r>
              <w:rPr>
                <w:rFonts w:hint="default" w:ascii="Times New Roman" w:hAnsi="Times New Roman" w:cs="Times New Roman"/>
                <w:color w:val="auto"/>
                <w:position w:val="15"/>
                <w:sz w:val="24"/>
                <w:highlight w:val="none"/>
                <w:u w:val="single" w:color="auto"/>
              </w:rPr>
              <w:t>，减少尾气污染</w:t>
            </w:r>
          </w:p>
          <w:p w14:paraId="1A3D0BF8">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（3）采用的焊机配备焊接烟尘净化器，减少焊接烟尘排放。</w:t>
            </w:r>
          </w:p>
          <w:p w14:paraId="7E4DE264">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通过采取上述措施，施工期对大气环境的影响在可接受的范围内。</w:t>
            </w:r>
          </w:p>
          <w:p w14:paraId="1A3A7BE8">
            <w:pPr>
              <w:adjustRightInd w:val="0"/>
              <w:snapToGrid w:val="0"/>
              <w:spacing w:line="360" w:lineRule="auto"/>
              <w:ind w:firstLine="482" w:firstLineChars="200"/>
              <w:rPr>
                <w:rFonts w:hint="eastAsia" w:cs="Times New Roman"/>
                <w:b/>
                <w:bCs/>
                <w:color w:val="auto"/>
                <w:position w:val="15"/>
                <w:sz w:val="24"/>
                <w:highlight w:val="none"/>
                <w:u w:val="single" w:color="auto"/>
                <w:lang w:val="en-US" w:eastAsia="zh-CN"/>
              </w:rPr>
            </w:pPr>
            <w:r>
              <w:rPr>
                <w:rFonts w:hint="eastAsia" w:cs="Times New Roman"/>
                <w:b/>
                <w:bCs/>
                <w:color w:val="auto"/>
                <w:position w:val="15"/>
                <w:sz w:val="24"/>
                <w:highlight w:val="none"/>
                <w:u w:val="single" w:color="auto"/>
                <w:lang w:val="en-US" w:eastAsia="zh-CN"/>
              </w:rPr>
              <w:t>4.2施工期废水</w:t>
            </w:r>
          </w:p>
          <w:p w14:paraId="356CBF30">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single" w:color="auto"/>
                <w:lang w:val="en-US" w:eastAsia="zh-CN"/>
              </w:rPr>
            </w:pPr>
            <w:r>
              <w:rPr>
                <w:rFonts w:hint="eastAsia" w:ascii="Times New Roman" w:hAnsi="Times New Roman" w:eastAsia="宋体" w:cs="Times New Roman"/>
                <w:color w:val="auto"/>
                <w:position w:val="15"/>
                <w:sz w:val="24"/>
                <w:highlight w:val="none"/>
                <w:u w:val="single" w:color="auto"/>
                <w:lang w:val="en-US" w:eastAsia="zh-CN"/>
              </w:rPr>
              <w:t>施工期污水主要有施工人员生活污水。</w:t>
            </w:r>
            <w:r>
              <w:rPr>
                <w:rFonts w:hint="default" w:ascii="Times New Roman" w:hAnsi="Times New Roman" w:eastAsia="宋体" w:cs="Times New Roman"/>
                <w:color w:val="auto"/>
                <w:position w:val="15"/>
                <w:sz w:val="24"/>
                <w:highlight w:val="none"/>
                <w:u w:val="single" w:color="auto"/>
                <w:lang w:val="en-US" w:eastAsia="zh-CN"/>
              </w:rPr>
              <w:t>由于施工期较短，施工过程中施工机械和车辆不在施工现场清洗，不产生</w:t>
            </w:r>
            <w:r>
              <w:rPr>
                <w:rFonts w:hint="eastAsia" w:ascii="Times New Roman" w:hAnsi="Times New Roman" w:eastAsia="宋体" w:cs="Times New Roman"/>
                <w:color w:val="auto"/>
                <w:position w:val="15"/>
                <w:sz w:val="24"/>
                <w:highlight w:val="none"/>
                <w:u w:val="single" w:color="auto"/>
                <w:lang w:val="en-US" w:eastAsia="zh-CN"/>
              </w:rPr>
              <w:t>施工废水</w:t>
            </w:r>
            <w:r>
              <w:rPr>
                <w:rFonts w:hint="default" w:ascii="Times New Roman" w:hAnsi="Times New Roman" w:eastAsia="宋体" w:cs="Times New Roman"/>
                <w:color w:val="auto"/>
                <w:position w:val="15"/>
                <w:sz w:val="24"/>
                <w:highlight w:val="none"/>
                <w:u w:val="single" w:color="auto"/>
                <w:lang w:val="en-US" w:eastAsia="zh-CN"/>
              </w:rPr>
              <w:t>。</w:t>
            </w:r>
          </w:p>
          <w:p w14:paraId="086B1C4D">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已采取如下污染防范措施：</w:t>
            </w:r>
          </w:p>
          <w:p w14:paraId="0002DCEC">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single" w:color="auto"/>
                <w:lang w:val="en-US" w:eastAsia="zh-CN"/>
              </w:rPr>
            </w:pPr>
            <w:r>
              <w:rPr>
                <w:rFonts w:hint="eastAsia" w:ascii="Times New Roman" w:hAnsi="Times New Roman" w:eastAsia="宋体" w:cs="Times New Roman"/>
                <w:color w:val="auto"/>
                <w:position w:val="15"/>
                <w:sz w:val="24"/>
                <w:highlight w:val="none"/>
                <w:u w:val="single" w:color="auto"/>
                <w:lang w:val="en-US" w:eastAsia="zh-CN"/>
              </w:rPr>
              <w:t>（1）施工人员生活污水排入防渗旱厕，定期清掏。</w:t>
            </w:r>
          </w:p>
          <w:p w14:paraId="1CB64799">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single" w:color="auto"/>
                <w:lang w:val="en-US" w:eastAsia="zh-CN"/>
              </w:rPr>
            </w:pPr>
            <w:r>
              <w:rPr>
                <w:rFonts w:hint="eastAsia" w:ascii="Times New Roman" w:hAnsi="Times New Roman" w:eastAsia="宋体" w:cs="Times New Roman"/>
                <w:color w:val="auto"/>
                <w:position w:val="15"/>
                <w:sz w:val="24"/>
                <w:highlight w:val="none"/>
                <w:u w:val="single" w:color="auto"/>
                <w:lang w:val="en-US" w:eastAsia="zh-CN"/>
              </w:rPr>
              <w:t>（2）严格检查施工机械，保障施工机械设备正常运行和及时维修，避免跑、冒、滴、漏的油污排放。</w:t>
            </w:r>
          </w:p>
          <w:p w14:paraId="0CEDB6C5">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single" w:color="auto"/>
                <w:lang w:val="en-US" w:eastAsia="zh-CN"/>
              </w:rPr>
            </w:pPr>
            <w:r>
              <w:rPr>
                <w:rFonts w:hint="eastAsia" w:cs="Times New Roman"/>
                <w:color w:val="auto"/>
                <w:position w:val="15"/>
                <w:sz w:val="24"/>
                <w:highlight w:val="none"/>
                <w:u w:val="single" w:color="auto"/>
                <w:lang w:eastAsia="zh-CN"/>
              </w:rPr>
              <w:t>通过采取上述措施，施工期对地表水环境的影响在可接受的范围内。</w:t>
            </w:r>
          </w:p>
          <w:p w14:paraId="4219906D">
            <w:pPr>
              <w:adjustRightInd w:val="0"/>
              <w:snapToGrid w:val="0"/>
              <w:spacing w:line="360" w:lineRule="auto"/>
              <w:ind w:firstLine="482" w:firstLineChars="200"/>
              <w:rPr>
                <w:rFonts w:hint="eastAsia" w:cs="Times New Roman"/>
                <w:b/>
                <w:bCs/>
                <w:color w:val="auto"/>
                <w:position w:val="15"/>
                <w:sz w:val="24"/>
                <w:highlight w:val="none"/>
                <w:u w:val="single" w:color="auto"/>
                <w:lang w:val="en-US" w:eastAsia="zh-CN"/>
              </w:rPr>
            </w:pPr>
            <w:r>
              <w:rPr>
                <w:rFonts w:hint="eastAsia" w:cs="Times New Roman"/>
                <w:b/>
                <w:bCs/>
                <w:color w:val="auto"/>
                <w:position w:val="15"/>
                <w:sz w:val="24"/>
                <w:highlight w:val="none"/>
                <w:u w:val="single" w:color="auto"/>
                <w:lang w:val="en-US" w:eastAsia="zh-CN"/>
              </w:rPr>
              <w:t>4.3施工期噪声</w:t>
            </w:r>
          </w:p>
          <w:p w14:paraId="45D072F1">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single" w:color="auto"/>
                <w:lang w:val="en-US" w:eastAsia="zh-CN"/>
              </w:rPr>
            </w:pPr>
            <w:r>
              <w:rPr>
                <w:rFonts w:hint="default" w:ascii="Times New Roman" w:hAnsi="Times New Roman" w:eastAsia="宋体" w:cs="Times New Roman"/>
                <w:color w:val="auto"/>
                <w:position w:val="15"/>
                <w:sz w:val="24"/>
                <w:highlight w:val="none"/>
                <w:u w:val="single" w:color="auto"/>
                <w:lang w:val="en-US" w:eastAsia="zh-CN"/>
              </w:rPr>
              <w:t>施工期噪声主要来源于施工机械、设备安装以及车辆运输产生的噪声，噪声强度约为70-90dB（A</w:t>
            </w:r>
            <w:r>
              <w:rPr>
                <w:rFonts w:hint="default" w:ascii="Times New Roman" w:hAnsi="Times New Roman" w:cs="Times New Roman"/>
                <w:color w:val="auto"/>
                <w:position w:val="15"/>
                <w:sz w:val="24"/>
                <w:highlight w:val="none"/>
                <w:u w:val="single" w:color="auto"/>
                <w:lang w:val="en-US" w:eastAsia="zh-CN"/>
              </w:rPr>
              <w:t>）</w:t>
            </w:r>
            <w:r>
              <w:rPr>
                <w:rFonts w:hint="default" w:ascii="Times New Roman" w:hAnsi="Times New Roman" w:eastAsia="宋体" w:cs="Times New Roman"/>
                <w:color w:val="auto"/>
                <w:position w:val="15"/>
                <w:sz w:val="24"/>
                <w:highlight w:val="none"/>
                <w:u w:val="single" w:color="auto"/>
                <w:lang w:val="en-US" w:eastAsia="zh-CN"/>
              </w:rPr>
              <w:t>。</w:t>
            </w:r>
          </w:p>
          <w:p w14:paraId="70C264FD">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已采取如下污染防范措施：</w:t>
            </w:r>
          </w:p>
          <w:p w14:paraId="5D209B99">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single" w:color="auto"/>
                <w:lang w:val="en-US" w:eastAsia="zh-CN"/>
              </w:rPr>
            </w:pPr>
            <w:r>
              <w:rPr>
                <w:rFonts w:hint="default" w:ascii="Times New Roman" w:hAnsi="Times New Roman" w:eastAsia="宋体" w:cs="Times New Roman"/>
                <w:color w:val="auto"/>
                <w:position w:val="15"/>
                <w:sz w:val="24"/>
                <w:highlight w:val="none"/>
                <w:u w:val="single" w:color="auto"/>
                <w:lang w:val="en-US" w:eastAsia="zh-CN"/>
              </w:rPr>
              <w:t>（1）合理安排施工时间，制订施工计划时，尽量避免高噪声设备同时施工。并且严禁在夜间进行高噪声施工作业。</w:t>
            </w:r>
          </w:p>
          <w:p w14:paraId="5C5EB8C7">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single" w:color="auto"/>
                <w:lang w:val="en-US" w:eastAsia="zh-CN"/>
              </w:rPr>
            </w:pPr>
            <w:r>
              <w:rPr>
                <w:rFonts w:hint="default" w:ascii="Times New Roman" w:hAnsi="Times New Roman" w:eastAsia="宋体" w:cs="Times New Roman"/>
                <w:color w:val="auto"/>
                <w:position w:val="15"/>
                <w:sz w:val="24"/>
                <w:highlight w:val="none"/>
                <w:u w:val="single" w:color="auto"/>
                <w:lang w:val="en-US" w:eastAsia="zh-CN"/>
              </w:rPr>
              <w:t>（2）尽量选用低噪声机械设备或带隔声、消声的设备，严格限制或禁止使用高噪声设备。同时做好施工机械的维护和保养，有效降低机械设备运转噪声。</w:t>
            </w:r>
          </w:p>
          <w:p w14:paraId="396703C6">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single" w:color="auto"/>
                <w:lang w:val="en-US" w:eastAsia="zh-CN"/>
              </w:rPr>
            </w:pPr>
            <w:r>
              <w:rPr>
                <w:rFonts w:hint="eastAsia" w:ascii="Times New Roman" w:hAnsi="Times New Roman" w:eastAsia="宋体" w:cs="Times New Roman"/>
                <w:color w:val="auto"/>
                <w:position w:val="15"/>
                <w:sz w:val="24"/>
                <w:highlight w:val="none"/>
                <w:u w:val="single" w:color="auto"/>
                <w:lang w:val="en-US" w:eastAsia="zh-CN"/>
              </w:rPr>
              <w:t>（3）严格控制强噪声设备的作业时间，禁止夜间（22:00~次日6:00）施工。</w:t>
            </w:r>
          </w:p>
          <w:p w14:paraId="72ED3C23">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single" w:color="auto"/>
                <w:lang w:val="en-US" w:eastAsia="zh-CN"/>
              </w:rPr>
            </w:pPr>
            <w:r>
              <w:rPr>
                <w:rFonts w:hint="eastAsia" w:cs="Times New Roman"/>
                <w:color w:val="auto"/>
                <w:position w:val="15"/>
                <w:sz w:val="24"/>
                <w:highlight w:val="none"/>
                <w:u w:val="single" w:color="auto"/>
                <w:lang w:eastAsia="zh-CN"/>
              </w:rPr>
              <w:t>通过采取上述措施，施工期对噪声环境的影响在可接受的范围内。</w:t>
            </w:r>
          </w:p>
          <w:p w14:paraId="2FE75E02">
            <w:pPr>
              <w:adjustRightInd w:val="0"/>
              <w:snapToGrid w:val="0"/>
              <w:spacing w:line="360" w:lineRule="auto"/>
              <w:ind w:firstLine="482" w:firstLineChars="200"/>
              <w:rPr>
                <w:rFonts w:hint="eastAsia" w:cs="Times New Roman"/>
                <w:b/>
                <w:bCs/>
                <w:color w:val="auto"/>
                <w:position w:val="15"/>
                <w:sz w:val="24"/>
                <w:highlight w:val="none"/>
                <w:u w:val="single" w:color="auto"/>
                <w:lang w:val="en-US" w:eastAsia="zh-CN"/>
              </w:rPr>
            </w:pPr>
            <w:r>
              <w:rPr>
                <w:rFonts w:hint="eastAsia" w:cs="Times New Roman"/>
                <w:b/>
                <w:bCs/>
                <w:color w:val="auto"/>
                <w:position w:val="15"/>
                <w:sz w:val="24"/>
                <w:highlight w:val="none"/>
                <w:u w:val="single" w:color="auto"/>
                <w:lang w:val="en-US" w:eastAsia="zh-CN"/>
              </w:rPr>
              <w:t>4.4施工期固体废物</w:t>
            </w:r>
          </w:p>
          <w:p w14:paraId="010A7483">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single" w:color="auto"/>
                <w:lang w:val="en-US" w:eastAsia="zh-CN"/>
              </w:rPr>
            </w:pPr>
            <w:r>
              <w:rPr>
                <w:rFonts w:hint="eastAsia" w:ascii="Times New Roman" w:hAnsi="Times New Roman" w:eastAsia="宋体" w:cs="Times New Roman"/>
                <w:color w:val="auto"/>
                <w:position w:val="15"/>
                <w:sz w:val="24"/>
                <w:highlight w:val="none"/>
                <w:u w:val="single" w:color="auto"/>
                <w:lang w:val="en-US" w:eastAsia="zh-CN"/>
              </w:rPr>
              <w:t>项目施工期固体废物为建筑垃圾和施工人员生活垃圾。</w:t>
            </w:r>
          </w:p>
          <w:p w14:paraId="3CA86E58">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已采取如下污染防范措施：</w:t>
            </w:r>
          </w:p>
          <w:p w14:paraId="35A59562">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w:t>
            </w:r>
            <w:r>
              <w:rPr>
                <w:rFonts w:hint="eastAsia" w:cs="Times New Roman"/>
                <w:color w:val="auto"/>
                <w:position w:val="15"/>
                <w:sz w:val="24"/>
                <w:highlight w:val="none"/>
                <w:u w:val="single" w:color="auto"/>
                <w:lang w:val="en-US" w:eastAsia="zh-CN"/>
              </w:rPr>
              <w:t>1</w:t>
            </w:r>
            <w:r>
              <w:rPr>
                <w:rFonts w:hint="eastAsia" w:cs="Times New Roman"/>
                <w:color w:val="auto"/>
                <w:position w:val="15"/>
                <w:sz w:val="24"/>
                <w:highlight w:val="none"/>
                <w:u w:val="single" w:color="auto"/>
                <w:lang w:eastAsia="zh-CN"/>
              </w:rPr>
              <w:t>）</w:t>
            </w:r>
            <w:r>
              <w:rPr>
                <w:rFonts w:hint="eastAsia" w:cs="Times New Roman"/>
                <w:color w:val="auto"/>
                <w:position w:val="15"/>
                <w:sz w:val="24"/>
                <w:highlight w:val="none"/>
                <w:u w:val="single" w:color="auto"/>
                <w:lang w:val="en-US" w:eastAsia="zh-CN"/>
              </w:rPr>
              <w:t>施工过程中产生的废包装袋、废建材等建筑垃圾，加强管理，做好防尘和清运工作。建筑垃圾按要求分类处置，严禁乱堆乱放。可回收部分外售综合利用，不可利用部分</w:t>
            </w:r>
            <w:r>
              <w:rPr>
                <w:rFonts w:hint="eastAsia" w:cs="Times New Roman"/>
                <w:color w:val="auto"/>
                <w:position w:val="15"/>
                <w:sz w:val="24"/>
                <w:highlight w:val="none"/>
                <w:u w:val="single" w:color="auto"/>
                <w:lang w:eastAsia="zh-CN"/>
              </w:rPr>
              <w:t>指定的建筑垃圾场填埋。</w:t>
            </w:r>
          </w:p>
          <w:p w14:paraId="159D7D2E">
            <w:pPr>
              <w:adjustRightInd w:val="0"/>
              <w:snapToGrid w:val="0"/>
              <w:spacing w:line="360" w:lineRule="auto"/>
              <w:ind w:firstLine="480" w:firstLineChars="200"/>
              <w:rPr>
                <w:rFonts w:hint="eastAsia" w:cs="Times New Roman"/>
                <w:color w:val="auto"/>
                <w:position w:val="15"/>
                <w:sz w:val="24"/>
                <w:highlight w:val="none"/>
                <w:u w:val="single" w:color="auto"/>
                <w:lang w:eastAsia="zh-CN"/>
              </w:rPr>
            </w:pPr>
            <w:r>
              <w:rPr>
                <w:rFonts w:hint="eastAsia" w:cs="Times New Roman"/>
                <w:color w:val="auto"/>
                <w:position w:val="15"/>
                <w:sz w:val="24"/>
                <w:highlight w:val="none"/>
                <w:u w:val="single" w:color="auto"/>
                <w:lang w:eastAsia="zh-CN"/>
              </w:rPr>
              <w:t>（</w:t>
            </w:r>
            <w:r>
              <w:rPr>
                <w:rFonts w:hint="eastAsia" w:cs="Times New Roman"/>
                <w:color w:val="auto"/>
                <w:position w:val="15"/>
                <w:sz w:val="24"/>
                <w:highlight w:val="none"/>
                <w:u w:val="single" w:color="auto"/>
                <w:lang w:val="en-US" w:eastAsia="zh-CN"/>
              </w:rPr>
              <w:t>2</w:t>
            </w:r>
            <w:r>
              <w:rPr>
                <w:rFonts w:hint="eastAsia" w:cs="Times New Roman"/>
                <w:color w:val="auto"/>
                <w:position w:val="15"/>
                <w:sz w:val="24"/>
                <w:highlight w:val="none"/>
                <w:u w:val="single" w:color="auto"/>
                <w:lang w:eastAsia="zh-CN"/>
              </w:rPr>
              <w:t>）生活垃圾应定点堆放，及时清运送往垃圾填埋场填埋处理。</w:t>
            </w:r>
          </w:p>
          <w:p w14:paraId="41B6D122">
            <w:pPr>
              <w:adjustRightInd w:val="0"/>
              <w:snapToGrid w:val="0"/>
              <w:spacing w:line="360" w:lineRule="auto"/>
              <w:ind w:firstLine="480" w:firstLineChars="200"/>
              <w:rPr>
                <w:rFonts w:hint="default" w:ascii="Times New Roman" w:hAnsi="Times New Roman" w:cs="Times New Roman"/>
                <w:bCs/>
                <w:color w:val="auto"/>
                <w:spacing w:val="-10"/>
                <w:szCs w:val="21"/>
                <w:highlight w:val="none"/>
                <w:u w:val="none" w:color="auto"/>
              </w:rPr>
            </w:pPr>
            <w:r>
              <w:rPr>
                <w:rFonts w:hint="eastAsia" w:cs="Times New Roman"/>
                <w:color w:val="auto"/>
                <w:position w:val="15"/>
                <w:sz w:val="24"/>
                <w:highlight w:val="none"/>
                <w:u w:val="single" w:color="auto"/>
                <w:lang w:eastAsia="zh-CN"/>
              </w:rPr>
              <w:t>通过采取上述措施，施工期固体废物均得到合理处置，不会对外环境造成影响。</w:t>
            </w:r>
          </w:p>
        </w:tc>
      </w:tr>
      <w:tr w14:paraId="6C2680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32" w:hRule="atLeast"/>
          <w:jc w:val="center"/>
        </w:trPr>
        <w:tc>
          <w:tcPr>
            <w:tcW w:w="1013" w:type="dxa"/>
            <w:tcMar>
              <w:left w:w="28" w:type="dxa"/>
              <w:right w:w="28" w:type="dxa"/>
            </w:tcMar>
            <w:vAlign w:val="center"/>
          </w:tcPr>
          <w:p w14:paraId="4E9C8B0E">
            <w:pPr>
              <w:adjustRightInd w:val="0"/>
              <w:snapToGrid w:val="0"/>
              <w:jc w:val="center"/>
              <w:rPr>
                <w:rFonts w:hint="default" w:ascii="Times New Roman" w:hAnsi="Times New Roman" w:cs="Times New Roman"/>
                <w:bCs/>
                <w:color w:val="auto"/>
                <w:szCs w:val="21"/>
                <w:highlight w:val="none"/>
                <w:u w:val="none" w:color="auto"/>
              </w:rPr>
            </w:pPr>
            <w:r>
              <w:rPr>
                <w:rFonts w:hint="default" w:ascii="Times New Roman" w:hAnsi="Times New Roman" w:cs="Times New Roman"/>
                <w:bCs/>
                <w:color w:val="auto"/>
                <w:szCs w:val="21"/>
                <w:highlight w:val="none"/>
                <w:u w:val="none" w:color="auto"/>
              </w:rPr>
              <w:t>运营</w:t>
            </w:r>
          </w:p>
          <w:p w14:paraId="3D86E0D9">
            <w:pPr>
              <w:adjustRightInd w:val="0"/>
              <w:snapToGrid w:val="0"/>
              <w:jc w:val="center"/>
              <w:rPr>
                <w:rFonts w:hint="default" w:ascii="Times New Roman" w:hAnsi="Times New Roman" w:cs="Times New Roman"/>
                <w:bCs/>
                <w:color w:val="auto"/>
                <w:szCs w:val="21"/>
                <w:highlight w:val="none"/>
                <w:u w:val="none" w:color="auto"/>
              </w:rPr>
            </w:pPr>
            <w:r>
              <w:rPr>
                <w:rFonts w:hint="default" w:ascii="Times New Roman" w:hAnsi="Times New Roman" w:cs="Times New Roman"/>
                <w:bCs/>
                <w:color w:val="auto"/>
                <w:szCs w:val="21"/>
                <w:highlight w:val="none"/>
                <w:u w:val="none" w:color="auto"/>
              </w:rPr>
              <w:t>期环</w:t>
            </w:r>
          </w:p>
          <w:p w14:paraId="7A911260">
            <w:pPr>
              <w:adjustRightInd w:val="0"/>
              <w:snapToGrid w:val="0"/>
              <w:jc w:val="center"/>
              <w:rPr>
                <w:rFonts w:hint="default" w:ascii="Times New Roman" w:hAnsi="Times New Roman" w:cs="Times New Roman"/>
                <w:bCs/>
                <w:color w:val="auto"/>
                <w:szCs w:val="21"/>
                <w:highlight w:val="none"/>
                <w:u w:val="none" w:color="auto"/>
              </w:rPr>
            </w:pPr>
            <w:r>
              <w:rPr>
                <w:rFonts w:hint="default" w:ascii="Times New Roman" w:hAnsi="Times New Roman" w:cs="Times New Roman"/>
                <w:bCs/>
                <w:color w:val="auto"/>
                <w:szCs w:val="21"/>
                <w:highlight w:val="none"/>
                <w:u w:val="none" w:color="auto"/>
              </w:rPr>
              <w:t>境影</w:t>
            </w:r>
          </w:p>
          <w:p w14:paraId="64700FBA">
            <w:pPr>
              <w:adjustRightInd w:val="0"/>
              <w:snapToGrid w:val="0"/>
              <w:jc w:val="center"/>
              <w:rPr>
                <w:rFonts w:hint="default" w:ascii="Times New Roman" w:hAnsi="Times New Roman" w:cs="Times New Roman"/>
                <w:bCs/>
                <w:color w:val="auto"/>
                <w:szCs w:val="21"/>
                <w:highlight w:val="none"/>
                <w:u w:val="none" w:color="auto"/>
              </w:rPr>
            </w:pPr>
            <w:r>
              <w:rPr>
                <w:rFonts w:hint="default" w:ascii="Times New Roman" w:hAnsi="Times New Roman" w:cs="Times New Roman"/>
                <w:bCs/>
                <w:color w:val="auto"/>
                <w:szCs w:val="21"/>
                <w:highlight w:val="none"/>
                <w:u w:val="none" w:color="auto"/>
              </w:rPr>
              <w:t>响和</w:t>
            </w:r>
          </w:p>
          <w:p w14:paraId="5FA9D7BD">
            <w:pPr>
              <w:adjustRightInd w:val="0"/>
              <w:snapToGrid w:val="0"/>
              <w:jc w:val="center"/>
              <w:rPr>
                <w:rFonts w:hint="default" w:ascii="Times New Roman" w:hAnsi="Times New Roman" w:cs="Times New Roman"/>
                <w:bCs/>
                <w:color w:val="auto"/>
                <w:szCs w:val="21"/>
                <w:highlight w:val="none"/>
                <w:u w:val="none" w:color="auto"/>
              </w:rPr>
            </w:pPr>
            <w:r>
              <w:rPr>
                <w:rFonts w:hint="default" w:ascii="Times New Roman" w:hAnsi="Times New Roman" w:cs="Times New Roman"/>
                <w:bCs/>
                <w:color w:val="auto"/>
                <w:szCs w:val="21"/>
                <w:highlight w:val="none"/>
                <w:u w:val="none" w:color="auto"/>
              </w:rPr>
              <w:t>保护</w:t>
            </w:r>
          </w:p>
          <w:p w14:paraId="73AF119B">
            <w:pPr>
              <w:adjustRightInd w:val="0"/>
              <w:snapToGrid w:val="0"/>
              <w:jc w:val="center"/>
              <w:rPr>
                <w:rFonts w:hint="default" w:ascii="Times New Roman" w:hAnsi="Times New Roman" w:cs="Times New Roman"/>
                <w:bCs/>
                <w:color w:val="auto"/>
                <w:szCs w:val="21"/>
                <w:highlight w:val="none"/>
                <w:u w:val="none" w:color="auto"/>
              </w:rPr>
            </w:pPr>
            <w:r>
              <w:rPr>
                <w:rFonts w:hint="default" w:ascii="Times New Roman" w:hAnsi="Times New Roman" w:cs="Times New Roman"/>
                <w:bCs/>
                <w:color w:val="auto"/>
                <w:szCs w:val="21"/>
                <w:highlight w:val="none"/>
                <w:u w:val="none" w:color="auto"/>
              </w:rPr>
              <w:t>措施</w:t>
            </w:r>
          </w:p>
        </w:tc>
        <w:tc>
          <w:tcPr>
            <w:tcW w:w="8092" w:type="dxa"/>
            <w:gridSpan w:val="2"/>
          </w:tcPr>
          <w:p w14:paraId="38A54ADE">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4.6</w:t>
            </w:r>
            <w:r>
              <w:rPr>
                <w:rFonts w:hint="default" w:ascii="Times New Roman" w:hAnsi="Times New Roman" w:cs="Times New Roman"/>
                <w:color w:val="auto"/>
                <w:position w:val="15"/>
                <w:sz w:val="24"/>
                <w:highlight w:val="none"/>
                <w:u w:val="none" w:color="auto"/>
              </w:rPr>
              <w:t>废气</w:t>
            </w:r>
          </w:p>
          <w:p w14:paraId="48F2C903">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bCs/>
                <w:color w:val="auto"/>
                <w:sz w:val="24"/>
                <w:highlight w:val="none"/>
                <w:u w:val="none" w:color="auto"/>
              </w:rPr>
              <w:t>本项目运营期废气</w:t>
            </w:r>
            <w:r>
              <w:rPr>
                <w:rFonts w:hint="eastAsia" w:cs="Times New Roman"/>
                <w:bCs/>
                <w:color w:val="auto"/>
                <w:sz w:val="24"/>
                <w:highlight w:val="none"/>
                <w:u w:val="none" w:color="auto"/>
                <w:lang w:val="en-US" w:eastAsia="zh-CN"/>
              </w:rPr>
              <w:t>包括热风炉烟气和装卸、烘干、筛分、除渣等工序产生的无组织废气</w:t>
            </w:r>
            <w:r>
              <w:rPr>
                <w:rFonts w:hint="eastAsia"/>
                <w:color w:val="auto"/>
                <w:sz w:val="24"/>
                <w:highlight w:val="none"/>
                <w:u w:val="none" w:color="auto"/>
              </w:rPr>
              <w:t>。</w:t>
            </w:r>
          </w:p>
          <w:p w14:paraId="5466183F">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position w:val="15"/>
                <w:sz w:val="24"/>
                <w:highlight w:val="none"/>
                <w:u w:val="none" w:color="auto"/>
                <w:lang w:val="en-US" w:eastAsia="zh-CN"/>
              </w:rPr>
            </w:pPr>
            <w:r>
              <w:rPr>
                <w:rFonts w:hint="eastAsia" w:cs="Times New Roman"/>
                <w:color w:val="auto"/>
                <w:position w:val="15"/>
                <w:sz w:val="24"/>
                <w:highlight w:val="none"/>
                <w:u w:val="none" w:color="auto"/>
                <w:lang w:val="en-US" w:eastAsia="zh-CN"/>
              </w:rPr>
              <w:t>4.6</w:t>
            </w:r>
            <w:r>
              <w:rPr>
                <w:rFonts w:hint="default" w:ascii="Times New Roman" w:hAnsi="Times New Roman" w:cs="Times New Roman"/>
                <w:color w:val="auto"/>
                <w:position w:val="15"/>
                <w:sz w:val="24"/>
                <w:highlight w:val="none"/>
                <w:u w:val="none" w:color="auto"/>
              </w:rPr>
              <w:t>.1</w:t>
            </w:r>
            <w:r>
              <w:rPr>
                <w:rFonts w:hint="default" w:ascii="Times New Roman" w:hAnsi="Times New Roman" w:cs="Times New Roman"/>
                <w:color w:val="auto"/>
                <w:position w:val="15"/>
                <w:sz w:val="24"/>
                <w:highlight w:val="none"/>
                <w:u w:val="none" w:color="auto"/>
                <w:lang w:val="en-US" w:eastAsia="zh-CN"/>
              </w:rPr>
              <w:t>有组织废气</w:t>
            </w:r>
          </w:p>
          <w:p w14:paraId="229B7C63">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本项目</w:t>
            </w:r>
            <w:r>
              <w:rPr>
                <w:rFonts w:hint="eastAsia" w:ascii="Times New Roman" w:hAnsi="Times New Roman" w:eastAsia="宋体" w:cs="Times New Roman"/>
                <w:color w:val="auto"/>
                <w:sz w:val="24"/>
                <w:szCs w:val="24"/>
                <w:highlight w:val="none"/>
                <w:u w:val="none" w:color="auto"/>
                <w:lang w:val="en-US" w:eastAsia="zh-CN"/>
              </w:rPr>
              <w:t>新建</w:t>
            </w:r>
            <w:r>
              <w:rPr>
                <w:rFonts w:hint="default" w:ascii="Times New Roman" w:hAnsi="Times New Roman" w:eastAsia="宋体" w:cs="Times New Roman"/>
                <w:color w:val="auto"/>
                <w:sz w:val="24"/>
                <w:szCs w:val="24"/>
                <w:highlight w:val="none"/>
                <w:u w:val="none" w:color="auto"/>
                <w:lang w:val="en-US" w:eastAsia="zh-CN"/>
              </w:rPr>
              <w:t>1台</w:t>
            </w:r>
            <w:r>
              <w:rPr>
                <w:rFonts w:hint="eastAsia" w:cs="Times New Roman"/>
                <w:color w:val="auto"/>
                <w:sz w:val="24"/>
                <w:szCs w:val="24"/>
                <w:highlight w:val="none"/>
                <w:u w:val="none" w:color="auto"/>
                <w:lang w:val="en-US" w:eastAsia="zh-CN"/>
              </w:rPr>
              <w:t>6t/h热风炉</w:t>
            </w:r>
            <w:r>
              <w:rPr>
                <w:rFonts w:hint="default" w:ascii="Times New Roman" w:hAnsi="Times New Roman" w:eastAsia="宋体" w:cs="Times New Roman"/>
                <w:color w:val="auto"/>
                <w:sz w:val="24"/>
                <w:szCs w:val="24"/>
                <w:highlight w:val="none"/>
                <w:u w:val="none" w:color="auto"/>
                <w:lang w:val="en-US" w:eastAsia="zh-CN"/>
              </w:rPr>
              <w:t>，燃料为生物质颗粒，根据生物质成分分析单可知，</w:t>
            </w:r>
            <w:r>
              <w:rPr>
                <w:rFonts w:hint="default" w:ascii="Times New Roman" w:hAnsi="Times New Roman" w:eastAsia="宋体" w:cs="Times New Roman"/>
                <w:color w:val="auto"/>
                <w:sz w:val="24"/>
                <w:szCs w:val="24"/>
                <w:highlight w:val="none"/>
                <w:u w:val="single" w:color="auto"/>
                <w:lang w:val="en-US" w:eastAsia="zh-CN"/>
              </w:rPr>
              <w:t>该生物质颗粒低位发热值</w:t>
            </w:r>
            <w:r>
              <w:rPr>
                <w:rFonts w:hint="eastAsia" w:cs="Times New Roman"/>
                <w:color w:val="auto"/>
                <w:sz w:val="24"/>
                <w:szCs w:val="24"/>
                <w:highlight w:val="none"/>
                <w:u w:val="single" w:color="auto"/>
                <w:lang w:val="en-US" w:eastAsia="zh-CN"/>
              </w:rPr>
              <w:t>13.64k</w:t>
            </w:r>
            <w:r>
              <w:rPr>
                <w:rFonts w:hint="default" w:ascii="Times New Roman" w:hAnsi="Times New Roman" w:eastAsia="宋体" w:cs="Times New Roman"/>
                <w:color w:val="auto"/>
                <w:sz w:val="24"/>
                <w:szCs w:val="24"/>
                <w:highlight w:val="none"/>
                <w:u w:val="single" w:color="auto"/>
                <w:lang w:val="en-US" w:eastAsia="zh-CN"/>
              </w:rPr>
              <w:t>J/kg（燃料热值</w:t>
            </w:r>
            <w:r>
              <w:rPr>
                <w:rFonts w:hint="eastAsia" w:cs="Times New Roman"/>
                <w:color w:val="auto"/>
                <w:sz w:val="24"/>
                <w:szCs w:val="24"/>
                <w:highlight w:val="none"/>
                <w:u w:val="single" w:color="auto"/>
                <w:lang w:val="en-US" w:eastAsia="zh-CN"/>
              </w:rPr>
              <w:t>3258</w:t>
            </w:r>
            <w:r>
              <w:rPr>
                <w:rFonts w:hint="default" w:ascii="Times New Roman" w:hAnsi="Times New Roman" w:eastAsia="宋体" w:cs="Times New Roman"/>
                <w:color w:val="auto"/>
                <w:sz w:val="24"/>
                <w:szCs w:val="24"/>
                <w:highlight w:val="none"/>
                <w:u w:val="single" w:color="auto"/>
                <w:lang w:val="en-US" w:eastAsia="zh-CN"/>
              </w:rPr>
              <w:t>kcal/kg）</w:t>
            </w:r>
            <w:r>
              <w:rPr>
                <w:rFonts w:hint="default" w:ascii="Times New Roman" w:hAnsi="Times New Roman" w:eastAsia="宋体" w:cs="Times New Roman"/>
                <w:color w:val="auto"/>
                <w:sz w:val="24"/>
                <w:szCs w:val="24"/>
                <w:highlight w:val="none"/>
                <w:u w:val="none" w:color="auto"/>
                <w:lang w:val="en-US" w:eastAsia="zh-CN"/>
              </w:rPr>
              <w:t>，</w:t>
            </w:r>
            <w:r>
              <w:rPr>
                <w:rFonts w:hint="eastAsia" w:cs="Times New Roman"/>
                <w:color w:val="auto"/>
                <w:sz w:val="24"/>
                <w:szCs w:val="24"/>
                <w:highlight w:val="none"/>
                <w:u w:val="none" w:color="auto"/>
                <w:lang w:val="en-US" w:eastAsia="zh-CN"/>
              </w:rPr>
              <w:t>热风炉</w:t>
            </w:r>
            <w:r>
              <w:rPr>
                <w:rFonts w:hint="default" w:ascii="Times New Roman" w:hAnsi="Times New Roman" w:eastAsia="宋体" w:cs="Times New Roman"/>
                <w:color w:val="auto"/>
                <w:sz w:val="24"/>
                <w:szCs w:val="24"/>
                <w:highlight w:val="none"/>
                <w:u w:val="none" w:color="auto"/>
                <w:lang w:val="en-US" w:eastAsia="zh-CN"/>
              </w:rPr>
              <w:t>生产时间为</w:t>
            </w:r>
            <w:r>
              <w:rPr>
                <w:rFonts w:hint="eastAsia" w:cs="Times New Roman"/>
                <w:color w:val="auto"/>
                <w:sz w:val="24"/>
                <w:szCs w:val="24"/>
                <w:highlight w:val="none"/>
                <w:u w:val="none" w:color="auto"/>
                <w:lang w:val="en-US" w:eastAsia="zh-CN"/>
              </w:rPr>
              <w:t>24</w:t>
            </w:r>
            <w:r>
              <w:rPr>
                <w:rFonts w:hint="default" w:ascii="Times New Roman" w:hAnsi="Times New Roman" w:eastAsia="宋体" w:cs="Times New Roman"/>
                <w:color w:val="auto"/>
                <w:sz w:val="24"/>
                <w:szCs w:val="24"/>
                <w:highlight w:val="none"/>
                <w:u w:val="none" w:color="auto"/>
                <w:lang w:val="en-US" w:eastAsia="zh-CN"/>
              </w:rPr>
              <w:t>h/d（</w:t>
            </w:r>
            <w:r>
              <w:rPr>
                <w:rFonts w:hint="eastAsia" w:cs="Times New Roman"/>
                <w:color w:val="auto"/>
                <w:sz w:val="24"/>
                <w:szCs w:val="24"/>
                <w:highlight w:val="none"/>
                <w:u w:val="none" w:color="auto"/>
                <w:lang w:val="en-US" w:eastAsia="zh-CN"/>
              </w:rPr>
              <w:t>1200</w:t>
            </w:r>
            <w:r>
              <w:rPr>
                <w:rFonts w:hint="default" w:ascii="Times New Roman" w:hAnsi="Times New Roman" w:eastAsia="宋体" w:cs="Times New Roman"/>
                <w:color w:val="auto"/>
                <w:sz w:val="24"/>
                <w:szCs w:val="24"/>
                <w:highlight w:val="none"/>
                <w:u w:val="none" w:color="auto"/>
                <w:lang w:val="en-US" w:eastAsia="zh-CN"/>
              </w:rPr>
              <w:t>h/a），根据</w:t>
            </w:r>
            <w:r>
              <w:rPr>
                <w:rFonts w:hint="eastAsia" w:cs="Times New Roman"/>
                <w:color w:val="auto"/>
                <w:sz w:val="24"/>
                <w:szCs w:val="24"/>
                <w:highlight w:val="none"/>
                <w:u w:val="none" w:color="auto"/>
                <w:lang w:val="en-US" w:eastAsia="zh-CN"/>
              </w:rPr>
              <w:t>热风炉</w:t>
            </w:r>
            <w:r>
              <w:rPr>
                <w:rFonts w:hint="default" w:ascii="Times New Roman" w:hAnsi="Times New Roman" w:eastAsia="宋体" w:cs="Times New Roman"/>
                <w:color w:val="auto"/>
                <w:sz w:val="24"/>
                <w:szCs w:val="24"/>
                <w:highlight w:val="none"/>
                <w:u w:val="none" w:color="auto"/>
                <w:lang w:val="en-US" w:eastAsia="zh-CN"/>
              </w:rPr>
              <w:t>厂家提供资料，</w:t>
            </w:r>
            <w:r>
              <w:rPr>
                <w:rFonts w:hint="eastAsia" w:cs="Times New Roman"/>
                <w:color w:val="auto"/>
                <w:sz w:val="24"/>
                <w:szCs w:val="24"/>
                <w:highlight w:val="none"/>
                <w:u w:val="none" w:color="auto"/>
                <w:lang w:val="en-US" w:eastAsia="zh-CN"/>
              </w:rPr>
              <w:t>热风炉</w:t>
            </w:r>
            <w:r>
              <w:rPr>
                <w:rFonts w:hint="default" w:ascii="Times New Roman" w:hAnsi="Times New Roman" w:eastAsia="宋体" w:cs="Times New Roman"/>
                <w:color w:val="auto"/>
                <w:sz w:val="24"/>
                <w:szCs w:val="24"/>
                <w:highlight w:val="none"/>
                <w:u w:val="none" w:color="auto"/>
                <w:lang w:val="en-US" w:eastAsia="zh-CN"/>
              </w:rPr>
              <w:t>热效率</w:t>
            </w:r>
            <w:r>
              <w:rPr>
                <w:rFonts w:hint="eastAsia" w:cs="Times New Roman"/>
                <w:color w:val="auto"/>
                <w:sz w:val="24"/>
                <w:szCs w:val="24"/>
                <w:highlight w:val="none"/>
                <w:u w:val="none" w:color="auto"/>
                <w:lang w:val="en-US" w:eastAsia="zh-CN"/>
              </w:rPr>
              <w:t>80</w:t>
            </w:r>
            <w:r>
              <w:rPr>
                <w:rFonts w:hint="default"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single" w:color="auto"/>
                <w:lang w:val="en-US" w:eastAsia="zh-CN"/>
              </w:rPr>
              <w:t>生物质燃料消耗量</w:t>
            </w:r>
            <w:r>
              <w:rPr>
                <w:rFonts w:hint="eastAsia" w:cs="Times New Roman"/>
                <w:color w:val="auto"/>
                <w:sz w:val="24"/>
                <w:szCs w:val="24"/>
                <w:highlight w:val="none"/>
                <w:u w:val="single" w:color="auto"/>
                <w:lang w:val="en-US" w:eastAsia="zh-CN"/>
              </w:rPr>
              <w:t>1244.68t/a</w:t>
            </w:r>
            <w:r>
              <w:rPr>
                <w:rFonts w:hint="default" w:ascii="Times New Roman" w:hAnsi="Times New Roman" w:eastAsia="宋体" w:cs="Times New Roman"/>
                <w:color w:val="auto"/>
                <w:sz w:val="24"/>
                <w:szCs w:val="24"/>
                <w:highlight w:val="none"/>
                <w:u w:val="singl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燃料燃烧产生的污染物主要为颗粒物、SO</w:t>
            </w:r>
            <w:r>
              <w:rPr>
                <w:rFonts w:hint="default" w:ascii="Times New Roman" w:hAnsi="Times New Roman" w:eastAsia="宋体" w:cs="Times New Roman"/>
                <w:color w:val="auto"/>
                <w:sz w:val="24"/>
                <w:szCs w:val="24"/>
                <w:highlight w:val="none"/>
                <w:u w:val="none" w:color="auto"/>
                <w:vertAlign w:val="subscript"/>
                <w:lang w:val="en-US" w:eastAsia="zh-CN"/>
              </w:rPr>
              <w:t>2</w:t>
            </w:r>
            <w:r>
              <w:rPr>
                <w:rFonts w:hint="default" w:ascii="Times New Roman" w:hAnsi="Times New Roman" w:eastAsia="宋体" w:cs="Times New Roman"/>
                <w:color w:val="auto"/>
                <w:sz w:val="24"/>
                <w:szCs w:val="24"/>
                <w:highlight w:val="none"/>
                <w:u w:val="none" w:color="auto"/>
                <w:lang w:val="en-US" w:eastAsia="zh-CN"/>
              </w:rPr>
              <w:t>和NOx等。</w:t>
            </w:r>
          </w:p>
          <w:p w14:paraId="2BEE9835">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本项目生物质热风炉产生的燃烧废气采用布袋除尘器处理</w:t>
            </w:r>
            <w:r>
              <w:rPr>
                <w:rFonts w:hint="eastAsia"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布袋除尘器处理达标后烟气经</w:t>
            </w:r>
            <w:r>
              <w:rPr>
                <w:rFonts w:hint="eastAsia" w:cs="Times New Roman"/>
                <w:color w:val="auto"/>
                <w:sz w:val="24"/>
                <w:szCs w:val="24"/>
                <w:highlight w:val="none"/>
                <w:u w:val="none" w:color="auto"/>
                <w:lang w:val="en-US" w:eastAsia="zh-CN"/>
              </w:rPr>
              <w:t>18m</w:t>
            </w:r>
            <w:r>
              <w:rPr>
                <w:rFonts w:hint="default" w:ascii="Times New Roman" w:hAnsi="Times New Roman" w:eastAsia="宋体" w:cs="Times New Roman"/>
                <w:color w:val="auto"/>
                <w:sz w:val="24"/>
                <w:szCs w:val="24"/>
                <w:highlight w:val="none"/>
                <w:u w:val="none" w:color="auto"/>
                <w:lang w:val="en-US" w:eastAsia="zh-CN"/>
              </w:rPr>
              <w:t>高</w:t>
            </w:r>
            <w:r>
              <w:rPr>
                <w:rFonts w:hint="eastAsia" w:cs="Times New Roman"/>
                <w:color w:val="auto"/>
                <w:sz w:val="24"/>
                <w:szCs w:val="24"/>
                <w:highlight w:val="none"/>
                <w:u w:val="none" w:color="auto"/>
                <w:lang w:val="en-US" w:eastAsia="zh-CN"/>
              </w:rPr>
              <w:t>烟囱</w:t>
            </w:r>
            <w:r>
              <w:rPr>
                <w:rFonts w:hint="default" w:ascii="Times New Roman" w:hAnsi="Times New Roman" w:eastAsia="宋体" w:cs="Times New Roman"/>
                <w:color w:val="auto"/>
                <w:sz w:val="24"/>
                <w:szCs w:val="24"/>
                <w:highlight w:val="none"/>
                <w:u w:val="none" w:color="auto"/>
                <w:lang w:val="en-US" w:eastAsia="zh-CN"/>
              </w:rPr>
              <w:t>排入环境空气。</w:t>
            </w:r>
          </w:p>
          <w:p w14:paraId="6D7D83E1">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u w:val="single" w:color="auto"/>
                <w:lang w:val="en-US" w:eastAsia="zh-CN"/>
              </w:rPr>
            </w:pPr>
            <w:r>
              <w:rPr>
                <w:rFonts w:hint="default" w:ascii="Times New Roman" w:hAnsi="Times New Roman" w:eastAsia="宋体" w:cs="Times New Roman"/>
                <w:color w:val="auto"/>
                <w:sz w:val="24"/>
                <w:szCs w:val="24"/>
                <w:highlight w:val="none"/>
                <w:u w:val="single" w:color="auto"/>
                <w:lang w:val="en-US" w:eastAsia="zh-CN"/>
              </w:rPr>
              <w:t>《建设项目环境影响评价技术导则-总纲》（HJ2.1-2016）中规定“污染源源强核算方法由污染源源强核算技术指南具体规定”，本项目相关源强核算优先参考源强核算技术指南、排污许可证申请与核发技术规范以及《排放源统计调查产排污核算方法和系数手册》。</w:t>
            </w:r>
          </w:p>
          <w:p w14:paraId="6C9C5C7A">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u w:val="single" w:color="auto"/>
                <w:lang w:val="en-US" w:eastAsia="zh-CN"/>
              </w:rPr>
            </w:pPr>
            <w:r>
              <w:rPr>
                <w:rFonts w:hint="default" w:ascii="Times New Roman" w:hAnsi="Times New Roman" w:eastAsia="宋体" w:cs="Times New Roman"/>
                <w:color w:val="auto"/>
                <w:sz w:val="24"/>
                <w:szCs w:val="24"/>
                <w:highlight w:val="none"/>
                <w:u w:val="single" w:color="auto"/>
                <w:lang w:val="en-US" w:eastAsia="zh-CN"/>
              </w:rPr>
              <w:t>本项目采用物料衡算法对烟气中颗粒物和二氧化硫进行污染源核算，采用系数法（《排放源统计调查产排污核算方法和系数手册》中4430、工业锅炉（热力生产和供应行业）产污系数）对烟气量</w:t>
            </w:r>
            <w:r>
              <w:rPr>
                <w:rFonts w:hint="eastAsia" w:ascii="Times New Roman" w:hAnsi="Times New Roman" w:eastAsia="宋体" w:cs="Times New Roman"/>
                <w:color w:val="auto"/>
                <w:sz w:val="24"/>
                <w:szCs w:val="24"/>
                <w:highlight w:val="none"/>
                <w:u w:val="single" w:color="auto"/>
                <w:lang w:val="en-US" w:eastAsia="zh-CN"/>
              </w:rPr>
              <w:t>和氮氧化物进</w:t>
            </w:r>
            <w:r>
              <w:rPr>
                <w:rFonts w:hint="default" w:ascii="Times New Roman" w:hAnsi="Times New Roman" w:eastAsia="宋体" w:cs="Times New Roman"/>
                <w:color w:val="auto"/>
                <w:sz w:val="24"/>
                <w:szCs w:val="24"/>
                <w:highlight w:val="none"/>
                <w:u w:val="single" w:color="auto"/>
                <w:lang w:val="en-US" w:eastAsia="zh-CN"/>
              </w:rPr>
              <w:t>行污染源核算。</w:t>
            </w:r>
          </w:p>
          <w:p w14:paraId="40BF17E2">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highlight w:val="none"/>
                <w:u w:val="none" w:color="auto"/>
                <w:lang w:eastAsia="zh-CN"/>
              </w:rPr>
            </w:pPr>
            <w:r>
              <w:rPr>
                <w:rFonts w:hint="default" w:ascii="Times New Roman" w:hAnsi="Times New Roman" w:eastAsia="宋体" w:cs="Times New Roman"/>
                <w:color w:val="auto"/>
                <w:kern w:val="2"/>
                <w:sz w:val="24"/>
                <w:szCs w:val="24"/>
                <w:highlight w:val="none"/>
                <w:u w:val="none" w:color="auto"/>
                <w:lang w:val="en-US" w:eastAsia="zh-CN" w:bidi="ar"/>
              </w:rPr>
              <w:t>①</w:t>
            </w:r>
            <w:r>
              <w:rPr>
                <w:rFonts w:hint="default" w:ascii="Times New Roman" w:hAnsi="Times New Roman" w:eastAsia="宋体" w:cs="Times New Roman"/>
                <w:color w:val="auto"/>
                <w:sz w:val="24"/>
                <w:highlight w:val="none"/>
                <w:u w:val="none" w:color="auto"/>
              </w:rPr>
              <w:t>烟气量</w:t>
            </w:r>
            <w:r>
              <w:rPr>
                <w:rFonts w:hint="default" w:ascii="Times New Roman" w:hAnsi="Times New Roman" w:eastAsia="宋体" w:cs="Times New Roman"/>
                <w:color w:val="auto"/>
                <w:sz w:val="24"/>
                <w:highlight w:val="none"/>
                <w:u w:val="none" w:color="auto"/>
                <w:lang w:eastAsia="zh-CN"/>
              </w:rPr>
              <w:t>计算过程如下：</w:t>
            </w:r>
          </w:p>
          <w:p w14:paraId="44C52892">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highlight w:val="none"/>
                <w:u w:val="single" w:color="auto"/>
                <w:lang w:val="en-US" w:eastAsia="zh-CN"/>
              </w:rPr>
            </w:pPr>
            <w:r>
              <w:rPr>
                <w:rFonts w:hint="default" w:ascii="Times New Roman" w:hAnsi="Times New Roman" w:eastAsia="宋体" w:cs="Times New Roman"/>
                <w:color w:val="auto"/>
                <w:sz w:val="24"/>
                <w:highlight w:val="none"/>
                <w:u w:val="single" w:color="auto"/>
                <w:lang w:val="en-US" w:eastAsia="zh-CN"/>
              </w:rPr>
              <w:t>参照</w:t>
            </w:r>
            <w:r>
              <w:rPr>
                <w:rFonts w:hint="eastAsia" w:cs="Times New Roman"/>
                <w:color w:val="auto"/>
                <w:sz w:val="24"/>
                <w:highlight w:val="none"/>
                <w:u w:val="single" w:color="auto"/>
                <w:lang w:val="en-US" w:eastAsia="zh-CN"/>
              </w:rPr>
              <w:t>上表</w:t>
            </w:r>
            <w:r>
              <w:rPr>
                <w:rFonts w:hint="default" w:ascii="Times New Roman" w:hAnsi="Times New Roman" w:eastAsia="宋体" w:cs="Times New Roman"/>
                <w:color w:val="auto"/>
                <w:sz w:val="24"/>
                <w:highlight w:val="none"/>
                <w:u w:val="single" w:color="auto"/>
                <w:lang w:val="en-US" w:eastAsia="zh-CN"/>
              </w:rPr>
              <w:t>工业废气量产污系数为6240标立方米/吨-原料，生物质使用量为</w:t>
            </w:r>
            <w:r>
              <w:rPr>
                <w:rFonts w:hint="eastAsia" w:cs="Times New Roman"/>
                <w:color w:val="auto"/>
                <w:sz w:val="24"/>
                <w:highlight w:val="none"/>
                <w:u w:val="single" w:color="auto"/>
                <w:lang w:val="en-US" w:eastAsia="zh-CN"/>
              </w:rPr>
              <w:t>1244.68</w:t>
            </w:r>
            <w:r>
              <w:rPr>
                <w:rFonts w:hint="default" w:ascii="Times New Roman" w:hAnsi="Times New Roman" w:eastAsia="宋体" w:cs="Times New Roman"/>
                <w:color w:val="auto"/>
                <w:sz w:val="24"/>
                <w:highlight w:val="none"/>
                <w:u w:val="single" w:color="auto"/>
                <w:lang w:val="en-US" w:eastAsia="zh-CN"/>
              </w:rPr>
              <w:t>t/a，本项目运行</w:t>
            </w:r>
            <w:r>
              <w:rPr>
                <w:rFonts w:hint="eastAsia" w:cs="Times New Roman"/>
                <w:color w:val="auto"/>
                <w:sz w:val="24"/>
                <w:highlight w:val="none"/>
                <w:u w:val="single" w:color="auto"/>
                <w:lang w:val="en-US" w:eastAsia="zh-CN"/>
              </w:rPr>
              <w:t>1200</w:t>
            </w:r>
            <w:r>
              <w:rPr>
                <w:rFonts w:hint="default" w:ascii="Times New Roman" w:hAnsi="Times New Roman" w:eastAsia="宋体" w:cs="Times New Roman"/>
                <w:color w:val="auto"/>
                <w:sz w:val="24"/>
                <w:highlight w:val="none"/>
                <w:u w:val="single" w:color="auto"/>
                <w:lang w:val="en-US" w:eastAsia="zh-CN"/>
              </w:rPr>
              <w:t>小时，经计算烟气量为</w:t>
            </w:r>
            <w:r>
              <w:rPr>
                <w:rFonts w:hint="eastAsia" w:cs="Times New Roman"/>
                <w:color w:val="auto"/>
                <w:sz w:val="24"/>
                <w:highlight w:val="none"/>
                <w:u w:val="single" w:color="auto"/>
                <w:lang w:val="en-US" w:eastAsia="zh-CN"/>
              </w:rPr>
              <w:t>7766803.2</w:t>
            </w:r>
            <w:r>
              <w:rPr>
                <w:rFonts w:hint="default" w:ascii="Times New Roman" w:hAnsi="Times New Roman" w:eastAsia="宋体" w:cs="Times New Roman"/>
                <w:color w:val="auto"/>
                <w:sz w:val="24"/>
                <w:highlight w:val="none"/>
                <w:u w:val="single" w:color="auto"/>
                <w:lang w:val="en-US" w:eastAsia="zh-CN"/>
              </w:rPr>
              <w:t>Nm</w:t>
            </w:r>
            <w:r>
              <w:rPr>
                <w:rFonts w:hint="default" w:ascii="Times New Roman" w:hAnsi="Times New Roman" w:eastAsia="宋体" w:cs="Times New Roman"/>
                <w:color w:val="auto"/>
                <w:sz w:val="24"/>
                <w:highlight w:val="none"/>
                <w:u w:val="single" w:color="auto"/>
                <w:vertAlign w:val="superscript"/>
                <w:lang w:val="en-US" w:eastAsia="zh-CN"/>
              </w:rPr>
              <w:t>3</w:t>
            </w:r>
            <w:r>
              <w:rPr>
                <w:rFonts w:hint="default" w:ascii="Times New Roman" w:hAnsi="Times New Roman" w:eastAsia="宋体" w:cs="Times New Roman"/>
                <w:color w:val="auto"/>
                <w:sz w:val="24"/>
                <w:highlight w:val="none"/>
                <w:u w:val="single" w:color="auto"/>
                <w:lang w:val="en-US" w:eastAsia="zh-CN"/>
              </w:rPr>
              <w:t>/a（</w:t>
            </w:r>
            <w:r>
              <w:rPr>
                <w:rFonts w:hint="eastAsia" w:cs="Times New Roman"/>
                <w:color w:val="auto"/>
                <w:sz w:val="24"/>
                <w:highlight w:val="none"/>
                <w:u w:val="single" w:color="auto"/>
                <w:lang w:val="en-US" w:eastAsia="zh-CN"/>
              </w:rPr>
              <w:t>6472.336</w:t>
            </w:r>
            <w:r>
              <w:rPr>
                <w:rFonts w:hint="default" w:ascii="Times New Roman" w:hAnsi="Times New Roman" w:eastAsia="宋体" w:cs="Times New Roman"/>
                <w:color w:val="auto"/>
                <w:sz w:val="24"/>
                <w:highlight w:val="none"/>
                <w:u w:val="single" w:color="auto"/>
                <w:lang w:val="en-US" w:eastAsia="zh-CN"/>
              </w:rPr>
              <w:t>Nm</w:t>
            </w:r>
            <w:r>
              <w:rPr>
                <w:rFonts w:hint="default" w:ascii="Times New Roman" w:hAnsi="Times New Roman" w:eastAsia="宋体" w:cs="Times New Roman"/>
                <w:color w:val="auto"/>
                <w:sz w:val="24"/>
                <w:highlight w:val="none"/>
                <w:u w:val="single" w:color="auto"/>
                <w:vertAlign w:val="superscript"/>
                <w:lang w:val="en-US" w:eastAsia="zh-CN"/>
              </w:rPr>
              <w:t>3</w:t>
            </w:r>
            <w:r>
              <w:rPr>
                <w:rFonts w:hint="default" w:ascii="Times New Roman" w:hAnsi="Times New Roman" w:eastAsia="宋体" w:cs="Times New Roman"/>
                <w:color w:val="auto"/>
                <w:sz w:val="24"/>
                <w:highlight w:val="none"/>
                <w:u w:val="single" w:color="auto"/>
                <w:lang w:val="en-US" w:eastAsia="zh-CN"/>
              </w:rPr>
              <w:t>/h）。</w:t>
            </w:r>
          </w:p>
          <w:p w14:paraId="29DA0DDA">
            <w:pPr>
              <w:keepNext w:val="0"/>
              <w:keepLines w:val="0"/>
              <w:pageBreakBefore w:val="0"/>
              <w:widowControl w:val="0"/>
              <w:kinsoku/>
              <w:wordWrap/>
              <w:overflowPunct/>
              <w:topLinePunct w:val="0"/>
              <w:autoSpaceDE w:val="0"/>
              <w:autoSpaceDN w:val="0"/>
              <w:bidi w:val="0"/>
              <w:adjustRightInd w:val="0"/>
              <w:snapToGrid w:val="0"/>
              <w:spacing w:line="560" w:lineRule="exact"/>
              <w:ind w:firstLine="480" w:firstLineChars="200"/>
              <w:jc w:val="both"/>
              <w:textAlignment w:val="auto"/>
              <w:rPr>
                <w:rFonts w:hint="default" w:ascii="Times New Roman" w:hAnsi="Times New Roman" w:cs="Times New Roman"/>
                <w:color w:val="auto"/>
                <w:highlight w:val="none"/>
                <w:u w:val="none" w:color="auto"/>
              </w:rPr>
            </w:pPr>
            <w:r>
              <w:rPr>
                <w:rFonts w:hint="default" w:ascii="Times New Roman" w:hAnsi="Times New Roman" w:eastAsia="宋体" w:cs="Times New Roman"/>
                <w:color w:val="auto"/>
                <w:spacing w:val="0"/>
                <w:kern w:val="21"/>
                <w:sz w:val="24"/>
                <w:szCs w:val="24"/>
                <w:highlight w:val="none"/>
                <w:u w:val="none" w:color="auto"/>
                <w:lang w:val="en-US" w:eastAsia="zh-CN" w:bidi="ar-SA"/>
              </w:rPr>
              <w:t>②</w:t>
            </w:r>
            <w:r>
              <w:rPr>
                <w:rFonts w:hint="default" w:ascii="Times New Roman" w:hAnsi="Times New Roman" w:eastAsia="宋体" w:cs="Times New Roman"/>
                <w:color w:val="auto"/>
                <w:kern w:val="2"/>
                <w:sz w:val="24"/>
                <w:szCs w:val="24"/>
                <w:highlight w:val="none"/>
                <w:u w:val="none" w:color="auto"/>
                <w:lang w:val="en-US" w:eastAsia="zh-CN" w:bidi="ar"/>
              </w:rPr>
              <w:t>颗粒物计算公式如下：</w:t>
            </w:r>
          </w:p>
          <w:p w14:paraId="1E02E786">
            <w:pPr>
              <w:keepNext w:val="0"/>
              <w:keepLines w:val="0"/>
              <w:pageBreakBefore w:val="0"/>
              <w:widowControl w:val="0"/>
              <w:kinsoku/>
              <w:wordWrap/>
              <w:overflowPunct/>
              <w:topLinePunct w:val="0"/>
              <w:autoSpaceDE w:val="0"/>
              <w:autoSpaceDN w:val="0"/>
              <w:bidi w:val="0"/>
              <w:adjustRightInd w:val="0"/>
              <w:snapToGrid w:val="0"/>
              <w:spacing w:line="240" w:lineRule="auto"/>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bidi="ar-SA"/>
              </w:rPr>
            </w:pPr>
            <w:r>
              <w:rPr>
                <w:rFonts w:hint="default" w:ascii="Times New Roman" w:hAnsi="Times New Roman" w:eastAsia="宋体" w:cs="Times New Roman"/>
                <w:color w:val="auto"/>
                <w:position w:val="-54"/>
                <w:sz w:val="24"/>
                <w:highlight w:val="none"/>
                <w:u w:val="none" w:color="auto"/>
              </w:rPr>
              <w:object>
                <v:shape id="_x0000_i1025" o:spt="75" type="#_x0000_t75" style="height:60pt;width:150pt;" o:ole="t" filled="f" o:preferrelative="t" stroked="f" coordsize="21600,21600">
                  <v:path/>
                  <v:fill on="f" focussize="0,0"/>
                  <v:stroke on="f"/>
                  <v:imagedata r:id="rId11" o:title=""/>
                  <o:lock v:ext="edit" aspectratio="t"/>
                  <w10:wrap type="none"/>
                  <w10:anchorlock/>
                </v:shape>
                <o:OLEObject Type="Embed" ProgID="Equation.KSEE3" ShapeID="_x0000_i1025" DrawAspect="Content" ObjectID="_1468075725" r:id="rId10">
                  <o:LockedField>false</o:LockedField>
                </o:OLEObject>
              </w:object>
            </w:r>
          </w:p>
          <w:p w14:paraId="2236097F">
            <w:pPr>
              <w:pStyle w:val="22"/>
              <w:tabs>
                <w:tab w:val="right" w:leader="dot" w:pos="8296"/>
              </w:tabs>
              <w:snapToGrid/>
              <w:spacing w:line="360" w:lineRule="auto"/>
              <w:ind w:left="0" w:firstLine="480" w:firstLineChars="200"/>
              <w:jc w:val="left"/>
              <w:rPr>
                <w:rFonts w:hint="default" w:ascii="Times New Roman" w:hAnsi="Times New Roman" w:eastAsia="宋体" w:cs="Times New Roman"/>
                <w:b w:val="0"/>
                <w:bCs/>
                <w:smallCaps w:val="0"/>
                <w:color w:val="auto"/>
                <w:sz w:val="24"/>
                <w:szCs w:val="24"/>
                <w:highlight w:val="none"/>
                <w:u w:val="none" w:color="auto"/>
              </w:rPr>
            </w:pPr>
            <w:r>
              <w:rPr>
                <w:rFonts w:hint="default" w:ascii="Times New Roman" w:hAnsi="Times New Roman" w:eastAsia="宋体" w:cs="Times New Roman"/>
                <w:b w:val="0"/>
                <w:bCs/>
                <w:smallCaps w:val="0"/>
                <w:color w:val="auto"/>
                <w:sz w:val="24"/>
                <w:szCs w:val="24"/>
                <w:highlight w:val="none"/>
                <w:u w:val="none" w:color="auto"/>
              </w:rPr>
              <w:t>式中：E</w:t>
            </w:r>
            <w:r>
              <w:rPr>
                <w:rFonts w:hint="default" w:ascii="Times New Roman" w:hAnsi="Times New Roman" w:eastAsia="宋体" w:cs="Times New Roman"/>
                <w:b w:val="0"/>
                <w:bCs/>
                <w:smallCaps w:val="0"/>
                <w:color w:val="auto"/>
                <w:sz w:val="24"/>
                <w:szCs w:val="24"/>
                <w:highlight w:val="none"/>
                <w:u w:val="none" w:color="auto"/>
                <w:vertAlign w:val="subscript"/>
              </w:rPr>
              <w:t>A</w:t>
            </w:r>
            <w:r>
              <w:rPr>
                <w:rFonts w:hint="default" w:ascii="Times New Roman" w:hAnsi="Times New Roman" w:eastAsia="宋体" w:cs="Times New Roman"/>
                <w:b w:val="0"/>
                <w:bCs/>
                <w:smallCaps w:val="0"/>
                <w:color w:val="auto"/>
                <w:sz w:val="24"/>
                <w:szCs w:val="24"/>
                <w:highlight w:val="none"/>
                <w:u w:val="none" w:color="auto"/>
              </w:rPr>
              <w:t>----核算时段内颗粒物</w:t>
            </w:r>
            <w:r>
              <w:rPr>
                <w:rFonts w:hint="eastAsia" w:cs="Times New Roman"/>
                <w:b w:val="0"/>
                <w:bCs/>
                <w:smallCaps w:val="0"/>
                <w:color w:val="auto"/>
                <w:sz w:val="24"/>
                <w:szCs w:val="24"/>
                <w:highlight w:val="none"/>
                <w:u w:val="none" w:color="auto"/>
                <w:lang w:eastAsia="zh-CN"/>
              </w:rPr>
              <w:t>（</w:t>
            </w:r>
            <w:r>
              <w:rPr>
                <w:rFonts w:hint="default" w:ascii="Times New Roman" w:hAnsi="Times New Roman" w:eastAsia="宋体" w:cs="Times New Roman"/>
                <w:b w:val="0"/>
                <w:bCs/>
                <w:smallCaps w:val="0"/>
                <w:color w:val="auto"/>
                <w:sz w:val="24"/>
                <w:szCs w:val="24"/>
                <w:highlight w:val="none"/>
                <w:u w:val="none" w:color="auto"/>
              </w:rPr>
              <w:t>烟尘</w:t>
            </w:r>
            <w:r>
              <w:rPr>
                <w:rFonts w:hint="eastAsia" w:cs="Times New Roman"/>
                <w:b w:val="0"/>
                <w:bCs/>
                <w:smallCaps w:val="0"/>
                <w:color w:val="auto"/>
                <w:sz w:val="24"/>
                <w:szCs w:val="24"/>
                <w:highlight w:val="none"/>
                <w:u w:val="none" w:color="auto"/>
                <w:lang w:eastAsia="zh-CN"/>
              </w:rPr>
              <w:t>）</w:t>
            </w:r>
            <w:r>
              <w:rPr>
                <w:rFonts w:hint="default" w:ascii="Times New Roman" w:hAnsi="Times New Roman" w:eastAsia="宋体" w:cs="Times New Roman"/>
                <w:b w:val="0"/>
                <w:bCs/>
                <w:smallCaps w:val="0"/>
                <w:color w:val="auto"/>
                <w:sz w:val="24"/>
                <w:szCs w:val="24"/>
                <w:highlight w:val="none"/>
                <w:u w:val="none" w:color="auto"/>
              </w:rPr>
              <w:t>排放量，t；</w:t>
            </w:r>
          </w:p>
          <w:p w14:paraId="181CDE7B">
            <w:pPr>
              <w:pStyle w:val="22"/>
              <w:tabs>
                <w:tab w:val="right" w:leader="dot" w:pos="8296"/>
              </w:tabs>
              <w:snapToGrid/>
              <w:spacing w:line="360" w:lineRule="auto"/>
              <w:ind w:left="0" w:firstLine="1200" w:firstLineChars="500"/>
              <w:jc w:val="left"/>
              <w:rPr>
                <w:rFonts w:hint="default" w:ascii="Times New Roman" w:hAnsi="Times New Roman" w:eastAsia="宋体" w:cs="Times New Roman"/>
                <w:b w:val="0"/>
                <w:bCs/>
                <w:smallCaps w:val="0"/>
                <w:color w:val="auto"/>
                <w:sz w:val="24"/>
                <w:szCs w:val="24"/>
                <w:highlight w:val="none"/>
                <w:u w:val="none" w:color="auto"/>
              </w:rPr>
            </w:pPr>
            <w:r>
              <w:rPr>
                <w:rFonts w:hint="default" w:ascii="Times New Roman" w:hAnsi="Times New Roman" w:eastAsia="宋体" w:cs="Times New Roman"/>
                <w:b w:val="0"/>
                <w:bCs/>
                <w:smallCaps w:val="0"/>
                <w:color w:val="auto"/>
                <w:sz w:val="24"/>
                <w:szCs w:val="24"/>
                <w:highlight w:val="none"/>
                <w:u w:val="none" w:color="auto"/>
              </w:rPr>
              <w:t>R----核算时段内锅炉燃</w:t>
            </w:r>
            <w:r>
              <w:rPr>
                <w:rFonts w:hint="eastAsia" w:cs="Times New Roman"/>
                <w:b w:val="0"/>
                <w:bCs/>
                <w:smallCaps w:val="0"/>
                <w:color w:val="auto"/>
                <w:sz w:val="24"/>
                <w:szCs w:val="24"/>
                <w:highlight w:val="none"/>
                <w:u w:val="none" w:color="auto"/>
                <w:lang w:eastAsia="zh-CN"/>
              </w:rPr>
              <w:t>料消</w:t>
            </w:r>
            <w:r>
              <w:rPr>
                <w:rFonts w:hint="default" w:ascii="Times New Roman" w:hAnsi="Times New Roman" w:eastAsia="宋体" w:cs="Times New Roman"/>
                <w:b w:val="0"/>
                <w:bCs/>
                <w:smallCaps w:val="0"/>
                <w:color w:val="auto"/>
                <w:sz w:val="24"/>
                <w:szCs w:val="24"/>
                <w:highlight w:val="none"/>
                <w:u w:val="none" w:color="auto"/>
              </w:rPr>
              <w:t>耗量，t；</w:t>
            </w:r>
          </w:p>
          <w:p w14:paraId="4B0EE993">
            <w:pPr>
              <w:pStyle w:val="22"/>
              <w:tabs>
                <w:tab w:val="right" w:leader="dot" w:pos="8296"/>
              </w:tabs>
              <w:snapToGrid/>
              <w:spacing w:line="360" w:lineRule="auto"/>
              <w:ind w:left="0" w:firstLine="1200" w:firstLineChars="500"/>
              <w:jc w:val="left"/>
              <w:rPr>
                <w:rFonts w:hint="default" w:ascii="Times New Roman" w:hAnsi="Times New Roman" w:eastAsia="宋体" w:cs="Times New Roman"/>
                <w:b w:val="0"/>
                <w:bCs/>
                <w:smallCaps w:val="0"/>
                <w:color w:val="auto"/>
                <w:sz w:val="24"/>
                <w:szCs w:val="24"/>
                <w:highlight w:val="none"/>
                <w:u w:val="none" w:color="auto"/>
                <w:lang w:val="en-US" w:eastAsia="zh-CN"/>
              </w:rPr>
            </w:pPr>
            <w:r>
              <w:rPr>
                <w:rFonts w:hint="default" w:ascii="Times New Roman" w:hAnsi="Times New Roman" w:eastAsia="宋体" w:cs="Times New Roman"/>
                <w:b w:val="0"/>
                <w:bCs/>
                <w:smallCaps w:val="0"/>
                <w:color w:val="auto"/>
                <w:sz w:val="24"/>
                <w:szCs w:val="24"/>
                <w:highlight w:val="none"/>
                <w:u w:val="none" w:color="auto"/>
              </w:rPr>
              <w:t>A</w:t>
            </w:r>
            <w:r>
              <w:rPr>
                <w:rFonts w:hint="default" w:ascii="Times New Roman" w:hAnsi="Times New Roman" w:eastAsia="宋体" w:cs="Times New Roman"/>
                <w:b w:val="0"/>
                <w:bCs/>
                <w:smallCaps w:val="0"/>
                <w:color w:val="auto"/>
                <w:sz w:val="24"/>
                <w:szCs w:val="24"/>
                <w:highlight w:val="none"/>
                <w:u w:val="none" w:color="auto"/>
                <w:vertAlign w:val="subscript"/>
              </w:rPr>
              <w:t>ar</w:t>
            </w:r>
            <w:r>
              <w:rPr>
                <w:rFonts w:hint="default" w:ascii="Times New Roman" w:hAnsi="Times New Roman" w:eastAsia="宋体" w:cs="Times New Roman"/>
                <w:b w:val="0"/>
                <w:bCs/>
                <w:smallCaps w:val="0"/>
                <w:color w:val="auto"/>
                <w:sz w:val="24"/>
                <w:szCs w:val="24"/>
                <w:highlight w:val="none"/>
                <w:u w:val="none" w:color="auto"/>
              </w:rPr>
              <w:t>----收到基灰分的质量分数，%；</w:t>
            </w:r>
          </w:p>
          <w:p w14:paraId="0D4871EE">
            <w:pPr>
              <w:pStyle w:val="22"/>
              <w:tabs>
                <w:tab w:val="right" w:leader="dot" w:pos="8296"/>
              </w:tabs>
              <w:snapToGrid/>
              <w:spacing w:line="360" w:lineRule="auto"/>
              <w:ind w:left="0" w:firstLine="1200" w:firstLineChars="500"/>
              <w:jc w:val="left"/>
              <w:rPr>
                <w:rFonts w:hint="default" w:ascii="Times New Roman" w:hAnsi="Times New Roman" w:eastAsia="宋体" w:cs="Times New Roman"/>
                <w:b w:val="0"/>
                <w:bCs/>
                <w:smallCaps w:val="0"/>
                <w:color w:val="auto"/>
                <w:sz w:val="24"/>
                <w:szCs w:val="24"/>
                <w:highlight w:val="none"/>
                <w:u w:val="none" w:color="auto"/>
                <w:lang w:val="en-US" w:eastAsia="zh-CN"/>
              </w:rPr>
            </w:pPr>
            <w:r>
              <w:rPr>
                <w:rFonts w:hint="default" w:ascii="Times New Roman" w:hAnsi="Times New Roman" w:eastAsia="宋体" w:cs="Times New Roman"/>
                <w:b w:val="0"/>
                <w:bCs/>
                <w:smallCaps w:val="0"/>
                <w:color w:val="auto"/>
                <w:sz w:val="24"/>
                <w:szCs w:val="24"/>
                <w:highlight w:val="none"/>
                <w:u w:val="none" w:color="auto"/>
              </w:rPr>
              <w:t>d</w:t>
            </w:r>
            <w:r>
              <w:rPr>
                <w:rFonts w:hint="default" w:ascii="Times New Roman" w:hAnsi="Times New Roman" w:eastAsia="宋体" w:cs="Times New Roman"/>
                <w:b w:val="0"/>
                <w:bCs/>
                <w:smallCaps w:val="0"/>
                <w:color w:val="auto"/>
                <w:sz w:val="24"/>
                <w:szCs w:val="24"/>
                <w:highlight w:val="none"/>
                <w:u w:val="none" w:color="auto"/>
                <w:vertAlign w:val="subscript"/>
              </w:rPr>
              <w:t>fh</w:t>
            </w:r>
            <w:r>
              <w:rPr>
                <w:rFonts w:hint="default" w:ascii="Times New Roman" w:hAnsi="Times New Roman" w:eastAsia="宋体" w:cs="Times New Roman"/>
                <w:b w:val="0"/>
                <w:bCs/>
                <w:smallCaps w:val="0"/>
                <w:color w:val="auto"/>
                <w:sz w:val="24"/>
                <w:szCs w:val="24"/>
                <w:highlight w:val="none"/>
                <w:u w:val="none" w:color="auto"/>
              </w:rPr>
              <w:t>----锅炉烟气带出的飞灰份额，%；</w:t>
            </w:r>
          </w:p>
          <w:p w14:paraId="3BE37DC2">
            <w:pPr>
              <w:pStyle w:val="22"/>
              <w:tabs>
                <w:tab w:val="right" w:leader="dot" w:pos="8296"/>
              </w:tabs>
              <w:snapToGrid/>
              <w:spacing w:line="360" w:lineRule="auto"/>
              <w:ind w:left="0" w:firstLine="1200" w:firstLineChars="500"/>
              <w:jc w:val="left"/>
              <w:rPr>
                <w:rFonts w:hint="default" w:ascii="Times New Roman" w:hAnsi="Times New Roman" w:eastAsia="宋体" w:cs="Times New Roman"/>
                <w:b w:val="0"/>
                <w:bCs/>
                <w:smallCaps w:val="0"/>
                <w:color w:val="auto"/>
                <w:sz w:val="24"/>
                <w:szCs w:val="24"/>
                <w:highlight w:val="none"/>
                <w:u w:val="none" w:color="auto"/>
                <w:lang w:val="en-US" w:eastAsia="zh-CN"/>
              </w:rPr>
            </w:pPr>
            <w:r>
              <w:rPr>
                <w:rFonts w:hint="default" w:ascii="Times New Roman" w:hAnsi="Times New Roman" w:eastAsia="宋体" w:cs="Times New Roman"/>
                <w:b w:val="0"/>
                <w:bCs/>
                <w:smallCaps w:val="0"/>
                <w:color w:val="auto"/>
                <w:sz w:val="24"/>
                <w:szCs w:val="24"/>
                <w:highlight w:val="none"/>
                <w:u w:val="none" w:color="auto"/>
              </w:rPr>
              <w:t>η</w:t>
            </w:r>
            <w:r>
              <w:rPr>
                <w:rFonts w:hint="default" w:ascii="Times New Roman" w:hAnsi="Times New Roman" w:eastAsia="宋体" w:cs="Times New Roman"/>
                <w:b w:val="0"/>
                <w:bCs/>
                <w:smallCaps w:val="0"/>
                <w:color w:val="auto"/>
                <w:sz w:val="24"/>
                <w:szCs w:val="24"/>
                <w:highlight w:val="none"/>
                <w:u w:val="none" w:color="auto"/>
                <w:vertAlign w:val="subscript"/>
              </w:rPr>
              <w:t>c</w:t>
            </w:r>
            <w:r>
              <w:rPr>
                <w:rFonts w:hint="default" w:ascii="Times New Roman" w:hAnsi="Times New Roman" w:eastAsia="宋体" w:cs="Times New Roman"/>
                <w:b w:val="0"/>
                <w:bCs/>
                <w:smallCaps w:val="0"/>
                <w:color w:val="auto"/>
                <w:sz w:val="24"/>
                <w:szCs w:val="24"/>
                <w:highlight w:val="none"/>
                <w:u w:val="none" w:color="auto"/>
              </w:rPr>
              <w:t>----综合除尘效率，%；</w:t>
            </w:r>
          </w:p>
          <w:p w14:paraId="35998F01">
            <w:pPr>
              <w:pStyle w:val="22"/>
              <w:tabs>
                <w:tab w:val="right" w:leader="dot" w:pos="8296"/>
              </w:tabs>
              <w:snapToGrid/>
              <w:spacing w:line="360" w:lineRule="auto"/>
              <w:ind w:left="0" w:firstLine="1200" w:firstLineChars="500"/>
              <w:jc w:val="left"/>
              <w:rPr>
                <w:rFonts w:hint="eastAsia" w:ascii="Times New Roman" w:hAnsi="Times New Roman" w:eastAsia="宋体" w:cs="Times New Roman"/>
                <w:b w:val="0"/>
                <w:bCs/>
                <w:smallCaps w:val="0"/>
                <w:color w:val="auto"/>
                <w:sz w:val="24"/>
                <w:szCs w:val="24"/>
                <w:highlight w:val="none"/>
                <w:u w:val="none" w:color="auto"/>
                <w:lang w:eastAsia="zh-CN"/>
              </w:rPr>
            </w:pPr>
            <w:r>
              <w:rPr>
                <w:rFonts w:hint="default" w:ascii="Times New Roman" w:hAnsi="Times New Roman" w:eastAsia="宋体" w:cs="Times New Roman"/>
                <w:b w:val="0"/>
                <w:bCs/>
                <w:smallCaps w:val="0"/>
                <w:color w:val="auto"/>
                <w:sz w:val="24"/>
                <w:szCs w:val="24"/>
                <w:highlight w:val="none"/>
                <w:u w:val="none" w:color="auto"/>
              </w:rPr>
              <w:t>C</w:t>
            </w:r>
            <w:r>
              <w:rPr>
                <w:rFonts w:hint="default" w:ascii="Times New Roman" w:hAnsi="Times New Roman" w:eastAsia="宋体" w:cs="Times New Roman"/>
                <w:b w:val="0"/>
                <w:bCs/>
                <w:smallCaps w:val="0"/>
                <w:color w:val="auto"/>
                <w:sz w:val="24"/>
                <w:szCs w:val="24"/>
                <w:highlight w:val="none"/>
                <w:u w:val="none" w:color="auto"/>
                <w:vertAlign w:val="subscript"/>
              </w:rPr>
              <w:t>fh</w:t>
            </w:r>
            <w:r>
              <w:rPr>
                <w:rFonts w:hint="default" w:ascii="Times New Roman" w:hAnsi="Times New Roman" w:eastAsia="宋体" w:cs="Times New Roman"/>
                <w:b w:val="0"/>
                <w:bCs/>
                <w:smallCaps w:val="0"/>
                <w:color w:val="auto"/>
                <w:sz w:val="24"/>
                <w:szCs w:val="24"/>
                <w:highlight w:val="none"/>
                <w:u w:val="none" w:color="auto"/>
              </w:rPr>
              <w:t>----飞灰中的可燃物含量，%</w:t>
            </w:r>
            <w:r>
              <w:rPr>
                <w:rFonts w:hint="eastAsia" w:cs="Times New Roman"/>
                <w:b w:val="0"/>
                <w:bCs/>
                <w:smallCaps w:val="0"/>
                <w:color w:val="auto"/>
                <w:sz w:val="24"/>
                <w:szCs w:val="24"/>
                <w:highlight w:val="none"/>
                <w:u w:val="none" w:color="auto"/>
                <w:lang w:eastAsia="zh-CN"/>
              </w:rPr>
              <w:t>。</w:t>
            </w:r>
          </w:p>
          <w:p w14:paraId="56BF7208">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rPr>
                <w:rFonts w:hint="default" w:ascii="Times New Roman" w:hAnsi="Times New Roman" w:eastAsia="宋体" w:cs="Times New Roman"/>
                <w:b/>
                <w:bCs/>
                <w:color w:val="auto"/>
                <w:spacing w:val="0"/>
                <w:kern w:val="21"/>
                <w:sz w:val="24"/>
                <w:szCs w:val="24"/>
                <w:highlight w:val="none"/>
                <w:u w:val="single" w:color="auto"/>
                <w:lang w:val="en-US" w:eastAsia="zh-CN"/>
              </w:rPr>
            </w:pPr>
            <w:r>
              <w:rPr>
                <w:rFonts w:hint="default" w:ascii="Times New Roman" w:hAnsi="Times New Roman" w:eastAsia="宋体" w:cs="Times New Roman"/>
                <w:b/>
                <w:bCs/>
                <w:color w:val="auto"/>
                <w:spacing w:val="0"/>
                <w:kern w:val="21"/>
                <w:sz w:val="24"/>
                <w:szCs w:val="24"/>
                <w:highlight w:val="none"/>
                <w:u w:val="single" w:color="auto"/>
                <w:lang w:val="en-US" w:eastAsia="zh-CN"/>
              </w:rPr>
              <w:t>表</w:t>
            </w:r>
            <w:r>
              <w:rPr>
                <w:rFonts w:hint="eastAsia" w:ascii="Times New Roman" w:hAnsi="Times New Roman" w:eastAsia="宋体" w:cs="Times New Roman"/>
                <w:b/>
                <w:bCs/>
                <w:color w:val="auto"/>
                <w:spacing w:val="0"/>
                <w:kern w:val="21"/>
                <w:sz w:val="24"/>
                <w:szCs w:val="24"/>
                <w:highlight w:val="none"/>
                <w:u w:val="single" w:color="auto"/>
                <w:lang w:val="en-US" w:eastAsia="zh-CN"/>
              </w:rPr>
              <w:t>4-1  颗粒物计算结果</w:t>
            </w:r>
          </w:p>
          <w:tbl>
            <w:tblPr>
              <w:tblStyle w:val="29"/>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53"/>
              <w:gridCol w:w="947"/>
              <w:gridCol w:w="972"/>
              <w:gridCol w:w="972"/>
              <w:gridCol w:w="972"/>
              <w:gridCol w:w="972"/>
              <w:gridCol w:w="983"/>
            </w:tblGrid>
            <w:tr w14:paraId="71C091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1304" w:type="pct"/>
                  <w:tcBorders>
                    <w:tl2br w:val="nil"/>
                    <w:tr2bl w:val="nil"/>
                  </w:tcBorders>
                  <w:vAlign w:val="center"/>
                </w:tcPr>
                <w:p w14:paraId="6319FC25">
                  <w:pPr>
                    <w:widowControl/>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计算公式</w:t>
                  </w:r>
                </w:p>
              </w:tc>
              <w:tc>
                <w:tcPr>
                  <w:tcW w:w="601" w:type="pct"/>
                  <w:tcBorders>
                    <w:tl2br w:val="nil"/>
                    <w:tr2bl w:val="nil"/>
                  </w:tcBorders>
                  <w:vAlign w:val="center"/>
                </w:tcPr>
                <w:p w14:paraId="7738D831">
                  <w:pPr>
                    <w:widowControl/>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R（t）</w:t>
                  </w:r>
                </w:p>
              </w:tc>
              <w:tc>
                <w:tcPr>
                  <w:tcW w:w="617" w:type="pct"/>
                  <w:tcBorders>
                    <w:tl2br w:val="nil"/>
                    <w:tr2bl w:val="nil"/>
                  </w:tcBorders>
                  <w:vAlign w:val="center"/>
                </w:tcPr>
                <w:p w14:paraId="6383BF34">
                  <w:pPr>
                    <w:widowControl/>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Aar（%）</w:t>
                  </w:r>
                </w:p>
              </w:tc>
              <w:tc>
                <w:tcPr>
                  <w:tcW w:w="617" w:type="pct"/>
                  <w:tcBorders>
                    <w:tl2br w:val="nil"/>
                    <w:tr2bl w:val="nil"/>
                  </w:tcBorders>
                  <w:vAlign w:val="center"/>
                </w:tcPr>
                <w:p w14:paraId="3F8294C6">
                  <w:pPr>
                    <w:widowControl/>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d</w:t>
                  </w:r>
                  <w:r>
                    <w:rPr>
                      <w:rFonts w:hint="default" w:ascii="Times New Roman" w:hAnsi="Times New Roman" w:cs="Times New Roman"/>
                      <w:color w:val="auto"/>
                      <w:kern w:val="0"/>
                      <w:sz w:val="21"/>
                      <w:szCs w:val="21"/>
                      <w:highlight w:val="none"/>
                      <w:u w:val="single" w:color="auto"/>
                      <w:vertAlign w:val="subscript"/>
                      <w:lang w:bidi="ar"/>
                    </w:rPr>
                    <w:t>fh</w:t>
                  </w:r>
                  <w:r>
                    <w:rPr>
                      <w:rStyle w:val="75"/>
                      <w:rFonts w:hint="default" w:ascii="Times New Roman" w:hAnsi="Times New Roman" w:cs="Times New Roman"/>
                      <w:color w:val="auto"/>
                      <w:sz w:val="21"/>
                      <w:szCs w:val="21"/>
                      <w:highlight w:val="none"/>
                      <w:u w:val="single" w:color="auto"/>
                      <w:vertAlign w:val="baseline"/>
                      <w:lang w:bidi="ar"/>
                    </w:rPr>
                    <w:t>（%）</w:t>
                  </w:r>
                </w:p>
              </w:tc>
              <w:tc>
                <w:tcPr>
                  <w:tcW w:w="617" w:type="pct"/>
                  <w:tcBorders>
                    <w:tl2br w:val="nil"/>
                    <w:tr2bl w:val="nil"/>
                  </w:tcBorders>
                  <w:vAlign w:val="center"/>
                </w:tcPr>
                <w:p w14:paraId="508DD082">
                  <w:pPr>
                    <w:widowControl/>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η</w:t>
                  </w:r>
                  <w:r>
                    <w:rPr>
                      <w:rFonts w:hint="default" w:ascii="Times New Roman" w:hAnsi="Times New Roman" w:cs="Times New Roman"/>
                      <w:color w:val="auto"/>
                      <w:kern w:val="0"/>
                      <w:sz w:val="21"/>
                      <w:szCs w:val="21"/>
                      <w:highlight w:val="none"/>
                      <w:u w:val="single" w:color="auto"/>
                      <w:vertAlign w:val="subscript"/>
                      <w:lang w:bidi="ar"/>
                    </w:rPr>
                    <w:t>c</w:t>
                  </w:r>
                  <w:r>
                    <w:rPr>
                      <w:rStyle w:val="75"/>
                      <w:rFonts w:hint="default" w:ascii="Times New Roman" w:hAnsi="Times New Roman" w:cs="Times New Roman"/>
                      <w:color w:val="auto"/>
                      <w:sz w:val="21"/>
                      <w:szCs w:val="21"/>
                      <w:highlight w:val="none"/>
                      <w:u w:val="single" w:color="auto"/>
                      <w:vertAlign w:val="baseline"/>
                      <w:lang w:bidi="ar"/>
                    </w:rPr>
                    <w:t>（</w:t>
                  </w:r>
                  <w:r>
                    <w:rPr>
                      <w:rStyle w:val="65"/>
                      <w:rFonts w:hint="default" w:ascii="Times New Roman" w:hAnsi="Times New Roman" w:cs="Times New Roman"/>
                      <w:color w:val="auto"/>
                      <w:sz w:val="21"/>
                      <w:szCs w:val="21"/>
                      <w:highlight w:val="none"/>
                      <w:u w:val="single" w:color="auto"/>
                      <w:lang w:bidi="ar"/>
                    </w:rPr>
                    <w:t>%</w:t>
                  </w:r>
                  <w:r>
                    <w:rPr>
                      <w:rStyle w:val="75"/>
                      <w:rFonts w:hint="default" w:ascii="Times New Roman" w:hAnsi="Times New Roman" w:cs="Times New Roman"/>
                      <w:color w:val="auto"/>
                      <w:sz w:val="21"/>
                      <w:szCs w:val="21"/>
                      <w:highlight w:val="none"/>
                      <w:u w:val="single" w:color="auto"/>
                      <w:vertAlign w:val="baseline"/>
                      <w:lang w:bidi="ar"/>
                    </w:rPr>
                    <w:t>）</w:t>
                  </w:r>
                </w:p>
              </w:tc>
              <w:tc>
                <w:tcPr>
                  <w:tcW w:w="617" w:type="pct"/>
                  <w:tcBorders>
                    <w:tl2br w:val="nil"/>
                    <w:tr2bl w:val="nil"/>
                  </w:tcBorders>
                  <w:vAlign w:val="center"/>
                </w:tcPr>
                <w:p w14:paraId="5BA1C8CC">
                  <w:pPr>
                    <w:widowControl/>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C</w:t>
                  </w:r>
                  <w:r>
                    <w:rPr>
                      <w:rFonts w:hint="default" w:ascii="Times New Roman" w:hAnsi="Times New Roman" w:cs="Times New Roman"/>
                      <w:color w:val="auto"/>
                      <w:kern w:val="0"/>
                      <w:sz w:val="21"/>
                      <w:szCs w:val="21"/>
                      <w:highlight w:val="none"/>
                      <w:u w:val="single" w:color="auto"/>
                      <w:vertAlign w:val="subscript"/>
                      <w:lang w:bidi="ar"/>
                    </w:rPr>
                    <w:t>fn</w:t>
                  </w:r>
                  <w:r>
                    <w:rPr>
                      <w:rStyle w:val="75"/>
                      <w:rFonts w:hint="default" w:ascii="Times New Roman" w:hAnsi="Times New Roman" w:cs="Times New Roman"/>
                      <w:color w:val="auto"/>
                      <w:sz w:val="21"/>
                      <w:szCs w:val="21"/>
                      <w:highlight w:val="none"/>
                      <w:u w:val="single" w:color="auto"/>
                      <w:vertAlign w:val="baseline"/>
                      <w:lang w:bidi="ar"/>
                    </w:rPr>
                    <w:t>（%）</w:t>
                  </w:r>
                </w:p>
              </w:tc>
              <w:tc>
                <w:tcPr>
                  <w:tcW w:w="624" w:type="pct"/>
                  <w:tcBorders>
                    <w:tl2br w:val="nil"/>
                    <w:tr2bl w:val="nil"/>
                  </w:tcBorders>
                  <w:vAlign w:val="center"/>
                </w:tcPr>
                <w:p w14:paraId="78AAA87B">
                  <w:pPr>
                    <w:widowControl/>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E</w:t>
                  </w:r>
                  <w:r>
                    <w:rPr>
                      <w:rFonts w:hint="default" w:ascii="Times New Roman" w:hAnsi="Times New Roman" w:cs="Times New Roman"/>
                      <w:color w:val="auto"/>
                      <w:kern w:val="0"/>
                      <w:sz w:val="21"/>
                      <w:szCs w:val="21"/>
                      <w:highlight w:val="none"/>
                      <w:u w:val="single" w:color="auto"/>
                      <w:vertAlign w:val="subscript"/>
                      <w:lang w:bidi="ar"/>
                    </w:rPr>
                    <w:t>A</w:t>
                  </w:r>
                  <w:r>
                    <w:rPr>
                      <w:rFonts w:hint="default" w:ascii="Times New Roman" w:hAnsi="Times New Roman" w:cs="Times New Roman"/>
                      <w:color w:val="auto"/>
                      <w:kern w:val="0"/>
                      <w:sz w:val="21"/>
                      <w:szCs w:val="21"/>
                      <w:highlight w:val="none"/>
                      <w:u w:val="single" w:color="auto"/>
                      <w:lang w:bidi="ar"/>
                    </w:rPr>
                    <w:t>（t/a）</w:t>
                  </w:r>
                </w:p>
              </w:tc>
            </w:tr>
            <w:tr w14:paraId="5F2421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04" w:type="pct"/>
                  <w:tcBorders>
                    <w:tl2br w:val="nil"/>
                    <w:tr2bl w:val="nil"/>
                  </w:tcBorders>
                  <w:vAlign w:val="center"/>
                </w:tcPr>
                <w:p w14:paraId="0D9C3F30">
                  <w:pPr>
                    <w:jc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sz w:val="21"/>
                      <w:szCs w:val="21"/>
                      <w:highlight w:val="none"/>
                      <w:u w:val="single" w:color="auto"/>
                    </w:rPr>
                    <w:drawing>
                      <wp:inline distT="0" distB="0" distL="114300" distR="114300">
                        <wp:extent cx="1350645" cy="330835"/>
                        <wp:effectExtent l="0" t="0" r="1905" b="12065"/>
                        <wp:docPr id="346" name="图片 1" descr="360截图20190311164235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图片 1" descr="360截图20190311164235782"/>
                                <pic:cNvPicPr>
                                  <a:picLocks noChangeAspect="1"/>
                                </pic:cNvPicPr>
                              </pic:nvPicPr>
                              <pic:blipFill>
                                <a:blip r:embed="rId12"/>
                                <a:stretch>
                                  <a:fillRect/>
                                </a:stretch>
                              </pic:blipFill>
                              <pic:spPr>
                                <a:xfrm>
                                  <a:off x="0" y="0"/>
                                  <a:ext cx="1350645" cy="330835"/>
                                </a:xfrm>
                                <a:prstGeom prst="rect">
                                  <a:avLst/>
                                </a:prstGeom>
                                <a:noFill/>
                                <a:ln w="9525">
                                  <a:noFill/>
                                </a:ln>
                              </pic:spPr>
                            </pic:pic>
                          </a:graphicData>
                        </a:graphic>
                      </wp:inline>
                    </w:drawing>
                  </w:r>
                </w:p>
              </w:tc>
              <w:tc>
                <w:tcPr>
                  <w:tcW w:w="601" w:type="pct"/>
                  <w:tcBorders>
                    <w:tl2br w:val="nil"/>
                    <w:tr2bl w:val="nil"/>
                  </w:tcBorders>
                  <w:vAlign w:val="center"/>
                </w:tcPr>
                <w:p w14:paraId="4B507168">
                  <w:pPr>
                    <w:keepNext w:val="0"/>
                    <w:keepLines w:val="0"/>
                    <w:pageBreakBefore w:val="0"/>
                    <w:widowControl/>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highlight w:val="none"/>
                      <w:u w:val="single" w:color="auto"/>
                      <w:lang w:val="en-US" w:eastAsia="zh-CN"/>
                    </w:rPr>
                  </w:pPr>
                  <w:r>
                    <w:rPr>
                      <w:rFonts w:hint="eastAsia" w:cs="Times New Roman"/>
                      <w:color w:val="auto"/>
                      <w:sz w:val="21"/>
                      <w:szCs w:val="21"/>
                      <w:highlight w:val="none"/>
                      <w:u w:val="single" w:color="auto"/>
                      <w:lang w:val="en-US" w:eastAsia="zh-CN"/>
                    </w:rPr>
                    <w:t>1244.68</w:t>
                  </w:r>
                </w:p>
              </w:tc>
              <w:tc>
                <w:tcPr>
                  <w:tcW w:w="617" w:type="pct"/>
                  <w:tcBorders>
                    <w:tl2br w:val="nil"/>
                    <w:tr2bl w:val="nil"/>
                  </w:tcBorders>
                  <w:vAlign w:val="center"/>
                </w:tcPr>
                <w:p w14:paraId="099323CE">
                  <w:pPr>
                    <w:keepNext w:val="0"/>
                    <w:keepLines w:val="0"/>
                    <w:pageBreakBefore w:val="0"/>
                    <w:widowControl/>
                    <w:kinsoku/>
                    <w:wordWrap/>
                    <w:overflowPunct/>
                    <w:topLinePunct w:val="0"/>
                    <w:autoSpaceDE/>
                    <w:autoSpaceDN/>
                    <w:bidi w:val="0"/>
                    <w:adjustRightInd/>
                    <w:snapToGrid/>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eastAsia" w:cs="Times New Roman"/>
                      <w:color w:val="auto"/>
                      <w:kern w:val="0"/>
                      <w:sz w:val="21"/>
                      <w:szCs w:val="21"/>
                      <w:highlight w:val="none"/>
                      <w:u w:val="single" w:color="auto"/>
                      <w:lang w:val="en-US" w:eastAsia="zh-CN" w:bidi="ar"/>
                    </w:rPr>
                    <w:t>15.63</w:t>
                  </w:r>
                </w:p>
              </w:tc>
              <w:tc>
                <w:tcPr>
                  <w:tcW w:w="617" w:type="pct"/>
                  <w:tcBorders>
                    <w:tl2br w:val="nil"/>
                    <w:tr2bl w:val="nil"/>
                  </w:tcBorders>
                  <w:vAlign w:val="center"/>
                </w:tcPr>
                <w:p w14:paraId="698A832A">
                  <w:pPr>
                    <w:keepNext w:val="0"/>
                    <w:keepLines w:val="0"/>
                    <w:pageBreakBefore w:val="0"/>
                    <w:widowControl/>
                    <w:kinsoku/>
                    <w:wordWrap/>
                    <w:overflowPunct/>
                    <w:topLinePunct w:val="0"/>
                    <w:autoSpaceDE/>
                    <w:autoSpaceDN/>
                    <w:bidi w:val="0"/>
                    <w:adjustRightInd/>
                    <w:snapToGrid/>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cs="Times New Roman"/>
                      <w:color w:val="auto"/>
                      <w:kern w:val="0"/>
                      <w:sz w:val="21"/>
                      <w:szCs w:val="21"/>
                      <w:highlight w:val="none"/>
                      <w:u w:val="single" w:color="auto"/>
                      <w:lang w:val="en-US" w:eastAsia="zh-CN" w:bidi="ar"/>
                    </w:rPr>
                    <w:t>50</w:t>
                  </w:r>
                </w:p>
              </w:tc>
              <w:tc>
                <w:tcPr>
                  <w:tcW w:w="617" w:type="pct"/>
                  <w:tcBorders>
                    <w:tl2br w:val="nil"/>
                    <w:tr2bl w:val="nil"/>
                  </w:tcBorders>
                  <w:vAlign w:val="center"/>
                </w:tcPr>
                <w:p w14:paraId="32F75A48">
                  <w:pPr>
                    <w:keepNext w:val="0"/>
                    <w:keepLines w:val="0"/>
                    <w:pageBreakBefore w:val="0"/>
                    <w:widowControl/>
                    <w:kinsoku/>
                    <w:wordWrap/>
                    <w:overflowPunct/>
                    <w:topLinePunct w:val="0"/>
                    <w:autoSpaceDE/>
                    <w:autoSpaceDN/>
                    <w:bidi w:val="0"/>
                    <w:adjustRightInd/>
                    <w:snapToGrid/>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cs="Times New Roman"/>
                      <w:color w:val="auto"/>
                      <w:kern w:val="0"/>
                      <w:sz w:val="21"/>
                      <w:szCs w:val="21"/>
                      <w:highlight w:val="none"/>
                      <w:u w:val="single" w:color="auto"/>
                      <w:lang w:bidi="ar"/>
                    </w:rPr>
                    <w:t>99</w:t>
                  </w:r>
                </w:p>
              </w:tc>
              <w:tc>
                <w:tcPr>
                  <w:tcW w:w="617" w:type="pct"/>
                  <w:tcBorders>
                    <w:tl2br w:val="nil"/>
                    <w:tr2bl w:val="nil"/>
                  </w:tcBorders>
                  <w:vAlign w:val="center"/>
                </w:tcPr>
                <w:p w14:paraId="2A29073F">
                  <w:pPr>
                    <w:keepNext w:val="0"/>
                    <w:keepLines w:val="0"/>
                    <w:pageBreakBefore w:val="0"/>
                    <w:widowControl/>
                    <w:kinsoku/>
                    <w:wordWrap/>
                    <w:overflowPunct/>
                    <w:topLinePunct w:val="0"/>
                    <w:autoSpaceDE/>
                    <w:autoSpaceDN/>
                    <w:bidi w:val="0"/>
                    <w:adjustRightInd/>
                    <w:snapToGrid/>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cs="Times New Roman"/>
                      <w:color w:val="auto"/>
                      <w:kern w:val="0"/>
                      <w:sz w:val="21"/>
                      <w:szCs w:val="21"/>
                      <w:highlight w:val="none"/>
                      <w:u w:val="single" w:color="auto"/>
                      <w:lang w:val="en-US" w:eastAsia="zh-CN" w:bidi="ar"/>
                    </w:rPr>
                    <w:t>15</w:t>
                  </w:r>
                </w:p>
              </w:tc>
              <w:tc>
                <w:tcPr>
                  <w:tcW w:w="624" w:type="pct"/>
                  <w:tcBorders>
                    <w:tl2br w:val="nil"/>
                    <w:tr2bl w:val="nil"/>
                  </w:tcBorders>
                  <w:vAlign w:val="center"/>
                </w:tcPr>
                <w:p w14:paraId="4C430F35">
                  <w:pPr>
                    <w:keepNext w:val="0"/>
                    <w:keepLines w:val="0"/>
                    <w:pageBreakBefore w:val="0"/>
                    <w:widowControl/>
                    <w:kinsoku/>
                    <w:wordWrap/>
                    <w:overflowPunct/>
                    <w:topLinePunct w:val="0"/>
                    <w:autoSpaceDE/>
                    <w:autoSpaceDN/>
                    <w:bidi w:val="0"/>
                    <w:adjustRightInd/>
                    <w:snapToGrid/>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eastAsia" w:cs="Times New Roman"/>
                      <w:color w:val="auto"/>
                      <w:kern w:val="0"/>
                      <w:sz w:val="21"/>
                      <w:szCs w:val="21"/>
                      <w:highlight w:val="none"/>
                      <w:u w:val="single" w:color="auto"/>
                      <w:lang w:val="en-US" w:eastAsia="zh-CN" w:bidi="ar"/>
                    </w:rPr>
                    <w:t>1.144</w:t>
                  </w:r>
                </w:p>
              </w:tc>
            </w:tr>
            <w:tr w14:paraId="787142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7"/>
                  <w:tcBorders>
                    <w:tl2br w:val="nil"/>
                    <w:tr2bl w:val="nil"/>
                  </w:tcBorders>
                  <w:vAlign w:val="center"/>
                </w:tcPr>
                <w:p w14:paraId="1B78B56C">
                  <w:pPr>
                    <w:keepNext w:val="0"/>
                    <w:keepLines w:val="0"/>
                    <w:pageBreakBefore w:val="0"/>
                    <w:widowControl/>
                    <w:kinsoku/>
                    <w:wordWrap/>
                    <w:overflowPunct/>
                    <w:topLinePunct w:val="0"/>
                    <w:autoSpaceDE/>
                    <w:autoSpaceDN/>
                    <w:bidi w:val="0"/>
                    <w:adjustRightInd/>
                    <w:snapToGrid/>
                    <w:jc w:val="left"/>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default" w:ascii="Times New Roman" w:hAnsi="Times New Roman" w:cs="Times New Roman"/>
                      <w:b w:val="0"/>
                      <w:bCs w:val="0"/>
                      <w:color w:val="auto"/>
                      <w:sz w:val="21"/>
                      <w:szCs w:val="21"/>
                      <w:highlight w:val="none"/>
                      <w:u w:val="single" w:color="auto"/>
                    </w:rPr>
                    <w:t>注：①参考《污染源源强核算技术指南锅炉》(HJ991—2018）表B.2，</w:t>
                  </w:r>
                  <w:r>
                    <w:rPr>
                      <w:rFonts w:hint="default" w:ascii="Times New Roman" w:hAnsi="Times New Roman" w:cs="Times New Roman"/>
                      <w:b w:val="0"/>
                      <w:bCs w:val="0"/>
                      <w:color w:val="auto"/>
                      <w:sz w:val="21"/>
                      <w:szCs w:val="21"/>
                      <w:highlight w:val="none"/>
                      <w:u w:val="single" w:color="auto"/>
                      <w:lang w:val="en-US" w:eastAsia="zh-CN"/>
                    </w:rPr>
                    <w:t>链条炉排炉</w:t>
                  </w:r>
                  <w:r>
                    <w:rPr>
                      <w:rFonts w:hint="default" w:ascii="Times New Roman" w:hAnsi="Times New Roman" w:cs="Times New Roman"/>
                      <w:b w:val="0"/>
                      <w:bCs w:val="0"/>
                      <w:color w:val="auto"/>
                      <w:sz w:val="21"/>
                      <w:szCs w:val="21"/>
                      <w:highlight w:val="none"/>
                      <w:u w:val="single" w:color="auto"/>
                    </w:rPr>
                    <w:t>取</w:t>
                  </w:r>
                  <w:r>
                    <w:rPr>
                      <w:rFonts w:hint="default" w:ascii="Times New Roman" w:hAnsi="Times New Roman" w:cs="Times New Roman"/>
                      <w:b w:val="0"/>
                      <w:bCs w:val="0"/>
                      <w:color w:val="auto"/>
                      <w:sz w:val="21"/>
                      <w:szCs w:val="21"/>
                      <w:highlight w:val="none"/>
                      <w:u w:val="single" w:color="auto"/>
                      <w:lang w:val="en-US" w:eastAsia="zh-CN"/>
                    </w:rPr>
                    <w:t>10-20</w:t>
                  </w:r>
                  <w:r>
                    <w:rPr>
                      <w:rFonts w:hint="default" w:ascii="Times New Roman" w:hAnsi="Times New Roman" w:cs="Times New Roman"/>
                      <w:b w:val="0"/>
                      <w:bCs w:val="0"/>
                      <w:color w:val="auto"/>
                      <w:sz w:val="21"/>
                      <w:szCs w:val="21"/>
                      <w:highlight w:val="none"/>
                      <w:u w:val="single" w:color="auto"/>
                    </w:rPr>
                    <w:t>%，生物质燃料额外加30%，故本次d</w:t>
                  </w:r>
                  <w:r>
                    <w:rPr>
                      <w:rFonts w:hint="default" w:ascii="Times New Roman" w:hAnsi="Times New Roman" w:cs="Times New Roman"/>
                      <w:b w:val="0"/>
                      <w:bCs w:val="0"/>
                      <w:color w:val="auto"/>
                      <w:sz w:val="21"/>
                      <w:szCs w:val="21"/>
                      <w:highlight w:val="none"/>
                      <w:u w:val="single" w:color="auto"/>
                      <w:vertAlign w:val="subscript"/>
                    </w:rPr>
                    <w:t>fh</w:t>
                  </w:r>
                  <w:r>
                    <w:rPr>
                      <w:rFonts w:hint="default" w:ascii="Times New Roman" w:hAnsi="Times New Roman" w:cs="Times New Roman"/>
                      <w:b w:val="0"/>
                      <w:bCs w:val="0"/>
                      <w:color w:val="auto"/>
                      <w:sz w:val="21"/>
                      <w:szCs w:val="21"/>
                      <w:highlight w:val="none"/>
                      <w:u w:val="single" w:color="auto"/>
                    </w:rPr>
                    <w:t>取</w:t>
                  </w:r>
                  <w:r>
                    <w:rPr>
                      <w:rFonts w:hint="default" w:ascii="Times New Roman" w:hAnsi="Times New Roman" w:cs="Times New Roman"/>
                      <w:b w:val="0"/>
                      <w:bCs w:val="0"/>
                      <w:color w:val="auto"/>
                      <w:sz w:val="21"/>
                      <w:szCs w:val="21"/>
                      <w:highlight w:val="none"/>
                      <w:u w:val="single" w:color="auto"/>
                      <w:lang w:val="en-US" w:eastAsia="zh-CN"/>
                    </w:rPr>
                    <w:t>50</w:t>
                  </w:r>
                  <w:r>
                    <w:rPr>
                      <w:rFonts w:hint="default" w:ascii="Times New Roman" w:hAnsi="Times New Roman" w:cs="Times New Roman"/>
                      <w:b w:val="0"/>
                      <w:bCs w:val="0"/>
                      <w:color w:val="auto"/>
                      <w:sz w:val="21"/>
                      <w:szCs w:val="21"/>
                      <w:highlight w:val="none"/>
                      <w:u w:val="single" w:color="auto"/>
                    </w:rPr>
                    <w:t>%；②Aar =Ad×（100-Mt）/100，本项目生物质干燥基灰分Ad为</w:t>
                  </w:r>
                  <w:r>
                    <w:rPr>
                      <w:rFonts w:hint="eastAsia" w:cs="Times New Roman"/>
                      <w:b w:val="0"/>
                      <w:bCs w:val="0"/>
                      <w:color w:val="auto"/>
                      <w:sz w:val="21"/>
                      <w:szCs w:val="21"/>
                      <w:highlight w:val="none"/>
                      <w:u w:val="single" w:color="auto"/>
                      <w:lang w:val="en-US" w:eastAsia="zh-CN"/>
                    </w:rPr>
                    <w:t>16.73</w:t>
                  </w:r>
                  <w:r>
                    <w:rPr>
                      <w:rFonts w:hint="default" w:ascii="Times New Roman" w:hAnsi="Times New Roman" w:cs="Times New Roman"/>
                      <w:b w:val="0"/>
                      <w:bCs w:val="0"/>
                      <w:color w:val="auto"/>
                      <w:sz w:val="21"/>
                      <w:szCs w:val="21"/>
                      <w:highlight w:val="none"/>
                      <w:u w:val="single" w:color="auto"/>
                    </w:rPr>
                    <w:t>，全水分Mt为</w:t>
                  </w:r>
                  <w:r>
                    <w:rPr>
                      <w:rFonts w:hint="eastAsia" w:cs="Times New Roman"/>
                      <w:b w:val="0"/>
                      <w:bCs w:val="0"/>
                      <w:color w:val="auto"/>
                      <w:sz w:val="21"/>
                      <w:szCs w:val="21"/>
                      <w:highlight w:val="none"/>
                      <w:u w:val="single" w:color="auto"/>
                      <w:lang w:val="en-US" w:eastAsia="zh-CN"/>
                    </w:rPr>
                    <w:t>6.57</w:t>
                  </w:r>
                  <w:r>
                    <w:rPr>
                      <w:rFonts w:hint="default" w:ascii="Times New Roman" w:hAnsi="Times New Roman" w:cs="Times New Roman"/>
                      <w:b w:val="0"/>
                      <w:bCs w:val="0"/>
                      <w:color w:val="auto"/>
                      <w:sz w:val="21"/>
                      <w:szCs w:val="21"/>
                      <w:highlight w:val="none"/>
                      <w:u w:val="single" w:color="auto"/>
                    </w:rPr>
                    <w:t>，则Aar为</w:t>
                  </w:r>
                  <w:r>
                    <w:rPr>
                      <w:rFonts w:hint="eastAsia" w:cs="Times New Roman"/>
                      <w:b w:val="0"/>
                      <w:bCs w:val="0"/>
                      <w:color w:val="auto"/>
                      <w:sz w:val="21"/>
                      <w:szCs w:val="21"/>
                      <w:highlight w:val="none"/>
                      <w:u w:val="single" w:color="auto"/>
                      <w:lang w:val="en-US" w:eastAsia="zh-CN"/>
                    </w:rPr>
                    <w:t>15.63</w:t>
                  </w:r>
                  <w:r>
                    <w:rPr>
                      <w:rFonts w:hint="default" w:ascii="Times New Roman" w:hAnsi="Times New Roman" w:cs="Times New Roman"/>
                      <w:b w:val="0"/>
                      <w:bCs w:val="0"/>
                      <w:color w:val="auto"/>
                      <w:sz w:val="21"/>
                      <w:szCs w:val="21"/>
                      <w:highlight w:val="none"/>
                      <w:u w:val="single" w:color="auto"/>
                    </w:rPr>
                    <w:t>；③项目采用布袋除尘器</w:t>
                  </w:r>
                  <w:r>
                    <w:rPr>
                      <w:rFonts w:hint="default" w:ascii="Times New Roman" w:hAnsi="Times New Roman" w:cs="Times New Roman"/>
                      <w:b w:val="0"/>
                      <w:bCs w:val="0"/>
                      <w:color w:val="auto"/>
                      <w:sz w:val="21"/>
                      <w:szCs w:val="21"/>
                      <w:highlight w:val="none"/>
                      <w:u w:val="single" w:color="auto"/>
                      <w:lang w:eastAsia="zh-CN"/>
                    </w:rPr>
                    <w:t>，</w:t>
                  </w:r>
                  <w:r>
                    <w:rPr>
                      <w:rFonts w:hint="default" w:ascii="Times New Roman" w:hAnsi="Times New Roman" w:cs="Times New Roman"/>
                      <w:b w:val="0"/>
                      <w:bCs w:val="0"/>
                      <w:color w:val="auto"/>
                      <w:sz w:val="21"/>
                      <w:szCs w:val="21"/>
                      <w:highlight w:val="none"/>
                      <w:u w:val="single" w:color="auto"/>
                    </w:rPr>
                    <w:t>根据表B.6袋式除尘器效率为99%-99.9%，</w:t>
                  </w:r>
                  <w:r>
                    <w:rPr>
                      <w:rFonts w:hint="eastAsia" w:cs="Times New Roman"/>
                      <w:b w:val="0"/>
                      <w:bCs w:val="0"/>
                      <w:color w:val="auto"/>
                      <w:sz w:val="21"/>
                      <w:szCs w:val="21"/>
                      <w:highlight w:val="none"/>
                      <w:u w:val="single" w:color="auto"/>
                      <w:lang w:eastAsia="zh-CN"/>
                    </w:rPr>
                    <w:t>保守考虑</w:t>
                  </w:r>
                  <w:r>
                    <w:rPr>
                      <w:rFonts w:hint="default" w:ascii="Times New Roman" w:hAnsi="Times New Roman" w:cs="Times New Roman"/>
                      <w:b w:val="0"/>
                      <w:bCs w:val="0"/>
                      <w:color w:val="auto"/>
                      <w:sz w:val="21"/>
                      <w:szCs w:val="21"/>
                      <w:highlight w:val="none"/>
                      <w:u w:val="single" w:color="auto"/>
                    </w:rPr>
                    <w:t>本项目ηc取99%。</w:t>
                  </w:r>
                  <w:r>
                    <w:rPr>
                      <w:rFonts w:hint="default" w:ascii="Times New Roman" w:hAnsi="Times New Roman" w:eastAsia="宋体" w:cs="Times New Roman"/>
                      <w:b w:val="0"/>
                      <w:bCs w:val="0"/>
                      <w:color w:val="auto"/>
                      <w:sz w:val="21"/>
                      <w:szCs w:val="21"/>
                      <w:highlight w:val="none"/>
                      <w:u w:val="single" w:color="auto"/>
                    </w:rPr>
                    <w:t>④Cfh值根据《工业锅炉经济运行》（GB/T17954-2000）表4取15%</w:t>
                  </w:r>
                  <w:r>
                    <w:rPr>
                      <w:rFonts w:hint="default" w:ascii="Times New Roman" w:hAnsi="Times New Roman" w:eastAsia="宋体" w:cs="Times New Roman"/>
                      <w:b w:val="0"/>
                      <w:bCs w:val="0"/>
                      <w:color w:val="auto"/>
                      <w:sz w:val="21"/>
                      <w:szCs w:val="21"/>
                      <w:highlight w:val="none"/>
                      <w:u w:val="single" w:color="auto"/>
                      <w:lang w:eastAsia="zh-CN"/>
                    </w:rPr>
                    <w:t>。</w:t>
                  </w:r>
                </w:p>
              </w:tc>
            </w:tr>
          </w:tbl>
          <w:p w14:paraId="40671CF6">
            <w:pPr>
              <w:rPr>
                <w:b/>
                <w:bCs/>
                <w:color w:val="auto"/>
                <w:highlight w:val="none"/>
                <w:u w:val="single" w:color="auto"/>
              </w:rPr>
            </w:pPr>
          </w:p>
          <w:p w14:paraId="4CC3E482">
            <w:pPr>
              <w:keepNext w:val="0"/>
              <w:keepLines w:val="0"/>
              <w:pageBreakBefore w:val="0"/>
              <w:widowControl w:val="0"/>
              <w:kinsoku/>
              <w:wordWrap/>
              <w:overflowPunct/>
              <w:topLinePunct w:val="0"/>
              <w:autoSpaceDE w:val="0"/>
              <w:autoSpaceDN w:val="0"/>
              <w:bidi w:val="0"/>
              <w:adjustRightInd w:val="0"/>
              <w:snapToGrid w:val="0"/>
              <w:spacing w:line="560" w:lineRule="exact"/>
              <w:ind w:firstLine="482" w:firstLineChars="200"/>
              <w:jc w:val="both"/>
              <w:textAlignment w:val="auto"/>
              <w:rPr>
                <w:rFonts w:hint="default"/>
                <w:b/>
                <w:bCs w:val="0"/>
                <w:color w:val="auto"/>
                <w:u w:val="single" w:color="auto"/>
                <w:lang w:val="en-US" w:eastAsia="zh-CN"/>
              </w:rPr>
            </w:pPr>
            <w:r>
              <w:rPr>
                <w:b/>
                <w:bCs w:val="0"/>
                <w:color w:val="auto"/>
                <w:sz w:val="24"/>
                <w:highlight w:val="none"/>
                <w:u w:val="single" w:color="auto"/>
              </w:rPr>
              <w:t>根据上表</w:t>
            </w:r>
            <w:r>
              <w:rPr>
                <w:rFonts w:hint="default" w:ascii="Times New Roman" w:hAnsi="Times New Roman" w:eastAsia="宋体" w:cs="Times New Roman"/>
                <w:b/>
                <w:bCs w:val="0"/>
                <w:color w:val="auto"/>
                <w:sz w:val="24"/>
                <w:szCs w:val="24"/>
                <w:highlight w:val="none"/>
                <w:u w:val="single" w:color="auto"/>
              </w:rPr>
              <w:t>计算</w:t>
            </w:r>
            <w:r>
              <w:rPr>
                <w:b/>
                <w:bCs w:val="0"/>
                <w:color w:val="auto"/>
                <w:sz w:val="24"/>
                <w:highlight w:val="none"/>
                <w:u w:val="single" w:color="auto"/>
              </w:rPr>
              <w:t>结果可知，</w:t>
            </w:r>
            <w:r>
              <w:rPr>
                <w:rFonts w:hint="eastAsia"/>
                <w:b/>
                <w:bCs w:val="0"/>
                <w:color w:val="auto"/>
                <w:sz w:val="24"/>
                <w:highlight w:val="none"/>
                <w:u w:val="single" w:color="auto"/>
                <w:lang w:eastAsia="zh-CN"/>
              </w:rPr>
              <w:t>热风炉烟气</w:t>
            </w:r>
            <w:r>
              <w:rPr>
                <w:b/>
                <w:bCs w:val="0"/>
                <w:color w:val="auto"/>
                <w:sz w:val="24"/>
                <w:highlight w:val="none"/>
                <w:u w:val="single" w:color="auto"/>
              </w:rPr>
              <w:t>采用布袋除尘器处理，由1根</w:t>
            </w:r>
            <w:r>
              <w:rPr>
                <w:rFonts w:hint="eastAsia"/>
                <w:b/>
                <w:bCs w:val="0"/>
                <w:color w:val="auto"/>
                <w:sz w:val="24"/>
                <w:highlight w:val="none"/>
                <w:u w:val="single" w:color="auto"/>
                <w:lang w:val="en-US" w:eastAsia="zh-CN"/>
              </w:rPr>
              <w:t>18m</w:t>
            </w:r>
            <w:r>
              <w:rPr>
                <w:b/>
                <w:bCs w:val="0"/>
                <w:color w:val="auto"/>
                <w:sz w:val="24"/>
                <w:highlight w:val="none"/>
                <w:u w:val="single" w:color="auto"/>
              </w:rPr>
              <w:t>高</w:t>
            </w:r>
            <w:r>
              <w:rPr>
                <w:rFonts w:hint="eastAsia"/>
                <w:b/>
                <w:bCs w:val="0"/>
                <w:color w:val="auto"/>
                <w:sz w:val="24"/>
                <w:highlight w:val="none"/>
                <w:u w:val="single" w:color="auto"/>
                <w:lang w:eastAsia="zh-CN"/>
              </w:rPr>
              <w:t>烟囱</w:t>
            </w:r>
            <w:r>
              <w:rPr>
                <w:rFonts w:hint="eastAsia"/>
                <w:b/>
                <w:bCs w:val="0"/>
                <w:color w:val="auto"/>
                <w:sz w:val="24"/>
                <w:highlight w:val="none"/>
                <w:u w:val="single" w:color="auto"/>
              </w:rPr>
              <w:t>（</w:t>
            </w:r>
            <w:r>
              <w:rPr>
                <w:b/>
                <w:bCs w:val="0"/>
                <w:color w:val="auto"/>
                <w:sz w:val="24"/>
                <w:highlight w:val="none"/>
                <w:u w:val="single" w:color="auto"/>
              </w:rPr>
              <w:t>直径</w:t>
            </w:r>
            <w:r>
              <w:rPr>
                <w:rFonts w:hint="eastAsia"/>
                <w:b/>
                <w:bCs w:val="0"/>
                <w:color w:val="auto"/>
                <w:sz w:val="24"/>
                <w:highlight w:val="none"/>
                <w:u w:val="single" w:color="auto"/>
                <w:lang w:val="en-US" w:eastAsia="zh-CN"/>
              </w:rPr>
              <w:t>0.3</w:t>
            </w:r>
            <w:r>
              <w:rPr>
                <w:b/>
                <w:bCs w:val="0"/>
                <w:color w:val="auto"/>
                <w:sz w:val="24"/>
                <w:highlight w:val="none"/>
                <w:u w:val="single" w:color="auto"/>
              </w:rPr>
              <w:t>m</w:t>
            </w:r>
            <w:r>
              <w:rPr>
                <w:rFonts w:hint="eastAsia"/>
                <w:b/>
                <w:bCs w:val="0"/>
                <w:color w:val="auto"/>
                <w:sz w:val="24"/>
                <w:highlight w:val="none"/>
                <w:u w:val="single" w:color="auto"/>
              </w:rPr>
              <w:t>）</w:t>
            </w:r>
            <w:r>
              <w:rPr>
                <w:b/>
                <w:bCs w:val="0"/>
                <w:color w:val="auto"/>
                <w:sz w:val="24"/>
                <w:highlight w:val="none"/>
                <w:u w:val="single" w:color="auto"/>
              </w:rPr>
              <w:t>排放，颗粒物排放量为</w:t>
            </w:r>
            <w:r>
              <w:rPr>
                <w:rFonts w:hint="eastAsia"/>
                <w:b/>
                <w:bCs w:val="0"/>
                <w:color w:val="auto"/>
                <w:sz w:val="24"/>
                <w:highlight w:val="none"/>
                <w:u w:val="single" w:color="auto"/>
                <w:lang w:val="en-US" w:eastAsia="zh-CN"/>
              </w:rPr>
              <w:t>1.144</w:t>
            </w:r>
            <w:r>
              <w:rPr>
                <w:b/>
                <w:bCs w:val="0"/>
                <w:color w:val="auto"/>
                <w:sz w:val="24"/>
                <w:highlight w:val="none"/>
                <w:u w:val="single" w:color="auto"/>
              </w:rPr>
              <w:t>t/a。</w:t>
            </w:r>
          </w:p>
          <w:p w14:paraId="346D3B42">
            <w:pPr>
              <w:keepNext w:val="0"/>
              <w:keepLines w:val="0"/>
              <w:pageBreakBefore w:val="0"/>
              <w:widowControl w:val="0"/>
              <w:kinsoku/>
              <w:wordWrap/>
              <w:overflowPunct/>
              <w:topLinePunct w:val="0"/>
              <w:autoSpaceDE w:val="0"/>
              <w:autoSpaceDN w:val="0"/>
              <w:bidi w:val="0"/>
              <w:adjustRightInd w:val="0"/>
              <w:snapToGrid w:val="0"/>
              <w:spacing w:line="560" w:lineRule="exact"/>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bidi="ar-SA"/>
              </w:rPr>
            </w:pPr>
            <w:r>
              <w:rPr>
                <w:rFonts w:hint="default" w:ascii="Times New Roman" w:hAnsi="Times New Roman" w:eastAsia="宋体" w:cs="Times New Roman"/>
                <w:color w:val="auto"/>
                <w:spacing w:val="0"/>
                <w:kern w:val="21"/>
                <w:sz w:val="24"/>
                <w:szCs w:val="24"/>
                <w:highlight w:val="none"/>
                <w:u w:val="none" w:color="auto"/>
                <w:lang w:val="en-US" w:eastAsia="zh-CN" w:bidi="ar-SA"/>
              </w:rPr>
              <w:t>③二氧化硫计算公式如下：</w:t>
            </w:r>
          </w:p>
          <w:p w14:paraId="5B1FE884">
            <w:pPr>
              <w:keepNext w:val="0"/>
              <w:keepLines w:val="0"/>
              <w:pageBreakBefore w:val="0"/>
              <w:widowControl w:val="0"/>
              <w:kinsoku/>
              <w:wordWrap/>
              <w:overflowPunct/>
              <w:topLinePunct w:val="0"/>
              <w:autoSpaceDE w:val="0"/>
              <w:autoSpaceDN w:val="0"/>
              <w:bidi w:val="0"/>
              <w:adjustRightInd w:val="0"/>
              <w:snapToGrid w:val="0"/>
              <w:spacing w:line="560" w:lineRule="exact"/>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bidi="ar-SA"/>
              </w:rPr>
            </w:pPr>
            <w:r>
              <w:rPr>
                <w:rFonts w:hint="eastAsia"/>
                <w:bCs/>
                <w:color w:val="auto"/>
                <w:sz w:val="24"/>
                <w:szCs w:val="24"/>
                <w:highlight w:val="none"/>
                <w:u w:val="none" w:color="auto"/>
              </w:rPr>
              <w:t>根据《污染源源强核算技术指南 锅炉》（HJ991-2018）附录B中表B.7，</w:t>
            </w:r>
            <w:r>
              <w:rPr>
                <w:bCs/>
                <w:color w:val="auto"/>
                <w:sz w:val="24"/>
                <w:szCs w:val="24"/>
                <w:highlight w:val="none"/>
                <w:u w:val="none" w:color="auto"/>
              </w:rPr>
              <w:t>SO</w:t>
            </w:r>
            <w:r>
              <w:rPr>
                <w:bCs/>
                <w:color w:val="auto"/>
                <w:sz w:val="24"/>
                <w:szCs w:val="24"/>
                <w:highlight w:val="none"/>
                <w:u w:val="none" w:color="auto"/>
                <w:vertAlign w:val="subscript"/>
              </w:rPr>
              <w:t>2</w:t>
            </w:r>
            <w:r>
              <w:rPr>
                <w:rFonts w:hint="eastAsia"/>
                <w:bCs/>
                <w:color w:val="auto"/>
                <w:sz w:val="24"/>
                <w:szCs w:val="24"/>
                <w:highlight w:val="none"/>
                <w:u w:val="none" w:color="auto"/>
              </w:rPr>
              <w:t>排放量依据以下公式计算：</w:t>
            </w:r>
          </w:p>
          <w:p w14:paraId="25697E45">
            <w:pPr>
              <w:keepNext w:val="0"/>
              <w:keepLines w:val="0"/>
              <w:pageBreakBefore w:val="0"/>
              <w:widowControl w:val="0"/>
              <w:kinsoku/>
              <w:wordWrap/>
              <w:overflowPunct/>
              <w:topLinePunct w:val="0"/>
              <w:autoSpaceDE w:val="0"/>
              <w:autoSpaceDN w:val="0"/>
              <w:bidi w:val="0"/>
              <w:adjustRightInd w:val="0"/>
              <w:snapToGrid w:val="0"/>
              <w:spacing w:line="240" w:lineRule="auto"/>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bidi="ar-SA"/>
              </w:rPr>
            </w:pPr>
            <w:r>
              <w:rPr>
                <w:rFonts w:hint="default" w:ascii="Times New Roman" w:hAnsi="Times New Roman" w:eastAsia="宋体" w:cs="Times New Roman"/>
                <w:color w:val="auto"/>
                <w:position w:val="-24"/>
                <w:sz w:val="24"/>
                <w:highlight w:val="none"/>
                <w:u w:val="none" w:color="auto"/>
              </w:rPr>
              <w:object>
                <v:shape id="_x0000_i1026" o:spt="75" type="#_x0000_t75" style="height:31pt;width:204pt;" o:ole="t" filled="f" o:preferrelative="t" stroked="f" coordsize="21600,21600">
                  <v:path/>
                  <v:fill on="f" focussize="0,0"/>
                  <v:stroke on="f"/>
                  <v:imagedata r:id="rId14" o:title=""/>
                  <o:lock v:ext="edit" aspectratio="t"/>
                  <w10:wrap type="none"/>
                  <w10:anchorlock/>
                </v:shape>
                <o:OLEObject Type="Embed" ProgID="Equation.KSEE3" ShapeID="_x0000_i1026" DrawAspect="Content" ObjectID="_1468075726" r:id="rId13">
                  <o:LockedField>false</o:LockedField>
                </o:OLEObject>
              </w:object>
            </w:r>
          </w:p>
          <w:p w14:paraId="2A063284">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360" w:lineRule="auto"/>
              <w:ind w:left="0" w:firstLine="480" w:firstLineChars="200"/>
              <w:jc w:val="left"/>
              <w:textAlignment w:val="auto"/>
              <w:rPr>
                <w:rFonts w:hint="default" w:ascii="Times New Roman" w:hAnsi="Times New Roman" w:eastAsia="宋体" w:cs="Times New Roman"/>
                <w:b w:val="0"/>
                <w:bCs/>
                <w:color w:val="auto"/>
                <w:sz w:val="24"/>
                <w:szCs w:val="24"/>
                <w:highlight w:val="none"/>
                <w:u w:val="none" w:color="auto"/>
              </w:rPr>
            </w:pPr>
            <w:r>
              <w:rPr>
                <w:rFonts w:hint="default" w:ascii="Times New Roman" w:hAnsi="Times New Roman" w:eastAsia="宋体" w:cs="Times New Roman"/>
                <w:b w:val="0"/>
                <w:bCs/>
                <w:color w:val="auto"/>
                <w:sz w:val="24"/>
                <w:szCs w:val="24"/>
                <w:highlight w:val="none"/>
                <w:u w:val="none" w:color="auto"/>
              </w:rPr>
              <w:t>式中：E</w:t>
            </w:r>
            <w:r>
              <w:rPr>
                <w:rFonts w:hint="default" w:ascii="Times New Roman" w:hAnsi="Times New Roman" w:eastAsia="宋体" w:cs="Times New Roman"/>
                <w:b w:val="0"/>
                <w:bCs/>
                <w:color w:val="auto"/>
                <w:sz w:val="24"/>
                <w:szCs w:val="24"/>
                <w:highlight w:val="none"/>
                <w:u w:val="none" w:color="auto"/>
                <w:vertAlign w:val="subscript"/>
              </w:rPr>
              <w:t>SO2</w:t>
            </w:r>
            <w:r>
              <w:rPr>
                <w:rFonts w:hint="default" w:ascii="Times New Roman" w:hAnsi="Times New Roman" w:eastAsia="宋体" w:cs="Times New Roman"/>
                <w:b w:val="0"/>
                <w:bCs/>
                <w:color w:val="auto"/>
                <w:sz w:val="24"/>
                <w:szCs w:val="24"/>
                <w:highlight w:val="none"/>
                <w:u w:val="none" w:color="auto"/>
              </w:rPr>
              <w:t>----核算时段内二氧化硫排放量，</w:t>
            </w:r>
            <w:r>
              <w:rPr>
                <w:rFonts w:hint="default" w:ascii="Times New Roman" w:hAnsi="Times New Roman" w:eastAsia="宋体" w:cs="Times New Roman"/>
                <w:b w:val="0"/>
                <w:bCs/>
                <w:smallCaps w:val="0"/>
                <w:color w:val="auto"/>
                <w:sz w:val="24"/>
                <w:szCs w:val="24"/>
                <w:highlight w:val="none"/>
                <w:u w:val="none" w:color="auto"/>
                <w:lang w:val="en-US" w:eastAsia="zh-CN"/>
              </w:rPr>
              <w:t>t</w:t>
            </w:r>
            <w:r>
              <w:rPr>
                <w:rFonts w:hint="default" w:ascii="Times New Roman" w:hAnsi="Times New Roman" w:eastAsia="宋体" w:cs="Times New Roman"/>
                <w:b w:val="0"/>
                <w:bCs/>
                <w:smallCaps w:val="0"/>
                <w:color w:val="auto"/>
                <w:sz w:val="24"/>
                <w:szCs w:val="24"/>
                <w:highlight w:val="none"/>
                <w:u w:val="none" w:color="auto"/>
              </w:rPr>
              <w:t>；</w:t>
            </w:r>
          </w:p>
          <w:p w14:paraId="623D2786">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360" w:lineRule="auto"/>
              <w:ind w:left="0" w:firstLine="1080" w:firstLineChars="450"/>
              <w:jc w:val="left"/>
              <w:textAlignment w:val="auto"/>
              <w:rPr>
                <w:rFonts w:hint="default" w:ascii="Times New Roman" w:hAnsi="Times New Roman" w:eastAsia="宋体" w:cs="Times New Roman"/>
                <w:b w:val="0"/>
                <w:bCs/>
                <w:smallCaps w:val="0"/>
                <w:color w:val="auto"/>
                <w:sz w:val="24"/>
                <w:szCs w:val="24"/>
                <w:highlight w:val="none"/>
                <w:u w:val="none" w:color="auto"/>
              </w:rPr>
            </w:pPr>
            <w:r>
              <w:rPr>
                <w:rFonts w:hint="default" w:ascii="Times New Roman" w:hAnsi="Times New Roman" w:eastAsia="宋体" w:cs="Times New Roman"/>
                <w:b w:val="0"/>
                <w:bCs/>
                <w:smallCaps w:val="0"/>
                <w:color w:val="auto"/>
                <w:sz w:val="24"/>
                <w:szCs w:val="24"/>
                <w:highlight w:val="none"/>
                <w:u w:val="none" w:color="auto"/>
              </w:rPr>
              <w:t>R----核算时段内锅炉燃料耗量，t；</w:t>
            </w:r>
          </w:p>
          <w:p w14:paraId="6B16F876">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360" w:lineRule="auto"/>
              <w:ind w:left="0" w:firstLine="1080" w:firstLineChars="450"/>
              <w:jc w:val="left"/>
              <w:textAlignment w:val="auto"/>
              <w:rPr>
                <w:rFonts w:hint="default" w:ascii="Times New Roman" w:hAnsi="Times New Roman" w:eastAsia="宋体" w:cs="Times New Roman"/>
                <w:b w:val="0"/>
                <w:bCs/>
                <w:smallCaps w:val="0"/>
                <w:color w:val="auto"/>
                <w:sz w:val="24"/>
                <w:szCs w:val="24"/>
                <w:highlight w:val="none"/>
                <w:u w:val="none" w:color="auto"/>
                <w:lang w:val="en-US" w:eastAsia="zh-CN"/>
              </w:rPr>
            </w:pPr>
            <w:r>
              <w:rPr>
                <w:rFonts w:hint="default" w:ascii="Times New Roman" w:hAnsi="Times New Roman" w:eastAsia="宋体" w:cs="Times New Roman"/>
                <w:b w:val="0"/>
                <w:bCs/>
                <w:smallCaps w:val="0"/>
                <w:color w:val="auto"/>
                <w:sz w:val="24"/>
                <w:szCs w:val="24"/>
                <w:highlight w:val="none"/>
                <w:u w:val="none" w:color="auto"/>
              </w:rPr>
              <w:t>S</w:t>
            </w:r>
            <w:r>
              <w:rPr>
                <w:rFonts w:hint="default" w:ascii="Times New Roman" w:hAnsi="Times New Roman" w:eastAsia="宋体" w:cs="Times New Roman"/>
                <w:b w:val="0"/>
                <w:bCs/>
                <w:smallCaps w:val="0"/>
                <w:color w:val="auto"/>
                <w:sz w:val="24"/>
                <w:szCs w:val="24"/>
                <w:highlight w:val="none"/>
                <w:u w:val="none" w:color="auto"/>
                <w:vertAlign w:val="subscript"/>
              </w:rPr>
              <w:t>ar</w:t>
            </w:r>
            <w:r>
              <w:rPr>
                <w:rFonts w:hint="default" w:ascii="Times New Roman" w:hAnsi="Times New Roman" w:eastAsia="宋体" w:cs="Times New Roman"/>
                <w:b w:val="0"/>
                <w:bCs/>
                <w:smallCaps w:val="0"/>
                <w:color w:val="auto"/>
                <w:sz w:val="24"/>
                <w:szCs w:val="24"/>
                <w:highlight w:val="none"/>
                <w:u w:val="none" w:color="auto"/>
              </w:rPr>
              <w:t>----收到基硫的质量分数，%；</w:t>
            </w:r>
          </w:p>
          <w:p w14:paraId="38EC4DE8">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360" w:lineRule="auto"/>
              <w:ind w:left="0" w:firstLine="1080" w:firstLineChars="450"/>
              <w:jc w:val="left"/>
              <w:textAlignment w:val="auto"/>
              <w:rPr>
                <w:rFonts w:hint="default" w:cs="Times New Roman"/>
                <w:b w:val="0"/>
                <w:bCs/>
                <w:smallCaps w:val="0"/>
                <w:color w:val="auto"/>
                <w:sz w:val="24"/>
                <w:szCs w:val="24"/>
                <w:highlight w:val="none"/>
                <w:u w:val="none" w:color="auto"/>
                <w:lang w:val="en-US" w:eastAsia="zh-CN"/>
              </w:rPr>
            </w:pPr>
            <w:r>
              <w:rPr>
                <w:rFonts w:hint="default" w:ascii="Times New Roman" w:hAnsi="Times New Roman" w:eastAsia="宋体" w:cs="Times New Roman"/>
                <w:b w:val="0"/>
                <w:bCs/>
                <w:smallCaps w:val="0"/>
                <w:color w:val="auto"/>
                <w:sz w:val="24"/>
                <w:szCs w:val="24"/>
                <w:highlight w:val="none"/>
                <w:u w:val="none" w:color="auto"/>
              </w:rPr>
              <w:t>q</w:t>
            </w:r>
            <w:r>
              <w:rPr>
                <w:rFonts w:hint="default" w:ascii="Times New Roman" w:hAnsi="Times New Roman" w:eastAsia="宋体" w:cs="Times New Roman"/>
                <w:b w:val="0"/>
                <w:bCs/>
                <w:smallCaps w:val="0"/>
                <w:color w:val="auto"/>
                <w:sz w:val="24"/>
                <w:szCs w:val="24"/>
                <w:highlight w:val="none"/>
                <w:u w:val="none" w:color="auto"/>
                <w:vertAlign w:val="subscript"/>
              </w:rPr>
              <w:t>4</w:t>
            </w:r>
            <w:r>
              <w:rPr>
                <w:rFonts w:hint="default" w:ascii="Times New Roman" w:hAnsi="Times New Roman" w:eastAsia="宋体" w:cs="Times New Roman"/>
                <w:b w:val="0"/>
                <w:bCs/>
                <w:smallCaps w:val="0"/>
                <w:color w:val="auto"/>
                <w:sz w:val="24"/>
                <w:szCs w:val="24"/>
                <w:highlight w:val="none"/>
                <w:u w:val="none" w:color="auto"/>
              </w:rPr>
              <w:t>----锅炉机械不完全燃烧热损失，%；</w:t>
            </w:r>
          </w:p>
          <w:p w14:paraId="4E9BFC2A">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360" w:lineRule="auto"/>
              <w:ind w:left="0" w:firstLine="1080" w:firstLineChars="450"/>
              <w:jc w:val="left"/>
              <w:textAlignment w:val="auto"/>
              <w:rPr>
                <w:rFonts w:hint="default" w:ascii="Times New Roman" w:hAnsi="Times New Roman" w:eastAsia="宋体" w:cs="Times New Roman"/>
                <w:b w:val="0"/>
                <w:bCs/>
                <w:smallCaps w:val="0"/>
                <w:color w:val="auto"/>
                <w:sz w:val="24"/>
                <w:szCs w:val="24"/>
                <w:highlight w:val="none"/>
                <w:u w:val="none" w:color="auto"/>
                <w:lang w:val="en-US" w:eastAsia="zh-CN"/>
              </w:rPr>
            </w:pPr>
            <w:r>
              <w:rPr>
                <w:rFonts w:hint="default" w:ascii="Times New Roman" w:hAnsi="Times New Roman" w:eastAsia="宋体" w:cs="Times New Roman"/>
                <w:b w:val="0"/>
                <w:bCs/>
                <w:smallCaps w:val="0"/>
                <w:color w:val="auto"/>
                <w:sz w:val="24"/>
                <w:szCs w:val="24"/>
                <w:highlight w:val="none"/>
                <w:u w:val="none" w:color="auto"/>
              </w:rPr>
              <w:t>ηs----脱硫效率，%；</w:t>
            </w:r>
            <w:r>
              <w:rPr>
                <w:rFonts w:hint="eastAsia" w:cs="Times New Roman"/>
                <w:b w:val="0"/>
                <w:bCs/>
                <w:smallCaps w:val="0"/>
                <w:color w:val="auto"/>
                <w:sz w:val="24"/>
                <w:szCs w:val="24"/>
                <w:highlight w:val="none"/>
                <w:u w:val="none" w:color="auto"/>
                <w:lang w:eastAsia="zh-CN"/>
              </w:rPr>
              <w:t>本项目为</w:t>
            </w:r>
            <w:r>
              <w:rPr>
                <w:rFonts w:hint="eastAsia" w:cs="Times New Roman"/>
                <w:b w:val="0"/>
                <w:bCs/>
                <w:smallCaps w:val="0"/>
                <w:color w:val="auto"/>
                <w:sz w:val="24"/>
                <w:szCs w:val="24"/>
                <w:highlight w:val="none"/>
                <w:u w:val="none" w:color="auto"/>
                <w:lang w:val="en-US" w:eastAsia="zh-CN"/>
              </w:rPr>
              <w:t>0；</w:t>
            </w:r>
          </w:p>
          <w:p w14:paraId="3B0AA5E1">
            <w:pPr>
              <w:pStyle w:val="22"/>
              <w:numPr>
                <w:ilvl w:val="0"/>
                <w:numId w:val="2"/>
              </w:numPr>
              <w:tabs>
                <w:tab w:val="right" w:leader="dot" w:pos="8296"/>
              </w:tabs>
              <w:adjustRightInd w:val="0"/>
              <w:spacing w:line="360" w:lineRule="auto"/>
              <w:ind w:left="0" w:firstLine="1080" w:firstLineChars="450"/>
              <w:jc w:val="left"/>
              <w:rPr>
                <w:rFonts w:hint="eastAsia" w:cs="Times New Roman"/>
                <w:b w:val="0"/>
                <w:bCs/>
                <w:smallCaps w:val="0"/>
                <w:color w:val="auto"/>
                <w:sz w:val="24"/>
                <w:szCs w:val="24"/>
                <w:highlight w:val="none"/>
                <w:u w:val="none" w:color="auto"/>
                <w:lang w:val="en-US" w:eastAsia="zh-CN"/>
              </w:rPr>
            </w:pPr>
            <w:r>
              <w:rPr>
                <w:rFonts w:hint="default" w:ascii="Times New Roman" w:hAnsi="Times New Roman" w:eastAsia="宋体" w:cs="Times New Roman"/>
                <w:b w:val="0"/>
                <w:bCs/>
                <w:smallCaps w:val="0"/>
                <w:color w:val="auto"/>
                <w:sz w:val="24"/>
                <w:szCs w:val="24"/>
                <w:highlight w:val="none"/>
                <w:u w:val="none" w:color="auto"/>
              </w:rPr>
              <w:t>---燃料中的硫燃烧后氧化成二氧化硫的份额，量纲一的量。</w:t>
            </w:r>
          </w:p>
          <w:p w14:paraId="41956C96">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rPr>
                <w:rFonts w:hint="default" w:ascii="Times New Roman" w:hAnsi="Times New Roman" w:eastAsia="宋体" w:cs="Times New Roman"/>
                <w:b/>
                <w:bCs/>
                <w:color w:val="auto"/>
                <w:spacing w:val="0"/>
                <w:kern w:val="21"/>
                <w:sz w:val="24"/>
                <w:szCs w:val="24"/>
                <w:highlight w:val="none"/>
                <w:u w:val="none" w:color="auto"/>
                <w:lang w:val="en-US" w:eastAsia="zh-CN"/>
              </w:rPr>
            </w:pPr>
            <w:r>
              <w:rPr>
                <w:rFonts w:hint="default" w:ascii="Times New Roman" w:hAnsi="Times New Roman" w:eastAsia="宋体" w:cs="Times New Roman"/>
                <w:b/>
                <w:bCs/>
                <w:color w:val="auto"/>
                <w:spacing w:val="0"/>
                <w:kern w:val="21"/>
                <w:sz w:val="24"/>
                <w:szCs w:val="24"/>
                <w:highlight w:val="none"/>
                <w:u w:val="none" w:color="auto"/>
                <w:lang w:val="en-US" w:eastAsia="zh-CN"/>
              </w:rPr>
              <w:t>表</w:t>
            </w:r>
            <w:r>
              <w:rPr>
                <w:rFonts w:hint="eastAsia" w:ascii="Times New Roman" w:hAnsi="Times New Roman" w:eastAsia="宋体" w:cs="Times New Roman"/>
                <w:b/>
                <w:bCs/>
                <w:color w:val="auto"/>
                <w:spacing w:val="0"/>
                <w:kern w:val="21"/>
                <w:sz w:val="24"/>
                <w:szCs w:val="24"/>
                <w:highlight w:val="none"/>
                <w:u w:val="none" w:color="auto"/>
                <w:lang w:val="en-US" w:eastAsia="zh-CN"/>
              </w:rPr>
              <w:t xml:space="preserve">4-2   </w:t>
            </w:r>
            <w:r>
              <w:rPr>
                <w:rFonts w:hint="default" w:ascii="Times New Roman" w:hAnsi="Times New Roman" w:eastAsia="宋体" w:cs="Times New Roman"/>
                <w:b/>
                <w:bCs/>
                <w:color w:val="auto"/>
                <w:spacing w:val="0"/>
                <w:kern w:val="21"/>
                <w:sz w:val="24"/>
                <w:szCs w:val="24"/>
                <w:highlight w:val="none"/>
                <w:u w:val="none" w:color="auto"/>
                <w:lang w:val="en-US" w:eastAsia="zh-CN"/>
              </w:rPr>
              <w:t xml:space="preserve"> 二氧化硫计算结果</w:t>
            </w:r>
          </w:p>
          <w:tbl>
            <w:tblPr>
              <w:tblStyle w:val="2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54"/>
              <w:gridCol w:w="939"/>
              <w:gridCol w:w="966"/>
              <w:gridCol w:w="967"/>
              <w:gridCol w:w="967"/>
              <w:gridCol w:w="816"/>
              <w:gridCol w:w="1049"/>
            </w:tblGrid>
            <w:tr w14:paraId="024615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2154" w:type="dxa"/>
                  <w:tcBorders>
                    <w:tl2br w:val="nil"/>
                    <w:tr2bl w:val="nil"/>
                  </w:tcBorders>
                  <w:vAlign w:val="center"/>
                </w:tcPr>
                <w:p w14:paraId="314B0006">
                  <w:pPr>
                    <w:widowControl/>
                    <w:jc w:val="center"/>
                    <w:textAlignment w:val="center"/>
                    <w:rPr>
                      <w:bCs/>
                      <w:color w:val="auto"/>
                      <w:szCs w:val="21"/>
                      <w:highlight w:val="none"/>
                      <w:u w:val="none" w:color="auto"/>
                    </w:rPr>
                  </w:pPr>
                  <w:r>
                    <w:rPr>
                      <w:rFonts w:hint="eastAsia"/>
                      <w:color w:val="auto"/>
                      <w:kern w:val="0"/>
                      <w:szCs w:val="21"/>
                      <w:highlight w:val="none"/>
                      <w:u w:val="none" w:color="auto"/>
                      <w:lang w:bidi="ar"/>
                    </w:rPr>
                    <w:t>计算公式</w:t>
                  </w:r>
                </w:p>
              </w:tc>
              <w:tc>
                <w:tcPr>
                  <w:tcW w:w="939" w:type="dxa"/>
                  <w:tcBorders>
                    <w:tl2br w:val="nil"/>
                    <w:tr2bl w:val="nil"/>
                  </w:tcBorders>
                  <w:vAlign w:val="center"/>
                </w:tcPr>
                <w:p w14:paraId="7333D597">
                  <w:pPr>
                    <w:widowControl/>
                    <w:jc w:val="center"/>
                    <w:textAlignment w:val="center"/>
                    <w:rPr>
                      <w:bCs/>
                      <w:color w:val="auto"/>
                      <w:szCs w:val="21"/>
                      <w:highlight w:val="none"/>
                      <w:u w:val="single" w:color="auto"/>
                    </w:rPr>
                  </w:pPr>
                  <w:r>
                    <w:rPr>
                      <w:rFonts w:hint="eastAsia"/>
                      <w:color w:val="auto"/>
                      <w:kern w:val="0"/>
                      <w:szCs w:val="21"/>
                      <w:highlight w:val="none"/>
                      <w:u w:val="single" w:color="auto"/>
                      <w:lang w:bidi="ar"/>
                    </w:rPr>
                    <w:t>R（t）</w:t>
                  </w:r>
                </w:p>
              </w:tc>
              <w:tc>
                <w:tcPr>
                  <w:tcW w:w="966" w:type="dxa"/>
                  <w:tcBorders>
                    <w:tl2br w:val="nil"/>
                    <w:tr2bl w:val="nil"/>
                  </w:tcBorders>
                  <w:vAlign w:val="center"/>
                </w:tcPr>
                <w:p w14:paraId="02B476B5">
                  <w:pPr>
                    <w:widowControl/>
                    <w:jc w:val="center"/>
                    <w:textAlignment w:val="center"/>
                    <w:rPr>
                      <w:bCs/>
                      <w:color w:val="auto"/>
                      <w:szCs w:val="21"/>
                      <w:highlight w:val="none"/>
                      <w:u w:val="single" w:color="auto"/>
                    </w:rPr>
                  </w:pPr>
                  <w:r>
                    <w:rPr>
                      <w:rFonts w:hint="eastAsia"/>
                      <w:color w:val="auto"/>
                      <w:kern w:val="0"/>
                      <w:szCs w:val="21"/>
                      <w:highlight w:val="none"/>
                      <w:u w:val="single" w:color="auto"/>
                      <w:lang w:bidi="ar"/>
                    </w:rPr>
                    <w:t>Sar（%）</w:t>
                  </w:r>
                </w:p>
              </w:tc>
              <w:tc>
                <w:tcPr>
                  <w:tcW w:w="967" w:type="dxa"/>
                  <w:tcBorders>
                    <w:tl2br w:val="nil"/>
                    <w:tr2bl w:val="nil"/>
                  </w:tcBorders>
                  <w:vAlign w:val="center"/>
                </w:tcPr>
                <w:p w14:paraId="7899490D">
                  <w:pPr>
                    <w:widowControl/>
                    <w:jc w:val="center"/>
                    <w:textAlignment w:val="center"/>
                    <w:rPr>
                      <w:bCs/>
                      <w:color w:val="auto"/>
                      <w:szCs w:val="21"/>
                      <w:highlight w:val="none"/>
                      <w:u w:val="single" w:color="auto"/>
                    </w:rPr>
                  </w:pPr>
                  <w:r>
                    <w:rPr>
                      <w:rFonts w:hint="eastAsia"/>
                      <w:color w:val="auto"/>
                      <w:kern w:val="0"/>
                      <w:szCs w:val="21"/>
                      <w:highlight w:val="none"/>
                      <w:u w:val="single" w:color="auto"/>
                      <w:lang w:bidi="ar"/>
                    </w:rPr>
                    <w:t>q</w:t>
                  </w:r>
                  <w:r>
                    <w:rPr>
                      <w:rFonts w:hint="eastAsia"/>
                      <w:color w:val="auto"/>
                      <w:kern w:val="0"/>
                      <w:szCs w:val="21"/>
                      <w:highlight w:val="none"/>
                      <w:u w:val="single" w:color="auto"/>
                      <w:vertAlign w:val="subscript"/>
                      <w:lang w:bidi="ar"/>
                    </w:rPr>
                    <w:t>4</w:t>
                  </w:r>
                  <w:r>
                    <w:rPr>
                      <w:rFonts w:hint="eastAsia"/>
                      <w:color w:val="auto"/>
                      <w:kern w:val="0"/>
                      <w:szCs w:val="21"/>
                      <w:highlight w:val="none"/>
                      <w:u w:val="single" w:color="auto"/>
                      <w:lang w:bidi="ar"/>
                    </w:rPr>
                    <w:t>（%）</w:t>
                  </w:r>
                </w:p>
              </w:tc>
              <w:tc>
                <w:tcPr>
                  <w:tcW w:w="967" w:type="dxa"/>
                  <w:tcBorders>
                    <w:tl2br w:val="nil"/>
                    <w:tr2bl w:val="nil"/>
                  </w:tcBorders>
                  <w:vAlign w:val="center"/>
                </w:tcPr>
                <w:p w14:paraId="7A1780C3">
                  <w:pPr>
                    <w:widowControl/>
                    <w:jc w:val="center"/>
                    <w:textAlignment w:val="center"/>
                    <w:rPr>
                      <w:bCs/>
                      <w:color w:val="auto"/>
                      <w:szCs w:val="21"/>
                      <w:highlight w:val="none"/>
                      <w:u w:val="single" w:color="auto"/>
                    </w:rPr>
                  </w:pPr>
                  <w:r>
                    <w:rPr>
                      <w:color w:val="auto"/>
                      <w:kern w:val="0"/>
                      <w:szCs w:val="21"/>
                      <w:highlight w:val="none"/>
                      <w:u w:val="single" w:color="auto"/>
                      <w:lang w:bidi="ar"/>
                    </w:rPr>
                    <w:t>ηs</w:t>
                  </w:r>
                  <w:r>
                    <w:rPr>
                      <w:rFonts w:hint="eastAsia"/>
                      <w:color w:val="auto"/>
                      <w:kern w:val="0"/>
                      <w:szCs w:val="21"/>
                      <w:highlight w:val="none"/>
                      <w:u w:val="single" w:color="auto"/>
                      <w:lang w:bidi="ar"/>
                    </w:rPr>
                    <w:t>（</w:t>
                  </w:r>
                  <w:r>
                    <w:rPr>
                      <w:color w:val="auto"/>
                      <w:kern w:val="0"/>
                      <w:szCs w:val="21"/>
                      <w:highlight w:val="none"/>
                      <w:u w:val="single" w:color="auto"/>
                      <w:lang w:bidi="ar"/>
                    </w:rPr>
                    <w:t>%</w:t>
                  </w:r>
                  <w:r>
                    <w:rPr>
                      <w:rFonts w:hint="eastAsia"/>
                      <w:color w:val="auto"/>
                      <w:kern w:val="0"/>
                      <w:szCs w:val="21"/>
                      <w:highlight w:val="none"/>
                      <w:u w:val="single" w:color="auto"/>
                      <w:lang w:bidi="ar"/>
                    </w:rPr>
                    <w:t>）</w:t>
                  </w:r>
                </w:p>
              </w:tc>
              <w:tc>
                <w:tcPr>
                  <w:tcW w:w="816" w:type="dxa"/>
                  <w:tcBorders>
                    <w:tl2br w:val="nil"/>
                    <w:tr2bl w:val="nil"/>
                  </w:tcBorders>
                  <w:vAlign w:val="center"/>
                </w:tcPr>
                <w:p w14:paraId="7263967E">
                  <w:pPr>
                    <w:widowControl/>
                    <w:jc w:val="center"/>
                    <w:textAlignment w:val="center"/>
                    <w:rPr>
                      <w:bCs/>
                      <w:color w:val="auto"/>
                      <w:szCs w:val="21"/>
                      <w:highlight w:val="none"/>
                      <w:u w:val="single" w:color="auto"/>
                    </w:rPr>
                  </w:pPr>
                  <w:r>
                    <w:rPr>
                      <w:rFonts w:hint="eastAsia"/>
                      <w:color w:val="auto"/>
                      <w:kern w:val="0"/>
                      <w:szCs w:val="21"/>
                      <w:highlight w:val="none"/>
                      <w:u w:val="single" w:color="auto"/>
                      <w:lang w:bidi="ar"/>
                    </w:rPr>
                    <w:t>K</w:t>
                  </w:r>
                </w:p>
              </w:tc>
              <w:tc>
                <w:tcPr>
                  <w:tcW w:w="1049" w:type="dxa"/>
                  <w:tcBorders>
                    <w:tl2br w:val="nil"/>
                    <w:tr2bl w:val="nil"/>
                  </w:tcBorders>
                  <w:vAlign w:val="center"/>
                </w:tcPr>
                <w:p w14:paraId="4E937CB8">
                  <w:pPr>
                    <w:widowControl/>
                    <w:jc w:val="center"/>
                    <w:textAlignment w:val="center"/>
                    <w:rPr>
                      <w:bCs/>
                      <w:color w:val="auto"/>
                      <w:szCs w:val="21"/>
                      <w:highlight w:val="none"/>
                      <w:u w:val="single" w:color="auto"/>
                    </w:rPr>
                  </w:pPr>
                  <w:r>
                    <w:rPr>
                      <w:rFonts w:hint="eastAsia"/>
                      <w:color w:val="auto"/>
                      <w:kern w:val="0"/>
                      <w:szCs w:val="21"/>
                      <w:highlight w:val="none"/>
                      <w:u w:val="single" w:color="auto"/>
                      <w:lang w:bidi="ar"/>
                    </w:rPr>
                    <w:t>E</w:t>
                  </w:r>
                  <w:r>
                    <w:rPr>
                      <w:color w:val="auto"/>
                      <w:kern w:val="0"/>
                      <w:szCs w:val="21"/>
                      <w:highlight w:val="none"/>
                      <w:u w:val="single" w:color="auto"/>
                      <w:vertAlign w:val="subscript"/>
                      <w:lang w:bidi="ar"/>
                    </w:rPr>
                    <w:t>SO2</w:t>
                  </w:r>
                  <w:r>
                    <w:rPr>
                      <w:rFonts w:hint="eastAsia"/>
                      <w:color w:val="auto"/>
                      <w:kern w:val="0"/>
                      <w:szCs w:val="21"/>
                      <w:highlight w:val="none"/>
                      <w:u w:val="single" w:color="auto"/>
                      <w:lang w:bidi="ar"/>
                    </w:rPr>
                    <w:t>（t/a）</w:t>
                  </w:r>
                </w:p>
              </w:tc>
            </w:tr>
            <w:tr w14:paraId="369E34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154" w:type="dxa"/>
                  <w:tcBorders>
                    <w:tl2br w:val="nil"/>
                    <w:tr2bl w:val="nil"/>
                  </w:tcBorders>
                  <w:vAlign w:val="center"/>
                </w:tcPr>
                <w:p w14:paraId="71266365">
                  <w:pPr>
                    <w:jc w:val="center"/>
                    <w:rPr>
                      <w:bCs/>
                      <w:color w:val="auto"/>
                      <w:szCs w:val="21"/>
                      <w:highlight w:val="none"/>
                      <w:u w:val="none" w:color="auto"/>
                    </w:rPr>
                  </w:pPr>
                  <w:r>
                    <w:rPr>
                      <w:rFonts w:hint="eastAsia"/>
                      <w:color w:val="auto"/>
                      <w:szCs w:val="21"/>
                      <w:highlight w:val="none"/>
                      <w:u w:val="none" w:color="auto"/>
                    </w:rPr>
                    <w:drawing>
                      <wp:inline distT="0" distB="0" distL="114300" distR="114300">
                        <wp:extent cx="1427480" cy="248920"/>
                        <wp:effectExtent l="0" t="0" r="1270" b="17780"/>
                        <wp:docPr id="347" name="图片 15" descr="360截图20190311164921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图片 15" descr="360截图20190311164921602"/>
                                <pic:cNvPicPr>
                                  <a:picLocks noChangeAspect="1"/>
                                </pic:cNvPicPr>
                              </pic:nvPicPr>
                              <pic:blipFill>
                                <a:blip r:embed="rId15"/>
                                <a:stretch>
                                  <a:fillRect/>
                                </a:stretch>
                              </pic:blipFill>
                              <pic:spPr>
                                <a:xfrm>
                                  <a:off x="0" y="0"/>
                                  <a:ext cx="1427480" cy="248920"/>
                                </a:xfrm>
                                <a:prstGeom prst="rect">
                                  <a:avLst/>
                                </a:prstGeom>
                                <a:noFill/>
                                <a:ln>
                                  <a:noFill/>
                                </a:ln>
                              </pic:spPr>
                            </pic:pic>
                          </a:graphicData>
                        </a:graphic>
                      </wp:inline>
                    </w:drawing>
                  </w:r>
                </w:p>
              </w:tc>
              <w:tc>
                <w:tcPr>
                  <w:tcW w:w="939" w:type="dxa"/>
                  <w:tcBorders>
                    <w:tl2br w:val="nil"/>
                    <w:tr2bl w:val="nil"/>
                  </w:tcBorders>
                  <w:vAlign w:val="center"/>
                </w:tcPr>
                <w:p w14:paraId="1973A2EC">
                  <w:pPr>
                    <w:widowControl/>
                    <w:jc w:val="center"/>
                    <w:textAlignment w:val="center"/>
                    <w:rPr>
                      <w:rFonts w:hint="default" w:eastAsia="宋体"/>
                      <w:bCs/>
                      <w:color w:val="auto"/>
                      <w:szCs w:val="21"/>
                      <w:highlight w:val="none"/>
                      <w:u w:val="single" w:color="auto"/>
                      <w:lang w:val="en-US" w:eastAsia="zh-CN"/>
                    </w:rPr>
                  </w:pPr>
                  <w:r>
                    <w:rPr>
                      <w:rFonts w:hint="eastAsia"/>
                      <w:color w:val="auto"/>
                      <w:szCs w:val="21"/>
                      <w:highlight w:val="none"/>
                      <w:u w:val="single" w:color="auto"/>
                      <w:lang w:val="en-US" w:eastAsia="zh-CN"/>
                    </w:rPr>
                    <w:t>1244.68</w:t>
                  </w:r>
                </w:p>
              </w:tc>
              <w:tc>
                <w:tcPr>
                  <w:tcW w:w="966" w:type="dxa"/>
                  <w:tcBorders>
                    <w:tl2br w:val="nil"/>
                    <w:tr2bl w:val="nil"/>
                  </w:tcBorders>
                  <w:vAlign w:val="center"/>
                </w:tcPr>
                <w:p w14:paraId="74DEAF88">
                  <w:pPr>
                    <w:widowControl/>
                    <w:jc w:val="center"/>
                    <w:textAlignment w:val="center"/>
                    <w:rPr>
                      <w:rFonts w:hint="default" w:eastAsia="宋体"/>
                      <w:bCs/>
                      <w:color w:val="auto"/>
                      <w:szCs w:val="21"/>
                      <w:highlight w:val="none"/>
                      <w:u w:val="single" w:color="auto"/>
                      <w:lang w:val="en-US" w:eastAsia="zh-CN"/>
                    </w:rPr>
                  </w:pPr>
                  <w:r>
                    <w:rPr>
                      <w:rFonts w:hint="eastAsia"/>
                      <w:color w:val="auto"/>
                      <w:kern w:val="0"/>
                      <w:szCs w:val="21"/>
                      <w:highlight w:val="none"/>
                      <w:u w:val="single" w:color="auto"/>
                      <w:lang w:val="en-US" w:eastAsia="zh-CN" w:bidi="ar"/>
                    </w:rPr>
                    <w:t>0.019</w:t>
                  </w:r>
                </w:p>
              </w:tc>
              <w:tc>
                <w:tcPr>
                  <w:tcW w:w="967" w:type="dxa"/>
                  <w:tcBorders>
                    <w:tl2br w:val="nil"/>
                    <w:tr2bl w:val="nil"/>
                  </w:tcBorders>
                  <w:vAlign w:val="center"/>
                </w:tcPr>
                <w:p w14:paraId="0F83F8EE">
                  <w:pPr>
                    <w:widowControl/>
                    <w:jc w:val="center"/>
                    <w:textAlignment w:val="center"/>
                    <w:rPr>
                      <w:rFonts w:hint="default" w:eastAsia="宋体"/>
                      <w:bCs/>
                      <w:color w:val="auto"/>
                      <w:szCs w:val="21"/>
                      <w:highlight w:val="none"/>
                      <w:u w:val="single" w:color="auto"/>
                      <w:lang w:val="en-US" w:eastAsia="zh-CN"/>
                    </w:rPr>
                  </w:pPr>
                  <w:r>
                    <w:rPr>
                      <w:rFonts w:hint="eastAsia"/>
                      <w:color w:val="auto"/>
                      <w:kern w:val="0"/>
                      <w:szCs w:val="21"/>
                      <w:highlight w:val="none"/>
                      <w:u w:val="single" w:color="auto"/>
                      <w:lang w:val="en-US" w:eastAsia="zh-CN" w:bidi="ar"/>
                    </w:rPr>
                    <w:t>15</w:t>
                  </w:r>
                </w:p>
              </w:tc>
              <w:tc>
                <w:tcPr>
                  <w:tcW w:w="967" w:type="dxa"/>
                  <w:tcBorders>
                    <w:tl2br w:val="nil"/>
                    <w:tr2bl w:val="nil"/>
                  </w:tcBorders>
                  <w:vAlign w:val="center"/>
                </w:tcPr>
                <w:p w14:paraId="4A4E998B">
                  <w:pPr>
                    <w:widowControl/>
                    <w:jc w:val="center"/>
                    <w:textAlignment w:val="center"/>
                    <w:rPr>
                      <w:bCs/>
                      <w:color w:val="auto"/>
                      <w:szCs w:val="21"/>
                      <w:highlight w:val="none"/>
                      <w:u w:val="single" w:color="auto"/>
                    </w:rPr>
                  </w:pPr>
                  <w:r>
                    <w:rPr>
                      <w:color w:val="auto"/>
                      <w:kern w:val="0"/>
                      <w:szCs w:val="21"/>
                      <w:highlight w:val="none"/>
                      <w:u w:val="single" w:color="auto"/>
                      <w:lang w:bidi="ar"/>
                    </w:rPr>
                    <w:t>0</w:t>
                  </w:r>
                </w:p>
              </w:tc>
              <w:tc>
                <w:tcPr>
                  <w:tcW w:w="816" w:type="dxa"/>
                  <w:tcBorders>
                    <w:tl2br w:val="nil"/>
                    <w:tr2bl w:val="nil"/>
                  </w:tcBorders>
                  <w:vAlign w:val="center"/>
                </w:tcPr>
                <w:p w14:paraId="12DCA124">
                  <w:pPr>
                    <w:widowControl/>
                    <w:jc w:val="center"/>
                    <w:textAlignment w:val="center"/>
                    <w:rPr>
                      <w:bCs/>
                      <w:color w:val="auto"/>
                      <w:szCs w:val="21"/>
                      <w:highlight w:val="none"/>
                      <w:u w:val="single" w:color="auto"/>
                    </w:rPr>
                  </w:pPr>
                  <w:r>
                    <w:rPr>
                      <w:color w:val="auto"/>
                      <w:kern w:val="0"/>
                      <w:szCs w:val="21"/>
                      <w:highlight w:val="none"/>
                      <w:u w:val="single" w:color="auto"/>
                      <w:lang w:bidi="ar"/>
                    </w:rPr>
                    <w:t>0.5</w:t>
                  </w:r>
                </w:p>
              </w:tc>
              <w:tc>
                <w:tcPr>
                  <w:tcW w:w="1049" w:type="dxa"/>
                  <w:tcBorders>
                    <w:tl2br w:val="nil"/>
                    <w:tr2bl w:val="nil"/>
                  </w:tcBorders>
                  <w:vAlign w:val="center"/>
                </w:tcPr>
                <w:p w14:paraId="282B9B49">
                  <w:pPr>
                    <w:widowControl/>
                    <w:jc w:val="center"/>
                    <w:textAlignment w:val="center"/>
                    <w:rPr>
                      <w:rFonts w:hint="default" w:eastAsia="宋体"/>
                      <w:bCs/>
                      <w:color w:val="auto"/>
                      <w:szCs w:val="21"/>
                      <w:highlight w:val="none"/>
                      <w:u w:val="single" w:color="auto"/>
                      <w:lang w:val="en-US" w:eastAsia="zh-CN"/>
                    </w:rPr>
                  </w:pPr>
                  <w:r>
                    <w:rPr>
                      <w:rFonts w:hint="eastAsia"/>
                      <w:color w:val="auto"/>
                      <w:kern w:val="0"/>
                      <w:szCs w:val="21"/>
                      <w:highlight w:val="none"/>
                      <w:u w:val="single" w:color="auto"/>
                      <w:lang w:val="en-US" w:eastAsia="zh-CN" w:bidi="ar"/>
                    </w:rPr>
                    <w:t>0.20</w:t>
                  </w:r>
                </w:p>
              </w:tc>
            </w:tr>
            <w:tr w14:paraId="43D24D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7858" w:type="dxa"/>
                  <w:gridSpan w:val="7"/>
                  <w:tcBorders>
                    <w:tl2br w:val="nil"/>
                    <w:tr2bl w:val="nil"/>
                  </w:tcBorders>
                  <w:vAlign w:val="center"/>
                </w:tcPr>
                <w:p w14:paraId="5991C095">
                  <w:pPr>
                    <w:widowControl/>
                    <w:jc w:val="left"/>
                    <w:textAlignment w:val="center"/>
                    <w:rPr>
                      <w:rFonts w:hint="eastAsia"/>
                      <w:color w:val="auto"/>
                      <w:kern w:val="0"/>
                      <w:szCs w:val="21"/>
                      <w:highlight w:val="none"/>
                      <w:u w:val="none" w:color="auto"/>
                      <w:lang w:val="en-US" w:eastAsia="zh-CN" w:bidi="ar"/>
                    </w:rPr>
                  </w:pPr>
                  <w:r>
                    <w:rPr>
                      <w:rFonts w:hint="eastAsia"/>
                      <w:b w:val="0"/>
                      <w:bCs w:val="0"/>
                      <w:color w:val="auto"/>
                      <w:highlight w:val="none"/>
                      <w:u w:val="none" w:color="auto"/>
                    </w:rPr>
                    <w:t>注：</w:t>
                  </w:r>
                  <w:r>
                    <w:rPr>
                      <w:rFonts w:hint="default" w:ascii="Calibri" w:hAnsi="Calibri" w:cs="Calibri"/>
                      <w:b w:val="0"/>
                      <w:bCs w:val="0"/>
                      <w:color w:val="auto"/>
                      <w:highlight w:val="none"/>
                      <w:u w:val="none" w:color="auto"/>
                    </w:rPr>
                    <w:t>①</w:t>
                  </w:r>
                  <w:r>
                    <w:rPr>
                      <w:rFonts w:hint="eastAsia"/>
                      <w:b w:val="0"/>
                      <w:bCs w:val="0"/>
                      <w:color w:val="auto"/>
                      <w:highlight w:val="none"/>
                      <w:u w:val="none" w:color="auto"/>
                    </w:rPr>
                    <w:t>根据表B.3燃生物质炉</w:t>
                  </w:r>
                  <w:r>
                    <w:rPr>
                      <w:rFonts w:hint="eastAsia"/>
                      <w:b w:val="0"/>
                      <w:bCs w:val="0"/>
                      <w:color w:val="auto"/>
                      <w:highlight w:val="none"/>
                      <w:u w:val="none" w:color="auto"/>
                      <w:lang w:val="en-US" w:eastAsia="zh-CN"/>
                    </w:rPr>
                    <w:t>K</w:t>
                  </w:r>
                  <w:r>
                    <w:rPr>
                      <w:rFonts w:hint="eastAsia"/>
                      <w:b w:val="0"/>
                      <w:bCs w:val="0"/>
                      <w:color w:val="auto"/>
                      <w:highlight w:val="none"/>
                      <w:u w:val="none" w:color="auto"/>
                    </w:rPr>
                    <w:t>为0.3-0.5，本项目取0.5；</w:t>
                  </w:r>
                  <w:r>
                    <w:rPr>
                      <w:rFonts w:hint="default" w:ascii="Calibri" w:hAnsi="Calibri" w:cs="Calibri"/>
                      <w:b w:val="0"/>
                      <w:bCs w:val="0"/>
                      <w:color w:val="auto"/>
                      <w:highlight w:val="none"/>
                      <w:u w:val="none" w:color="auto"/>
                    </w:rPr>
                    <w:t>②</w:t>
                  </w:r>
                  <w:r>
                    <w:rPr>
                      <w:rFonts w:hint="eastAsia"/>
                      <w:b w:val="0"/>
                      <w:bCs w:val="0"/>
                      <w:color w:val="auto"/>
                      <w:highlight w:val="none"/>
                      <w:u w:val="none" w:color="auto"/>
                    </w:rPr>
                    <w:t>本项目为</w:t>
                  </w:r>
                  <w:r>
                    <w:rPr>
                      <w:rFonts w:hint="eastAsia"/>
                      <w:b w:val="0"/>
                      <w:bCs w:val="0"/>
                      <w:color w:val="auto"/>
                      <w:highlight w:val="none"/>
                      <w:u w:val="none" w:color="auto"/>
                      <w:lang w:val="en-US" w:eastAsia="zh-CN"/>
                    </w:rPr>
                    <w:t>链条炉</w:t>
                  </w:r>
                  <w:r>
                    <w:rPr>
                      <w:rFonts w:hint="eastAsia"/>
                      <w:b w:val="0"/>
                      <w:bCs w:val="0"/>
                      <w:color w:val="auto"/>
                      <w:highlight w:val="none"/>
                      <w:u w:val="none" w:color="auto"/>
                    </w:rPr>
                    <w:t>，根据《污染源源强核算技术指南 锅炉》（HJ991-2018）中的附录B表B.1选用5%～15%，本项目</w:t>
                  </w:r>
                  <w:r>
                    <w:rPr>
                      <w:rFonts w:hint="eastAsia"/>
                      <w:b w:val="0"/>
                      <w:bCs w:val="0"/>
                      <w:color w:val="auto"/>
                      <w:kern w:val="0"/>
                      <w:szCs w:val="21"/>
                      <w:highlight w:val="none"/>
                      <w:u w:val="none" w:color="auto"/>
                      <w:lang w:bidi="ar"/>
                    </w:rPr>
                    <w:t>q</w:t>
                  </w:r>
                  <w:r>
                    <w:rPr>
                      <w:rFonts w:hint="eastAsia"/>
                      <w:b w:val="0"/>
                      <w:bCs w:val="0"/>
                      <w:color w:val="auto"/>
                      <w:kern w:val="0"/>
                      <w:szCs w:val="21"/>
                      <w:highlight w:val="none"/>
                      <w:u w:val="none" w:color="auto"/>
                      <w:vertAlign w:val="subscript"/>
                      <w:lang w:bidi="ar"/>
                    </w:rPr>
                    <w:t>4</w:t>
                  </w:r>
                  <w:r>
                    <w:rPr>
                      <w:rFonts w:hint="eastAsia"/>
                      <w:b w:val="0"/>
                      <w:bCs w:val="0"/>
                      <w:color w:val="auto"/>
                      <w:highlight w:val="none"/>
                      <w:u w:val="none" w:color="auto"/>
                    </w:rPr>
                    <w:t>取</w:t>
                  </w:r>
                  <w:r>
                    <w:rPr>
                      <w:rFonts w:hint="eastAsia"/>
                      <w:b w:val="0"/>
                      <w:bCs w:val="0"/>
                      <w:color w:val="auto"/>
                      <w:highlight w:val="none"/>
                      <w:u w:val="none" w:color="auto"/>
                      <w:lang w:val="en-US" w:eastAsia="zh-CN"/>
                    </w:rPr>
                    <w:t>15</w:t>
                  </w:r>
                  <w:r>
                    <w:rPr>
                      <w:rFonts w:hint="eastAsia"/>
                      <w:b w:val="0"/>
                      <w:bCs w:val="0"/>
                      <w:color w:val="auto"/>
                      <w:highlight w:val="none"/>
                      <w:u w:val="none" w:color="auto"/>
                    </w:rPr>
                    <w:t>%；</w:t>
                  </w:r>
                  <w:r>
                    <w:rPr>
                      <w:rFonts w:hint="default" w:ascii="Calibri" w:hAnsi="Calibri" w:cs="Calibri"/>
                      <w:b w:val="0"/>
                      <w:bCs w:val="0"/>
                      <w:color w:val="auto"/>
                      <w:highlight w:val="none"/>
                      <w:u w:val="single" w:color="auto"/>
                    </w:rPr>
                    <w:t>③</w:t>
                  </w:r>
                  <w:r>
                    <w:rPr>
                      <w:rFonts w:hint="eastAsia"/>
                      <w:b w:val="0"/>
                      <w:bCs w:val="0"/>
                      <w:color w:val="auto"/>
                      <w:highlight w:val="none"/>
                      <w:u w:val="single" w:color="auto"/>
                    </w:rPr>
                    <w:t>根据Sar=St.</w:t>
                  </w:r>
                  <w:r>
                    <w:rPr>
                      <w:rFonts w:hint="eastAsia"/>
                      <w:b w:val="0"/>
                      <w:bCs w:val="0"/>
                      <w:color w:val="auto"/>
                      <w:highlight w:val="none"/>
                      <w:u w:val="single" w:color="auto"/>
                      <w:lang w:val="en-US" w:eastAsia="zh-CN"/>
                    </w:rPr>
                    <w:t>a</w:t>
                  </w:r>
                  <w:r>
                    <w:rPr>
                      <w:rFonts w:hint="eastAsia"/>
                      <w:b w:val="0"/>
                      <w:bCs w:val="0"/>
                      <w:color w:val="auto"/>
                      <w:highlight w:val="none"/>
                      <w:u w:val="single" w:color="auto"/>
                    </w:rPr>
                    <w:t>d*（100-Mt）/100计算可知，</w:t>
                  </w:r>
                  <w:r>
                    <w:rPr>
                      <w:b w:val="0"/>
                      <w:bCs w:val="0"/>
                      <w:color w:val="auto"/>
                      <w:highlight w:val="none"/>
                      <w:u w:val="single" w:color="auto"/>
                    </w:rPr>
                    <w:t>本项目生物质干燥基</w:t>
                  </w:r>
                  <w:r>
                    <w:rPr>
                      <w:rFonts w:hint="eastAsia"/>
                      <w:b w:val="0"/>
                      <w:bCs w:val="0"/>
                      <w:color w:val="auto"/>
                      <w:highlight w:val="none"/>
                      <w:u w:val="single" w:color="auto"/>
                    </w:rPr>
                    <w:t>硫</w:t>
                  </w:r>
                  <w:r>
                    <w:rPr>
                      <w:b w:val="0"/>
                      <w:bCs w:val="0"/>
                      <w:color w:val="auto"/>
                      <w:highlight w:val="none"/>
                      <w:u w:val="single" w:color="auto"/>
                    </w:rPr>
                    <w:t>分</w:t>
                  </w:r>
                  <w:r>
                    <w:rPr>
                      <w:rFonts w:hint="eastAsia"/>
                      <w:b w:val="0"/>
                      <w:bCs w:val="0"/>
                      <w:color w:val="auto"/>
                      <w:highlight w:val="none"/>
                      <w:u w:val="single" w:color="auto"/>
                    </w:rPr>
                    <w:t>St.</w:t>
                  </w:r>
                  <w:r>
                    <w:rPr>
                      <w:rFonts w:hint="eastAsia"/>
                      <w:b w:val="0"/>
                      <w:bCs w:val="0"/>
                      <w:color w:val="auto"/>
                      <w:highlight w:val="none"/>
                      <w:u w:val="single" w:color="auto"/>
                      <w:lang w:val="en-US" w:eastAsia="zh-CN"/>
                    </w:rPr>
                    <w:t>a</w:t>
                  </w:r>
                  <w:r>
                    <w:rPr>
                      <w:rFonts w:hint="eastAsia"/>
                      <w:b w:val="0"/>
                      <w:bCs w:val="0"/>
                      <w:color w:val="auto"/>
                      <w:highlight w:val="none"/>
                      <w:u w:val="single" w:color="auto"/>
                    </w:rPr>
                    <w:t>d</w:t>
                  </w:r>
                  <w:r>
                    <w:rPr>
                      <w:b w:val="0"/>
                      <w:bCs w:val="0"/>
                      <w:color w:val="auto"/>
                      <w:highlight w:val="none"/>
                      <w:u w:val="single" w:color="auto"/>
                    </w:rPr>
                    <w:t>为</w:t>
                  </w:r>
                  <w:r>
                    <w:rPr>
                      <w:rFonts w:hint="eastAsia"/>
                      <w:b w:val="0"/>
                      <w:bCs w:val="0"/>
                      <w:color w:val="auto"/>
                      <w:highlight w:val="none"/>
                      <w:u w:val="single" w:color="auto"/>
                    </w:rPr>
                    <w:t>0.0</w:t>
                  </w:r>
                  <w:r>
                    <w:rPr>
                      <w:rFonts w:hint="eastAsia"/>
                      <w:b w:val="0"/>
                      <w:bCs w:val="0"/>
                      <w:color w:val="auto"/>
                      <w:highlight w:val="none"/>
                      <w:u w:val="single" w:color="auto"/>
                      <w:lang w:val="en-US" w:eastAsia="zh-CN"/>
                    </w:rPr>
                    <w:t>2</w:t>
                  </w:r>
                  <w:r>
                    <w:rPr>
                      <w:b w:val="0"/>
                      <w:bCs w:val="0"/>
                      <w:color w:val="auto"/>
                      <w:highlight w:val="none"/>
                      <w:u w:val="single" w:color="auto"/>
                    </w:rPr>
                    <w:t>，全水分Mt为</w:t>
                  </w:r>
                  <w:r>
                    <w:rPr>
                      <w:rFonts w:hint="eastAsia"/>
                      <w:b w:val="0"/>
                      <w:bCs w:val="0"/>
                      <w:color w:val="auto"/>
                      <w:highlight w:val="none"/>
                      <w:u w:val="single" w:color="auto"/>
                      <w:lang w:val="en-US" w:eastAsia="zh-CN"/>
                    </w:rPr>
                    <w:t>6.57</w:t>
                  </w:r>
                  <w:r>
                    <w:rPr>
                      <w:rFonts w:hint="eastAsia"/>
                      <w:b w:val="0"/>
                      <w:bCs w:val="0"/>
                      <w:color w:val="auto"/>
                      <w:highlight w:val="none"/>
                      <w:u w:val="single" w:color="auto"/>
                    </w:rPr>
                    <w:t>，Sar为</w:t>
                  </w:r>
                  <w:r>
                    <w:rPr>
                      <w:rFonts w:hint="eastAsia"/>
                      <w:b w:val="0"/>
                      <w:bCs w:val="0"/>
                      <w:color w:val="auto"/>
                      <w:highlight w:val="none"/>
                      <w:u w:val="single" w:color="auto"/>
                      <w:lang w:val="en-US" w:eastAsia="zh-CN"/>
                    </w:rPr>
                    <w:t>0.019</w:t>
                  </w:r>
                  <w:r>
                    <w:rPr>
                      <w:rFonts w:hint="eastAsia"/>
                      <w:b w:val="0"/>
                      <w:bCs w:val="0"/>
                      <w:color w:val="auto"/>
                      <w:highlight w:val="none"/>
                      <w:u w:val="single" w:color="auto"/>
                    </w:rPr>
                    <w:t>。</w:t>
                  </w:r>
                </w:p>
              </w:tc>
            </w:tr>
          </w:tbl>
          <w:p w14:paraId="5AE71E88">
            <w:pPr>
              <w:keepNext w:val="0"/>
              <w:keepLines w:val="0"/>
              <w:pageBreakBefore w:val="0"/>
              <w:widowControl w:val="0"/>
              <w:kinsoku/>
              <w:wordWrap/>
              <w:overflowPunct/>
              <w:topLinePunct w:val="0"/>
              <w:autoSpaceDE w:val="0"/>
              <w:autoSpaceDN w:val="0"/>
              <w:bidi w:val="0"/>
              <w:adjustRightInd w:val="0"/>
              <w:snapToGrid w:val="0"/>
              <w:spacing w:line="560" w:lineRule="exact"/>
              <w:ind w:firstLine="482" w:firstLineChars="200"/>
              <w:jc w:val="both"/>
              <w:textAlignment w:val="auto"/>
              <w:rPr>
                <w:rFonts w:hint="default" w:ascii="Times New Roman" w:hAnsi="Times New Roman" w:eastAsia="宋体" w:cs="Times New Roman"/>
                <w:b/>
                <w:bCs w:val="0"/>
                <w:color w:val="auto"/>
                <w:sz w:val="24"/>
                <w:szCs w:val="24"/>
                <w:highlight w:val="none"/>
                <w:u w:val="single" w:color="auto"/>
              </w:rPr>
            </w:pPr>
            <w:r>
              <w:rPr>
                <w:rFonts w:hint="default" w:ascii="Times New Roman" w:hAnsi="Times New Roman" w:eastAsia="宋体" w:cs="Times New Roman"/>
                <w:b/>
                <w:bCs w:val="0"/>
                <w:color w:val="auto"/>
                <w:sz w:val="24"/>
                <w:szCs w:val="24"/>
                <w:highlight w:val="none"/>
                <w:u w:val="single" w:color="auto"/>
              </w:rPr>
              <w:t>根据</w:t>
            </w:r>
            <w:r>
              <w:rPr>
                <w:rFonts w:hint="eastAsia" w:ascii="Times New Roman" w:hAnsi="Times New Roman" w:eastAsia="宋体" w:cs="Times New Roman"/>
                <w:b/>
                <w:bCs w:val="0"/>
                <w:color w:val="auto"/>
                <w:sz w:val="24"/>
                <w:szCs w:val="24"/>
                <w:highlight w:val="none"/>
                <w:u w:val="single" w:color="auto"/>
              </w:rPr>
              <w:t>上表</w:t>
            </w:r>
            <w:r>
              <w:rPr>
                <w:rFonts w:hint="default" w:ascii="Times New Roman" w:hAnsi="Times New Roman" w:eastAsia="宋体" w:cs="Times New Roman"/>
                <w:b/>
                <w:bCs w:val="0"/>
                <w:color w:val="auto"/>
                <w:sz w:val="24"/>
                <w:szCs w:val="24"/>
                <w:highlight w:val="none"/>
                <w:u w:val="single" w:color="auto"/>
              </w:rPr>
              <w:t>计算结果可知，</w:t>
            </w:r>
            <w:r>
              <w:rPr>
                <w:rFonts w:hint="eastAsia" w:ascii="Times New Roman" w:hAnsi="Times New Roman" w:eastAsia="宋体" w:cs="Times New Roman"/>
                <w:b/>
                <w:bCs w:val="0"/>
                <w:color w:val="auto"/>
                <w:sz w:val="24"/>
                <w:szCs w:val="24"/>
                <w:highlight w:val="none"/>
                <w:u w:val="single" w:color="auto"/>
              </w:rPr>
              <w:t>二氧化硫排放量为</w:t>
            </w:r>
            <w:r>
              <w:rPr>
                <w:rFonts w:hint="eastAsia" w:cs="Times New Roman"/>
                <w:b/>
                <w:bCs w:val="0"/>
                <w:color w:val="auto"/>
                <w:sz w:val="24"/>
                <w:szCs w:val="24"/>
                <w:highlight w:val="none"/>
                <w:u w:val="single" w:color="auto"/>
                <w:lang w:val="en-US" w:eastAsia="zh-CN"/>
              </w:rPr>
              <w:t>0.20</w:t>
            </w:r>
            <w:r>
              <w:rPr>
                <w:rFonts w:hint="eastAsia" w:ascii="Times New Roman" w:hAnsi="Times New Roman" w:eastAsia="宋体" w:cs="Times New Roman"/>
                <w:b/>
                <w:bCs w:val="0"/>
                <w:color w:val="auto"/>
                <w:sz w:val="24"/>
                <w:szCs w:val="24"/>
                <w:highlight w:val="none"/>
                <w:u w:val="single" w:color="auto"/>
              </w:rPr>
              <w:t xml:space="preserve"> t/a</w:t>
            </w:r>
            <w:r>
              <w:rPr>
                <w:rFonts w:hint="default" w:ascii="Times New Roman" w:hAnsi="Times New Roman" w:eastAsia="宋体" w:cs="Times New Roman"/>
                <w:b/>
                <w:bCs w:val="0"/>
                <w:color w:val="auto"/>
                <w:sz w:val="24"/>
                <w:szCs w:val="24"/>
                <w:highlight w:val="none"/>
                <w:u w:val="single" w:color="auto"/>
              </w:rPr>
              <w:t>。</w:t>
            </w:r>
          </w:p>
          <w:p w14:paraId="2B8F71E4">
            <w:pPr>
              <w:keepNext w:val="0"/>
              <w:keepLines w:val="0"/>
              <w:pageBreakBefore w:val="0"/>
              <w:widowControl w:val="0"/>
              <w:kinsoku/>
              <w:wordWrap/>
              <w:overflowPunct/>
              <w:topLinePunct w:val="0"/>
              <w:autoSpaceDE w:val="0"/>
              <w:autoSpaceDN w:val="0"/>
              <w:bidi w:val="0"/>
              <w:adjustRightInd w:val="0"/>
              <w:snapToGrid w:val="0"/>
              <w:spacing w:line="560" w:lineRule="exact"/>
              <w:ind w:firstLine="480" w:firstLineChars="200"/>
              <w:jc w:val="both"/>
              <w:textAlignment w:val="auto"/>
              <w:rPr>
                <w:rFonts w:hint="eastAsia" w:ascii="Times New Roman" w:hAnsi="Times New Roman" w:eastAsia="宋体" w:cs="Times New Roman"/>
                <w:color w:val="auto"/>
                <w:spacing w:val="0"/>
                <w:kern w:val="21"/>
                <w:sz w:val="24"/>
                <w:szCs w:val="24"/>
                <w:highlight w:val="none"/>
                <w:u w:val="none" w:color="auto"/>
                <w:lang w:val="en-US" w:eastAsia="zh-CN" w:bidi="ar-SA"/>
              </w:rPr>
            </w:pPr>
            <w:r>
              <w:rPr>
                <w:rFonts w:hint="default" w:ascii="Times New Roman" w:hAnsi="Times New Roman" w:eastAsia="宋体" w:cs="Times New Roman"/>
                <w:color w:val="auto"/>
                <w:spacing w:val="0"/>
                <w:kern w:val="21"/>
                <w:sz w:val="24"/>
                <w:szCs w:val="24"/>
                <w:highlight w:val="none"/>
                <w:u w:val="none" w:color="auto"/>
                <w:lang w:val="en-US" w:eastAsia="zh-CN" w:bidi="ar-SA"/>
              </w:rPr>
              <w:fldChar w:fldCharType="begin"/>
            </w:r>
            <w:r>
              <w:rPr>
                <w:rFonts w:hint="default" w:ascii="Times New Roman" w:hAnsi="Times New Roman" w:eastAsia="宋体" w:cs="Times New Roman"/>
                <w:color w:val="auto"/>
                <w:spacing w:val="0"/>
                <w:kern w:val="21"/>
                <w:sz w:val="24"/>
                <w:szCs w:val="24"/>
                <w:highlight w:val="none"/>
                <w:u w:val="none" w:color="auto"/>
                <w:lang w:val="en-US" w:eastAsia="zh-CN" w:bidi="ar-SA"/>
              </w:rPr>
              <w:instrText xml:space="preserve"> = 4 \* GB3 \* MERGEFORMAT </w:instrText>
            </w:r>
            <w:r>
              <w:rPr>
                <w:rFonts w:hint="default" w:ascii="Times New Roman" w:hAnsi="Times New Roman" w:eastAsia="宋体" w:cs="Times New Roman"/>
                <w:color w:val="auto"/>
                <w:spacing w:val="0"/>
                <w:kern w:val="21"/>
                <w:sz w:val="24"/>
                <w:szCs w:val="24"/>
                <w:highlight w:val="none"/>
                <w:u w:val="none" w:color="auto"/>
                <w:lang w:val="en-US" w:eastAsia="zh-CN" w:bidi="ar-SA"/>
              </w:rPr>
              <w:fldChar w:fldCharType="separate"/>
            </w:r>
            <w:r>
              <w:rPr>
                <w:rFonts w:hint="default" w:ascii="Times New Roman" w:hAnsi="Times New Roman" w:cs="Times New Roman"/>
                <w:color w:val="auto"/>
                <w:highlight w:val="none"/>
                <w:u w:val="none" w:color="auto"/>
              </w:rPr>
              <w:t>④</w:t>
            </w:r>
            <w:r>
              <w:rPr>
                <w:rFonts w:hint="default" w:ascii="Times New Roman" w:hAnsi="Times New Roman" w:eastAsia="宋体" w:cs="Times New Roman"/>
                <w:color w:val="auto"/>
                <w:spacing w:val="0"/>
                <w:kern w:val="21"/>
                <w:sz w:val="24"/>
                <w:szCs w:val="24"/>
                <w:highlight w:val="none"/>
                <w:u w:val="none" w:color="auto"/>
                <w:lang w:val="en-US" w:eastAsia="zh-CN" w:bidi="ar-SA"/>
              </w:rPr>
              <w:fldChar w:fldCharType="end"/>
            </w:r>
            <w:r>
              <w:rPr>
                <w:rFonts w:hint="eastAsia" w:ascii="Times New Roman" w:hAnsi="Times New Roman" w:eastAsia="宋体" w:cs="Times New Roman"/>
                <w:color w:val="auto"/>
                <w:spacing w:val="0"/>
                <w:kern w:val="21"/>
                <w:sz w:val="24"/>
                <w:szCs w:val="24"/>
                <w:highlight w:val="none"/>
                <w:u w:val="none" w:color="auto"/>
                <w:lang w:val="en-US" w:eastAsia="zh-CN" w:bidi="ar-SA"/>
              </w:rPr>
              <w:t>氮氧化物</w:t>
            </w:r>
            <w:r>
              <w:rPr>
                <w:rFonts w:hint="default" w:ascii="Times New Roman" w:hAnsi="Times New Roman" w:eastAsia="宋体" w:cs="Times New Roman"/>
                <w:color w:val="auto"/>
                <w:spacing w:val="0"/>
                <w:kern w:val="21"/>
                <w:sz w:val="24"/>
                <w:szCs w:val="24"/>
                <w:highlight w:val="none"/>
                <w:u w:val="none" w:color="auto"/>
                <w:lang w:val="en-US" w:eastAsia="zh-CN" w:bidi="ar-SA"/>
              </w:rPr>
              <w:t>计算公式如下</w:t>
            </w:r>
            <w:r>
              <w:rPr>
                <w:rFonts w:hint="eastAsia" w:ascii="Times New Roman" w:hAnsi="Times New Roman" w:eastAsia="宋体" w:cs="Times New Roman"/>
                <w:color w:val="auto"/>
                <w:spacing w:val="0"/>
                <w:kern w:val="21"/>
                <w:sz w:val="24"/>
                <w:szCs w:val="24"/>
                <w:highlight w:val="none"/>
                <w:u w:val="none" w:color="auto"/>
                <w:lang w:val="en-US" w:eastAsia="zh-CN" w:bidi="ar-SA"/>
              </w:rPr>
              <w:t>：</w:t>
            </w:r>
          </w:p>
          <w:p w14:paraId="0F7D3270">
            <w:pPr>
              <w:keepNext w:val="0"/>
              <w:keepLines w:val="0"/>
              <w:pageBreakBefore w:val="0"/>
              <w:widowControl w:val="0"/>
              <w:kinsoku/>
              <w:wordWrap/>
              <w:overflowPunct/>
              <w:topLinePunct w:val="0"/>
              <w:autoSpaceDE w:val="0"/>
              <w:autoSpaceDN w:val="0"/>
              <w:bidi w:val="0"/>
              <w:adjustRightInd w:val="0"/>
              <w:snapToGrid w:val="0"/>
              <w:spacing w:line="560" w:lineRule="exact"/>
              <w:ind w:firstLine="480" w:firstLineChars="200"/>
              <w:jc w:val="both"/>
              <w:textAlignment w:val="auto"/>
              <w:rPr>
                <w:rFonts w:hint="eastAsia" w:ascii="宋体" w:hAnsi="宋体" w:eastAsia="宋体" w:cs="宋体"/>
                <w:color w:val="auto"/>
                <w:spacing w:val="-8"/>
                <w:sz w:val="24"/>
                <w:szCs w:val="24"/>
                <w:u w:val="none" w:color="auto"/>
                <w:lang w:eastAsia="zh-CN"/>
              </w:rPr>
            </w:pPr>
            <w:r>
              <w:rPr>
                <w:rFonts w:hint="default" w:ascii="Times New Roman" w:hAnsi="Times New Roman" w:eastAsia="宋体" w:cs="Times New Roman"/>
                <w:color w:val="auto"/>
                <w:spacing w:val="0"/>
                <w:kern w:val="21"/>
                <w:sz w:val="24"/>
                <w:szCs w:val="24"/>
                <w:highlight w:val="none"/>
                <w:u w:val="none" w:color="auto"/>
                <w:lang w:val="en-US" w:eastAsia="zh-CN" w:bidi="ar-SA"/>
              </w:rPr>
              <w:t>根据《排污许可证申请与核发技术规范 锅炉》（HJ953-2018）表F.4生物质锅</w:t>
            </w:r>
            <w:r>
              <w:rPr>
                <w:rFonts w:ascii="宋体" w:hAnsi="宋体" w:eastAsia="宋体" w:cs="宋体"/>
                <w:color w:val="auto"/>
                <w:spacing w:val="-8"/>
                <w:sz w:val="24"/>
                <w:szCs w:val="24"/>
                <w:u w:val="none" w:color="auto"/>
              </w:rPr>
              <w:t>炉的产污系数计算</w:t>
            </w:r>
            <w:r>
              <w:rPr>
                <w:rFonts w:hint="eastAsia" w:ascii="宋体" w:hAnsi="宋体" w:eastAsia="宋体" w:cs="宋体"/>
                <w:color w:val="auto"/>
                <w:spacing w:val="-8"/>
                <w:sz w:val="24"/>
                <w:szCs w:val="24"/>
                <w:u w:val="none" w:color="auto"/>
                <w:lang w:eastAsia="zh-CN"/>
              </w:rPr>
              <w:t>：</w:t>
            </w:r>
          </w:p>
          <w:p w14:paraId="3B272772">
            <w:pPr>
              <w:keepNext w:val="0"/>
              <w:keepLines w:val="0"/>
              <w:pageBreakBefore w:val="0"/>
              <w:widowControl w:val="0"/>
              <w:kinsoku/>
              <w:wordWrap/>
              <w:overflowPunct/>
              <w:topLinePunct w:val="0"/>
              <w:autoSpaceDE w:val="0"/>
              <w:autoSpaceDN w:val="0"/>
              <w:bidi w:val="0"/>
              <w:adjustRightInd w:val="0"/>
              <w:snapToGrid w:val="0"/>
              <w:spacing w:line="560" w:lineRule="exact"/>
              <w:ind w:firstLine="480" w:firstLineChars="200"/>
              <w:jc w:val="both"/>
              <w:textAlignment w:val="auto"/>
              <w:rPr>
                <w:rFonts w:hAnsi="Cambria Math"/>
                <w:i w:val="0"/>
                <w:color w:val="auto"/>
                <w:sz w:val="24"/>
                <w:u w:val="none" w:color="auto"/>
              </w:rPr>
            </w:pPr>
            <m:oMathPara>
              <m:oMath>
                <m:sSub>
                  <m:sSubPr>
                    <m:ctrlPr>
                      <w:rPr>
                        <w:rFonts w:hint="default" w:ascii="Cambria Math" w:hAnsi="Cambria Math"/>
                        <w:color w:val="auto"/>
                        <w:sz w:val="24"/>
                        <w:u w:val="none" w:color="auto"/>
                      </w:rPr>
                    </m:ctrlPr>
                  </m:sSubPr>
                  <m:e>
                    <m:r>
                      <m:rPr/>
                      <w:rPr>
                        <w:rFonts w:hint="default" w:ascii="Cambria Math" w:hAnsi="Cambria Math"/>
                        <w:color w:val="auto"/>
                        <w:sz w:val="24"/>
                        <w:u w:val="none" w:color="auto"/>
                      </w:rPr>
                      <m:t>E</m:t>
                    </m:r>
                    <m:ctrlPr>
                      <w:rPr>
                        <w:rFonts w:ascii="Cambria Math" w:hAnsi="Cambria Math"/>
                        <w:color w:val="auto"/>
                        <w:sz w:val="24"/>
                        <w:u w:val="none" w:color="auto"/>
                      </w:rPr>
                    </m:ctrlPr>
                  </m:e>
                  <m:sub>
                    <m:r>
                      <m:rPr/>
                      <w:rPr>
                        <w:rFonts w:hint="default" w:ascii="Cambria Math" w:hAnsi="Cambria Math"/>
                        <w:color w:val="auto"/>
                        <w:sz w:val="24"/>
                        <w:u w:val="none" w:color="auto"/>
                      </w:rPr>
                      <m:t>j</m:t>
                    </m:r>
                    <m:ctrlPr>
                      <w:rPr>
                        <w:rFonts w:ascii="Cambria Math" w:hAnsi="Cambria Math"/>
                        <w:color w:val="auto"/>
                        <w:sz w:val="24"/>
                        <w:u w:val="none" w:color="auto"/>
                      </w:rPr>
                    </m:ctrlPr>
                  </m:sub>
                </m:sSub>
                <m:r>
                  <m:rPr/>
                  <w:rPr>
                    <w:rFonts w:hint="default" w:ascii="Cambria Math" w:hAnsi="Cambria Math"/>
                    <w:color w:val="auto"/>
                    <w:sz w:val="24"/>
                    <w:u w:val="none" w:color="auto"/>
                  </w:rPr>
                  <m:t>=R</m:t>
                </m:r>
                <m:r>
                  <m:rPr>
                    <m:sty m:val="p"/>
                  </m:rPr>
                  <w:rPr>
                    <w:rFonts w:hint="default" w:ascii="Cambria Math" w:hAnsi="Cambria Math"/>
                    <w:color w:val="auto"/>
                    <w:sz w:val="24"/>
                    <w:u w:val="none" w:color="auto"/>
                  </w:rPr>
                  <m:t>×</m:t>
                </m:r>
                <m:sSub>
                  <m:sSubPr>
                    <m:ctrlPr>
                      <w:rPr>
                        <w:rFonts w:hint="default" w:ascii="Cambria Math" w:hAnsi="Cambria Math"/>
                        <w:color w:val="auto"/>
                        <w:sz w:val="24"/>
                        <w:u w:val="none" w:color="auto"/>
                      </w:rPr>
                    </m:ctrlPr>
                  </m:sSubPr>
                  <m:e>
                    <m:r>
                      <m:rPr/>
                      <w:rPr>
                        <w:rFonts w:hint="default" w:ascii="Cambria Math" w:hAnsi="Cambria Math"/>
                        <w:color w:val="auto"/>
                        <w:sz w:val="24"/>
                        <w:u w:val="none" w:color="auto"/>
                      </w:rPr>
                      <m:t>β</m:t>
                    </m:r>
                    <m:ctrlPr>
                      <w:rPr>
                        <w:rFonts w:ascii="Cambria Math" w:hAnsi="Cambria Math"/>
                        <w:color w:val="auto"/>
                        <w:sz w:val="24"/>
                        <w:u w:val="none" w:color="auto"/>
                      </w:rPr>
                    </m:ctrlPr>
                  </m:e>
                  <m:sub>
                    <m:r>
                      <m:rPr/>
                      <w:rPr>
                        <w:rFonts w:hint="default" w:ascii="Cambria Math" w:hAnsi="Cambria Math"/>
                        <w:color w:val="auto"/>
                        <w:sz w:val="24"/>
                        <w:u w:val="none" w:color="auto"/>
                      </w:rPr>
                      <m:t>j</m:t>
                    </m:r>
                    <m:ctrlPr>
                      <w:rPr>
                        <w:rFonts w:ascii="Cambria Math" w:hAnsi="Cambria Math"/>
                        <w:color w:val="auto"/>
                        <w:sz w:val="24"/>
                        <w:u w:val="none" w:color="auto"/>
                      </w:rPr>
                    </m:ctrlPr>
                  </m:sub>
                </m:sSub>
                <m:r>
                  <m:rPr>
                    <m:sty m:val="p"/>
                  </m:rPr>
                  <w:rPr>
                    <w:rFonts w:hint="default" w:ascii="Cambria Math" w:hAnsi="Cambria Math"/>
                    <w:color w:val="auto"/>
                    <w:sz w:val="24"/>
                    <w:u w:val="none" w:color="auto"/>
                  </w:rPr>
                  <m:t>×</m:t>
                </m:r>
                <m:r>
                  <m:rPr/>
                  <w:rPr>
                    <w:rFonts w:hint="default" w:ascii="Cambria Math" w:hAnsi="Cambria Math"/>
                    <w:color w:val="auto"/>
                    <w:sz w:val="24"/>
                    <w:u w:val="none" w:color="auto"/>
                  </w:rPr>
                  <m:t>(1−</m:t>
                </m:r>
                <m:f>
                  <m:fPr>
                    <m:ctrlPr>
                      <w:rPr>
                        <w:rFonts w:hint="default" w:ascii="Cambria Math" w:hAnsi="Cambria Math"/>
                        <w:i/>
                        <w:color w:val="auto"/>
                        <w:sz w:val="24"/>
                        <w:u w:val="none" w:color="auto"/>
                      </w:rPr>
                    </m:ctrlPr>
                  </m:fPr>
                  <m:num>
                    <m:r>
                      <m:rPr/>
                      <w:rPr>
                        <w:rFonts w:hint="default" w:ascii="Cambria Math" w:hAnsi="Cambria Math"/>
                        <w:color w:val="auto"/>
                        <w:sz w:val="24"/>
                        <w:u w:val="none" w:color="auto"/>
                      </w:rPr>
                      <m:t>η</m:t>
                    </m:r>
                    <m:ctrlPr>
                      <w:rPr>
                        <w:rFonts w:ascii="Cambria Math" w:hAnsi="Cambria Math"/>
                        <w:color w:val="auto"/>
                        <w:sz w:val="24"/>
                        <w:u w:val="none" w:color="auto"/>
                      </w:rPr>
                    </m:ctrlPr>
                  </m:num>
                  <m:den>
                    <m:r>
                      <m:rPr/>
                      <w:rPr>
                        <w:rFonts w:hint="default" w:ascii="Cambria Math" w:hAnsi="Cambria Math"/>
                        <w:color w:val="auto"/>
                        <w:sz w:val="24"/>
                        <w:u w:val="none" w:color="auto"/>
                      </w:rPr>
                      <m:t>100</m:t>
                    </m:r>
                    <m:ctrlPr>
                      <w:rPr>
                        <w:rFonts w:ascii="Cambria Math" w:hAnsi="Cambria Math"/>
                        <w:color w:val="auto"/>
                        <w:sz w:val="24"/>
                        <w:u w:val="none" w:color="auto"/>
                      </w:rPr>
                    </m:ctrlPr>
                  </m:den>
                </m:f>
                <m:r>
                  <m:rPr/>
                  <w:rPr>
                    <w:rFonts w:hint="default" w:ascii="Cambria Math" w:hAnsi="Cambria Math"/>
                    <w:color w:val="auto"/>
                    <w:sz w:val="24"/>
                    <w:u w:val="none" w:color="auto"/>
                  </w:rPr>
                  <m:t>)</m:t>
                </m:r>
                <m:r>
                  <m:rPr>
                    <m:sty m:val="p"/>
                  </m:rPr>
                  <w:rPr>
                    <w:rFonts w:hint="default" w:ascii="Cambria Math" w:hAnsi="Cambria Math"/>
                    <w:color w:val="auto"/>
                    <w:sz w:val="24"/>
                    <w:u w:val="none" w:color="auto"/>
                  </w:rPr>
                  <m:t>×</m:t>
                </m:r>
                <m:r>
                  <m:rPr/>
                  <w:rPr>
                    <w:rFonts w:hint="default" w:ascii="Cambria Math" w:hAnsi="Cambria Math"/>
                    <w:color w:val="auto"/>
                    <w:sz w:val="24"/>
                    <w:u w:val="none" w:color="auto"/>
                  </w:rPr>
                  <m:t>1</m:t>
                </m:r>
                <m:sSup>
                  <m:sSupPr>
                    <m:ctrlPr>
                      <w:rPr>
                        <w:rFonts w:hint="default" w:ascii="Cambria Math" w:hAnsi="Cambria Math"/>
                        <w:color w:val="auto"/>
                        <w:sz w:val="24"/>
                        <w:u w:val="none" w:color="auto"/>
                      </w:rPr>
                    </m:ctrlPr>
                  </m:sSupPr>
                  <m:e>
                    <m:r>
                      <m:rPr/>
                      <w:rPr>
                        <w:rFonts w:hint="default" w:ascii="Cambria Math" w:hAnsi="Cambria Math"/>
                        <w:color w:val="auto"/>
                        <w:sz w:val="24"/>
                        <w:u w:val="none" w:color="auto"/>
                      </w:rPr>
                      <m:t>0</m:t>
                    </m:r>
                    <m:ctrlPr>
                      <w:rPr>
                        <w:rFonts w:ascii="Cambria Math" w:hAnsi="Cambria Math"/>
                        <w:color w:val="auto"/>
                        <w:sz w:val="24"/>
                        <w:u w:val="none" w:color="auto"/>
                      </w:rPr>
                    </m:ctrlPr>
                  </m:e>
                  <m:sup>
                    <m:r>
                      <m:rPr/>
                      <w:rPr>
                        <w:rFonts w:hint="default" w:ascii="Cambria Math" w:hAnsi="Cambria Math"/>
                        <w:color w:val="auto"/>
                        <w:sz w:val="24"/>
                        <w:u w:val="none" w:color="auto"/>
                      </w:rPr>
                      <m:t>−3</m:t>
                    </m:r>
                    <m:ctrlPr>
                      <w:rPr>
                        <w:rFonts w:ascii="Cambria Math" w:hAnsi="Cambria Math"/>
                        <w:color w:val="auto"/>
                        <w:sz w:val="24"/>
                        <w:u w:val="none" w:color="auto"/>
                      </w:rPr>
                    </m:ctrlPr>
                  </m:sup>
                </m:sSup>
              </m:oMath>
            </m:oMathPara>
          </w:p>
          <w:p w14:paraId="1082C07D">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560" w:lineRule="exact"/>
              <w:ind w:firstLine="480" w:firstLineChars="200"/>
              <w:jc w:val="left"/>
              <w:textAlignment w:val="auto"/>
              <w:rPr>
                <w:rFonts w:hint="default" w:ascii="Times New Roman" w:hAnsi="Times New Roman" w:eastAsia="宋体" w:cs="Times New Roman"/>
                <w:b w:val="0"/>
                <w:bCs/>
                <w:smallCaps w:val="0"/>
                <w:color w:val="auto"/>
                <w:sz w:val="24"/>
                <w:szCs w:val="24"/>
                <w:highlight w:val="none"/>
                <w:u w:val="none" w:color="auto"/>
              </w:rPr>
            </w:pPr>
            <w:r>
              <w:rPr>
                <w:rFonts w:hint="default" w:ascii="Times New Roman" w:hAnsi="Times New Roman" w:eastAsia="宋体" w:cs="Times New Roman"/>
                <w:b w:val="0"/>
                <w:bCs/>
                <w:smallCaps w:val="0"/>
                <w:color w:val="auto"/>
                <w:sz w:val="24"/>
                <w:szCs w:val="24"/>
                <w:highlight w:val="none"/>
                <w:u w:val="none" w:color="auto"/>
              </w:rPr>
              <w:t>式中：Ej----核算时段内第j种污染物排放量，t；</w:t>
            </w:r>
          </w:p>
          <w:p w14:paraId="39AB7A0A">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560" w:lineRule="exact"/>
              <w:ind w:left="0" w:firstLine="1080" w:firstLineChars="450"/>
              <w:jc w:val="left"/>
              <w:textAlignment w:val="auto"/>
              <w:rPr>
                <w:rFonts w:hint="default" w:ascii="Times New Roman" w:hAnsi="Times New Roman" w:eastAsia="宋体" w:cs="Times New Roman"/>
                <w:b w:val="0"/>
                <w:bCs/>
                <w:smallCaps w:val="0"/>
                <w:color w:val="auto"/>
                <w:sz w:val="24"/>
                <w:szCs w:val="24"/>
                <w:highlight w:val="none"/>
                <w:u w:val="none" w:color="auto"/>
              </w:rPr>
            </w:pPr>
            <w:r>
              <w:rPr>
                <w:rFonts w:hint="eastAsia" w:ascii="Times New Roman" w:hAnsi="Times New Roman" w:eastAsia="宋体" w:cs="Times New Roman"/>
                <w:b w:val="0"/>
                <w:bCs/>
                <w:smallCaps w:val="0"/>
                <w:color w:val="auto"/>
                <w:sz w:val="24"/>
                <w:szCs w:val="24"/>
                <w:highlight w:val="none"/>
                <w:u w:val="none" w:color="auto"/>
                <w:lang w:val="en-US" w:eastAsia="zh-CN"/>
              </w:rPr>
              <w:t>R</w:t>
            </w:r>
            <w:r>
              <w:rPr>
                <w:rFonts w:hint="default" w:ascii="Times New Roman" w:hAnsi="Times New Roman" w:eastAsia="宋体" w:cs="Times New Roman"/>
                <w:b w:val="0"/>
                <w:bCs/>
                <w:smallCaps w:val="0"/>
                <w:color w:val="auto"/>
                <w:sz w:val="24"/>
                <w:szCs w:val="24"/>
                <w:highlight w:val="none"/>
                <w:u w:val="none" w:color="auto"/>
              </w:rPr>
              <w:t>---核算时段内燃料耗量，t或万m³</w:t>
            </w:r>
            <w:r>
              <w:rPr>
                <w:rFonts w:hint="eastAsia" w:ascii="Times New Roman" w:hAnsi="Times New Roman" w:eastAsia="宋体" w:cs="Times New Roman"/>
                <w:b w:val="0"/>
                <w:bCs/>
                <w:smallCaps w:val="0"/>
                <w:color w:val="auto"/>
                <w:sz w:val="24"/>
                <w:szCs w:val="24"/>
                <w:highlight w:val="none"/>
                <w:u w:val="none" w:color="auto"/>
                <w:lang w:eastAsia="zh-CN"/>
              </w:rPr>
              <w:t>；</w:t>
            </w:r>
          </w:p>
          <w:p w14:paraId="0A72D9F3">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560" w:lineRule="exact"/>
              <w:ind w:left="0" w:firstLine="1080" w:firstLineChars="450"/>
              <w:jc w:val="left"/>
              <w:textAlignment w:val="auto"/>
              <w:rPr>
                <w:rFonts w:hint="eastAsia" w:ascii="Times New Roman" w:hAnsi="Times New Roman" w:eastAsia="宋体" w:cs="Times New Roman"/>
                <w:b w:val="0"/>
                <w:bCs/>
                <w:smallCaps w:val="0"/>
                <w:color w:val="auto"/>
                <w:sz w:val="24"/>
                <w:szCs w:val="24"/>
                <w:highlight w:val="none"/>
                <w:u w:val="none" w:color="auto"/>
                <w:lang w:eastAsia="zh-CN"/>
              </w:rPr>
            </w:pPr>
            <w:r>
              <w:rPr>
                <w:rFonts w:hint="default" w:ascii="Times New Roman" w:hAnsi="Times New Roman" w:eastAsia="宋体" w:cs="Times New Roman"/>
                <w:b w:val="0"/>
                <w:bCs/>
                <w:smallCaps w:val="0"/>
                <w:color w:val="auto"/>
                <w:sz w:val="24"/>
                <w:szCs w:val="24"/>
                <w:highlight w:val="none"/>
                <w:u w:val="none" w:color="auto"/>
              </w:rPr>
              <w:t>βj----产污系数</w:t>
            </w:r>
            <w:r>
              <w:rPr>
                <w:rFonts w:hint="eastAsia" w:ascii="Times New Roman" w:hAnsi="Times New Roman" w:eastAsia="宋体" w:cs="Times New Roman"/>
                <w:b w:val="0"/>
                <w:bCs/>
                <w:smallCaps w:val="0"/>
                <w:color w:val="auto"/>
                <w:sz w:val="24"/>
                <w:szCs w:val="24"/>
                <w:highlight w:val="none"/>
                <w:u w:val="none" w:color="auto"/>
                <w:lang w:eastAsia="zh-CN"/>
              </w:rPr>
              <w:t>；</w:t>
            </w:r>
          </w:p>
          <w:p w14:paraId="281CA26C">
            <w:pPr>
              <w:pStyle w:val="22"/>
              <w:keepNext w:val="0"/>
              <w:keepLines w:val="0"/>
              <w:pageBreakBefore w:val="0"/>
              <w:widowControl w:val="0"/>
              <w:tabs>
                <w:tab w:val="right" w:leader="dot" w:pos="8296"/>
              </w:tabs>
              <w:kinsoku/>
              <w:wordWrap/>
              <w:overflowPunct/>
              <w:topLinePunct w:val="0"/>
              <w:autoSpaceDE/>
              <w:autoSpaceDN/>
              <w:bidi w:val="0"/>
              <w:adjustRightInd w:val="0"/>
              <w:snapToGrid/>
              <w:spacing w:line="560" w:lineRule="exact"/>
              <w:ind w:left="0" w:firstLine="1080" w:firstLineChars="450"/>
              <w:jc w:val="left"/>
              <w:textAlignment w:val="auto"/>
              <w:rPr>
                <w:rFonts w:hint="default" w:ascii="Times New Roman" w:hAnsi="Times New Roman" w:eastAsia="宋体" w:cs="Times New Roman"/>
                <w:b w:val="0"/>
                <w:bCs/>
                <w:smallCaps w:val="0"/>
                <w:color w:val="auto"/>
                <w:sz w:val="24"/>
                <w:szCs w:val="24"/>
                <w:highlight w:val="none"/>
                <w:u w:val="none" w:color="auto"/>
              </w:rPr>
            </w:pPr>
            <w:r>
              <w:rPr>
                <w:rFonts w:hint="default" w:ascii="Times New Roman" w:hAnsi="Times New Roman" w:eastAsia="宋体" w:cs="Times New Roman"/>
                <w:b w:val="0"/>
                <w:bCs/>
                <w:smallCaps w:val="0"/>
                <w:color w:val="auto"/>
                <w:sz w:val="24"/>
                <w:szCs w:val="24"/>
                <w:highlight w:val="none"/>
                <w:u w:val="none" w:color="auto"/>
              </w:rPr>
              <w:t>η---污染物的脱除效率，%。</w:t>
            </w:r>
          </w:p>
          <w:p w14:paraId="5E24394B">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rPr>
                <w:rFonts w:hint="default" w:ascii="Times New Roman" w:hAnsi="Times New Roman" w:eastAsia="宋体" w:cs="Times New Roman"/>
                <w:b/>
                <w:bCs/>
                <w:color w:val="auto"/>
                <w:spacing w:val="0"/>
                <w:kern w:val="21"/>
                <w:sz w:val="24"/>
                <w:szCs w:val="24"/>
                <w:highlight w:val="none"/>
                <w:u w:val="none" w:color="auto"/>
                <w:lang w:val="en-US" w:eastAsia="zh-CN"/>
              </w:rPr>
            </w:pPr>
            <w:r>
              <w:rPr>
                <w:rFonts w:hint="default" w:ascii="Times New Roman" w:hAnsi="Times New Roman" w:eastAsia="宋体" w:cs="Times New Roman"/>
                <w:b/>
                <w:bCs/>
                <w:color w:val="auto"/>
                <w:spacing w:val="0"/>
                <w:kern w:val="21"/>
                <w:sz w:val="24"/>
                <w:szCs w:val="24"/>
                <w:highlight w:val="none"/>
                <w:u w:val="none" w:color="auto"/>
                <w:lang w:val="en-US" w:eastAsia="zh-CN"/>
              </w:rPr>
              <w:t>表</w:t>
            </w:r>
            <w:r>
              <w:rPr>
                <w:rFonts w:hint="eastAsia" w:ascii="Times New Roman" w:hAnsi="Times New Roman" w:eastAsia="宋体" w:cs="Times New Roman"/>
                <w:b/>
                <w:bCs/>
                <w:color w:val="auto"/>
                <w:spacing w:val="0"/>
                <w:kern w:val="21"/>
                <w:sz w:val="24"/>
                <w:szCs w:val="24"/>
                <w:highlight w:val="none"/>
                <w:u w:val="none" w:color="auto"/>
                <w:lang w:val="en-US" w:eastAsia="zh-CN"/>
              </w:rPr>
              <w:t xml:space="preserve">4-3   </w:t>
            </w:r>
            <w:r>
              <w:rPr>
                <w:rFonts w:hint="default" w:ascii="Times New Roman" w:hAnsi="Times New Roman" w:eastAsia="宋体" w:cs="Times New Roman"/>
                <w:b/>
                <w:bCs/>
                <w:color w:val="auto"/>
                <w:spacing w:val="0"/>
                <w:kern w:val="21"/>
                <w:sz w:val="24"/>
                <w:szCs w:val="24"/>
                <w:highlight w:val="none"/>
                <w:u w:val="none" w:color="auto"/>
                <w:lang w:val="en-US" w:eastAsia="zh-CN"/>
              </w:rPr>
              <w:t xml:space="preserve"> </w:t>
            </w:r>
            <w:r>
              <w:rPr>
                <w:rFonts w:hint="eastAsia" w:ascii="Times New Roman" w:hAnsi="Times New Roman" w:eastAsia="宋体" w:cs="Times New Roman"/>
                <w:b/>
                <w:bCs/>
                <w:color w:val="auto"/>
                <w:spacing w:val="0"/>
                <w:kern w:val="21"/>
                <w:sz w:val="24"/>
                <w:szCs w:val="24"/>
                <w:highlight w:val="none"/>
                <w:u w:val="none" w:color="auto"/>
                <w:lang w:val="en-US" w:eastAsia="zh-CN"/>
              </w:rPr>
              <w:t>氮氧化物</w:t>
            </w:r>
            <w:r>
              <w:rPr>
                <w:rFonts w:hint="default" w:ascii="Times New Roman" w:hAnsi="Times New Roman" w:eastAsia="宋体" w:cs="Times New Roman"/>
                <w:b/>
                <w:bCs/>
                <w:color w:val="auto"/>
                <w:spacing w:val="0"/>
                <w:kern w:val="21"/>
                <w:sz w:val="24"/>
                <w:szCs w:val="24"/>
                <w:highlight w:val="none"/>
                <w:u w:val="none" w:color="auto"/>
                <w:lang w:val="en-US" w:eastAsia="zh-CN"/>
              </w:rPr>
              <w:t>计算结果</w:t>
            </w:r>
          </w:p>
          <w:tbl>
            <w:tblPr>
              <w:tblStyle w:val="2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54"/>
              <w:gridCol w:w="1276"/>
              <w:gridCol w:w="1275"/>
              <w:gridCol w:w="750"/>
              <w:gridCol w:w="2205"/>
            </w:tblGrid>
            <w:tr w14:paraId="6A3A99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2154" w:type="dxa"/>
                  <w:tcBorders>
                    <w:tl2br w:val="nil"/>
                    <w:tr2bl w:val="nil"/>
                  </w:tcBorders>
                  <w:vAlign w:val="center"/>
                </w:tcPr>
                <w:p w14:paraId="68745CBD">
                  <w:pPr>
                    <w:widowControl/>
                    <w:jc w:val="center"/>
                    <w:textAlignment w:val="center"/>
                    <w:rPr>
                      <w:bCs/>
                      <w:color w:val="auto"/>
                      <w:szCs w:val="21"/>
                      <w:highlight w:val="none"/>
                      <w:u w:val="single" w:color="auto"/>
                    </w:rPr>
                  </w:pPr>
                  <w:r>
                    <w:rPr>
                      <w:rFonts w:hint="eastAsia"/>
                      <w:color w:val="auto"/>
                      <w:kern w:val="0"/>
                      <w:szCs w:val="21"/>
                      <w:highlight w:val="none"/>
                      <w:u w:val="single" w:color="auto"/>
                      <w:lang w:bidi="ar"/>
                    </w:rPr>
                    <w:t>计算公式</w:t>
                  </w:r>
                </w:p>
              </w:tc>
              <w:tc>
                <w:tcPr>
                  <w:tcW w:w="1276" w:type="dxa"/>
                  <w:tcBorders>
                    <w:tl2br w:val="nil"/>
                    <w:tr2bl w:val="nil"/>
                  </w:tcBorders>
                  <w:vAlign w:val="center"/>
                </w:tcPr>
                <w:p w14:paraId="61A2E8AE">
                  <w:pPr>
                    <w:widowControl/>
                    <w:jc w:val="center"/>
                    <w:textAlignment w:val="center"/>
                    <w:rPr>
                      <w:bCs/>
                      <w:color w:val="auto"/>
                      <w:szCs w:val="21"/>
                      <w:highlight w:val="none"/>
                      <w:u w:val="single" w:color="auto"/>
                    </w:rPr>
                  </w:pPr>
                  <w:r>
                    <w:rPr>
                      <w:rFonts w:hint="eastAsia"/>
                      <w:color w:val="auto"/>
                      <w:kern w:val="0"/>
                      <w:szCs w:val="21"/>
                      <w:highlight w:val="none"/>
                      <w:u w:val="single" w:color="auto"/>
                      <w:lang w:bidi="ar"/>
                    </w:rPr>
                    <w:t>R（t）</w:t>
                  </w:r>
                </w:p>
              </w:tc>
              <w:tc>
                <w:tcPr>
                  <w:tcW w:w="1275" w:type="dxa"/>
                  <w:tcBorders>
                    <w:tl2br w:val="nil"/>
                    <w:tr2bl w:val="nil"/>
                  </w:tcBorders>
                  <w:vAlign w:val="center"/>
                </w:tcPr>
                <w:p w14:paraId="310CA366">
                  <w:pPr>
                    <w:widowControl/>
                    <w:jc w:val="center"/>
                    <w:textAlignment w:val="center"/>
                    <w:rPr>
                      <w:bCs/>
                      <w:color w:val="auto"/>
                      <w:szCs w:val="21"/>
                      <w:highlight w:val="none"/>
                      <w:u w:val="single" w:color="auto"/>
                    </w:rPr>
                  </w:pPr>
                  <m:oMathPara>
                    <m:oMath>
                      <m:sSub>
                        <m:sSubPr>
                          <m:ctrlPr>
                            <w:rPr>
                              <w:rFonts w:hint="default" w:ascii="Cambria Math" w:hAnsi="Cambria Math"/>
                              <w:color w:val="auto"/>
                              <w:sz w:val="24"/>
                              <w:u w:val="single" w:color="auto"/>
                            </w:rPr>
                          </m:ctrlPr>
                        </m:sSubPr>
                        <m:e>
                          <m:r>
                            <m:rPr/>
                            <w:rPr>
                              <w:rFonts w:hint="default" w:ascii="Cambria Math" w:hAnsi="Cambria Math"/>
                              <w:color w:val="auto"/>
                              <w:sz w:val="24"/>
                              <w:u w:val="single" w:color="auto"/>
                            </w:rPr>
                            <m:t>β</m:t>
                          </m:r>
                          <m:ctrlPr>
                            <w:rPr>
                              <w:rFonts w:ascii="Cambria Math" w:hAnsi="Cambria Math"/>
                              <w:color w:val="auto"/>
                              <w:sz w:val="24"/>
                              <w:u w:val="single" w:color="auto"/>
                            </w:rPr>
                          </m:ctrlPr>
                        </m:e>
                        <m:sub>
                          <m:r>
                            <m:rPr/>
                            <w:rPr>
                              <w:rFonts w:hint="default" w:ascii="Cambria Math" w:hAnsi="Cambria Math"/>
                              <w:color w:val="auto"/>
                              <w:sz w:val="24"/>
                              <w:u w:val="single" w:color="auto"/>
                            </w:rPr>
                            <m:t>j</m:t>
                          </m:r>
                          <m:ctrlPr>
                            <w:rPr>
                              <w:rFonts w:ascii="Cambria Math" w:hAnsi="Cambria Math"/>
                              <w:color w:val="auto"/>
                              <w:sz w:val="24"/>
                              <w:u w:val="single" w:color="auto"/>
                            </w:rPr>
                          </m:ctrlPr>
                        </m:sub>
                      </m:sSub>
                    </m:oMath>
                  </m:oMathPara>
                </w:p>
              </w:tc>
              <w:tc>
                <w:tcPr>
                  <w:tcW w:w="750" w:type="dxa"/>
                  <w:tcBorders>
                    <w:tl2br w:val="nil"/>
                    <w:tr2bl w:val="nil"/>
                  </w:tcBorders>
                  <w:vAlign w:val="center"/>
                </w:tcPr>
                <w:p w14:paraId="062E23D7">
                  <w:pPr>
                    <w:widowControl/>
                    <w:jc w:val="center"/>
                    <w:textAlignment w:val="center"/>
                    <w:rPr>
                      <w:bCs/>
                      <w:color w:val="auto"/>
                      <w:szCs w:val="21"/>
                      <w:highlight w:val="none"/>
                      <w:u w:val="single" w:color="auto"/>
                    </w:rPr>
                  </w:pPr>
                  <m:oMathPara>
                    <m:oMath>
                      <m:r>
                        <m:rPr/>
                        <w:rPr>
                          <w:rFonts w:hint="default" w:ascii="Cambria Math" w:hAnsi="Cambria Math"/>
                          <w:color w:val="auto"/>
                          <w:sz w:val="24"/>
                          <w:u w:val="single" w:color="auto"/>
                        </w:rPr>
                        <m:t>η</m:t>
                      </m:r>
                    </m:oMath>
                  </m:oMathPara>
                </w:p>
              </w:tc>
              <w:tc>
                <w:tcPr>
                  <w:tcW w:w="2205" w:type="dxa"/>
                  <w:tcBorders>
                    <w:tl2br w:val="nil"/>
                    <w:tr2bl w:val="nil"/>
                  </w:tcBorders>
                  <w:vAlign w:val="center"/>
                </w:tcPr>
                <w:p w14:paraId="156D9641">
                  <w:pPr>
                    <w:widowControl/>
                    <w:jc w:val="center"/>
                    <w:textAlignment w:val="center"/>
                    <w:rPr>
                      <w:bCs/>
                      <w:color w:val="auto"/>
                      <w:szCs w:val="21"/>
                      <w:highlight w:val="none"/>
                      <w:u w:val="single" w:color="auto"/>
                    </w:rPr>
                  </w:pPr>
                  <w:r>
                    <w:rPr>
                      <w:rFonts w:hint="eastAsia"/>
                      <w:color w:val="auto"/>
                      <w:kern w:val="0"/>
                      <w:szCs w:val="21"/>
                      <w:highlight w:val="none"/>
                      <w:u w:val="single" w:color="auto"/>
                      <w:lang w:bidi="ar"/>
                    </w:rPr>
                    <w:t>E</w:t>
                  </w:r>
                  <w:r>
                    <w:rPr>
                      <w:rFonts w:hint="eastAsia"/>
                      <w:color w:val="auto"/>
                      <w:kern w:val="0"/>
                      <w:szCs w:val="21"/>
                      <w:highlight w:val="none"/>
                      <w:u w:val="single" w:color="auto"/>
                      <w:vertAlign w:val="subscript"/>
                      <w:lang w:val="en-US" w:eastAsia="zh-CN" w:bidi="ar"/>
                    </w:rPr>
                    <w:t>NOx</w:t>
                  </w:r>
                  <w:r>
                    <w:rPr>
                      <w:rFonts w:hint="eastAsia"/>
                      <w:color w:val="auto"/>
                      <w:kern w:val="0"/>
                      <w:szCs w:val="21"/>
                      <w:highlight w:val="none"/>
                      <w:u w:val="single" w:color="auto"/>
                      <w:lang w:bidi="ar"/>
                    </w:rPr>
                    <w:t>（t/a）</w:t>
                  </w:r>
                </w:p>
              </w:tc>
            </w:tr>
            <w:tr w14:paraId="679418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154" w:type="dxa"/>
                  <w:tcBorders>
                    <w:tl2br w:val="nil"/>
                    <w:tr2bl w:val="nil"/>
                  </w:tcBorders>
                  <w:vAlign w:val="center"/>
                </w:tcPr>
                <w:p w14:paraId="2F57BC58">
                  <w:pPr>
                    <w:jc w:val="center"/>
                    <w:rPr>
                      <w:bCs/>
                      <w:color w:val="auto"/>
                      <w:szCs w:val="21"/>
                      <w:highlight w:val="none"/>
                      <w:u w:val="single" w:color="auto"/>
                    </w:rPr>
                  </w:pPr>
                  <w:r>
                    <w:rPr>
                      <w:color w:val="auto"/>
                      <w:u w:val="single" w:color="auto"/>
                    </w:rPr>
                    <w:drawing>
                      <wp:inline distT="0" distB="0" distL="114300" distR="114300">
                        <wp:extent cx="1229360" cy="200660"/>
                        <wp:effectExtent l="0" t="0" r="8890" b="8890"/>
                        <wp:docPr id="34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图片 16"/>
                                <pic:cNvPicPr>
                                  <a:picLocks noChangeAspect="1"/>
                                </pic:cNvPicPr>
                              </pic:nvPicPr>
                              <pic:blipFill>
                                <a:blip r:embed="rId16"/>
                                <a:stretch>
                                  <a:fillRect/>
                                </a:stretch>
                              </pic:blipFill>
                              <pic:spPr>
                                <a:xfrm>
                                  <a:off x="0" y="0"/>
                                  <a:ext cx="1229360" cy="200660"/>
                                </a:xfrm>
                                <a:prstGeom prst="rect">
                                  <a:avLst/>
                                </a:prstGeom>
                                <a:noFill/>
                                <a:ln>
                                  <a:noFill/>
                                </a:ln>
                              </pic:spPr>
                            </pic:pic>
                          </a:graphicData>
                        </a:graphic>
                      </wp:inline>
                    </w:drawing>
                  </w:r>
                </w:p>
              </w:tc>
              <w:tc>
                <w:tcPr>
                  <w:tcW w:w="1276" w:type="dxa"/>
                  <w:tcBorders>
                    <w:tl2br w:val="nil"/>
                    <w:tr2bl w:val="nil"/>
                  </w:tcBorders>
                  <w:vAlign w:val="center"/>
                </w:tcPr>
                <w:p w14:paraId="7E7E0C4E">
                  <w:pPr>
                    <w:widowControl/>
                    <w:jc w:val="center"/>
                    <w:textAlignment w:val="center"/>
                    <w:rPr>
                      <w:rFonts w:hint="default" w:eastAsia="宋体"/>
                      <w:bCs/>
                      <w:color w:val="auto"/>
                      <w:szCs w:val="21"/>
                      <w:highlight w:val="none"/>
                      <w:u w:val="single" w:color="auto"/>
                      <w:lang w:val="en-US" w:eastAsia="zh-CN"/>
                    </w:rPr>
                  </w:pPr>
                  <w:r>
                    <w:rPr>
                      <w:rFonts w:hint="eastAsia"/>
                      <w:color w:val="auto"/>
                      <w:szCs w:val="21"/>
                      <w:highlight w:val="none"/>
                      <w:u w:val="single" w:color="auto"/>
                      <w:lang w:val="en-US" w:eastAsia="zh-CN"/>
                    </w:rPr>
                    <w:t>1244.68</w:t>
                  </w:r>
                </w:p>
              </w:tc>
              <w:tc>
                <w:tcPr>
                  <w:tcW w:w="1275" w:type="dxa"/>
                  <w:tcBorders>
                    <w:tl2br w:val="nil"/>
                    <w:tr2bl w:val="nil"/>
                  </w:tcBorders>
                  <w:vAlign w:val="center"/>
                </w:tcPr>
                <w:p w14:paraId="007BBB96">
                  <w:pPr>
                    <w:widowControl/>
                    <w:jc w:val="center"/>
                    <w:textAlignment w:val="center"/>
                    <w:rPr>
                      <w:rFonts w:hint="default" w:eastAsia="宋体"/>
                      <w:bCs/>
                      <w:color w:val="auto"/>
                      <w:szCs w:val="21"/>
                      <w:highlight w:val="none"/>
                      <w:u w:val="single" w:color="auto"/>
                      <w:lang w:val="en-US" w:eastAsia="zh-CN"/>
                    </w:rPr>
                  </w:pPr>
                  <w:r>
                    <w:rPr>
                      <w:rFonts w:hint="eastAsia"/>
                      <w:color w:val="auto"/>
                      <w:kern w:val="0"/>
                      <w:szCs w:val="21"/>
                      <w:highlight w:val="none"/>
                      <w:u w:val="single" w:color="auto"/>
                      <w:lang w:val="en-US" w:eastAsia="zh-CN" w:bidi="ar"/>
                    </w:rPr>
                    <w:t>1.02</w:t>
                  </w:r>
                </w:p>
              </w:tc>
              <w:tc>
                <w:tcPr>
                  <w:tcW w:w="750" w:type="dxa"/>
                  <w:tcBorders>
                    <w:tl2br w:val="nil"/>
                    <w:tr2bl w:val="nil"/>
                  </w:tcBorders>
                  <w:vAlign w:val="center"/>
                </w:tcPr>
                <w:p w14:paraId="660F8ADA">
                  <w:pPr>
                    <w:widowControl/>
                    <w:jc w:val="center"/>
                    <w:textAlignment w:val="center"/>
                    <w:rPr>
                      <w:rFonts w:hint="eastAsia" w:eastAsia="宋体"/>
                      <w:bCs/>
                      <w:color w:val="auto"/>
                      <w:szCs w:val="21"/>
                      <w:highlight w:val="none"/>
                      <w:u w:val="single" w:color="auto"/>
                      <w:lang w:eastAsia="zh-CN"/>
                    </w:rPr>
                  </w:pPr>
                  <w:r>
                    <w:rPr>
                      <w:rFonts w:hint="eastAsia"/>
                      <w:color w:val="auto"/>
                      <w:kern w:val="0"/>
                      <w:szCs w:val="21"/>
                      <w:highlight w:val="none"/>
                      <w:u w:val="single" w:color="auto"/>
                      <w:lang w:val="en-US" w:eastAsia="zh-CN" w:bidi="ar"/>
                    </w:rPr>
                    <w:t>0</w:t>
                  </w:r>
                </w:p>
              </w:tc>
              <w:tc>
                <w:tcPr>
                  <w:tcW w:w="2205" w:type="dxa"/>
                  <w:tcBorders>
                    <w:tl2br w:val="nil"/>
                    <w:tr2bl w:val="nil"/>
                  </w:tcBorders>
                  <w:vAlign w:val="center"/>
                </w:tcPr>
                <w:p w14:paraId="3751C3DD">
                  <w:pPr>
                    <w:widowControl/>
                    <w:jc w:val="center"/>
                    <w:textAlignment w:val="center"/>
                    <w:rPr>
                      <w:rFonts w:hint="default" w:eastAsia="宋体"/>
                      <w:bCs/>
                      <w:color w:val="auto"/>
                      <w:szCs w:val="21"/>
                      <w:highlight w:val="none"/>
                      <w:u w:val="single" w:color="auto"/>
                      <w:lang w:val="en-US" w:eastAsia="zh-CN"/>
                    </w:rPr>
                  </w:pPr>
                  <w:r>
                    <w:rPr>
                      <w:rFonts w:hint="eastAsia"/>
                      <w:strike w:val="0"/>
                      <w:dstrike w:val="0"/>
                      <w:color w:val="auto"/>
                      <w:kern w:val="0"/>
                      <w:szCs w:val="21"/>
                      <w:highlight w:val="none"/>
                      <w:u w:val="single" w:color="auto"/>
                      <w:lang w:val="en-US" w:eastAsia="zh-CN" w:bidi="ar"/>
                    </w:rPr>
                    <w:t>1.27</w:t>
                  </w:r>
                </w:p>
              </w:tc>
            </w:tr>
            <w:tr w14:paraId="5D36A2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7660" w:type="dxa"/>
                  <w:gridSpan w:val="5"/>
                  <w:tcBorders>
                    <w:tl2br w:val="nil"/>
                    <w:tr2bl w:val="nil"/>
                  </w:tcBorders>
                  <w:vAlign w:val="center"/>
                </w:tcPr>
                <w:p w14:paraId="1741DE7D">
                  <w:pPr>
                    <w:rPr>
                      <w:rFonts w:hint="eastAsia"/>
                      <w:color w:val="auto"/>
                      <w:kern w:val="0"/>
                      <w:szCs w:val="21"/>
                      <w:highlight w:val="none"/>
                      <w:u w:val="single" w:color="auto"/>
                      <w:lang w:val="en-US" w:eastAsia="zh-CN" w:bidi="ar"/>
                    </w:rPr>
                  </w:pPr>
                  <w:r>
                    <w:rPr>
                      <w:rFonts w:hint="eastAsia"/>
                      <w:b w:val="0"/>
                      <w:bCs w:val="0"/>
                      <w:color w:val="auto"/>
                      <w:highlight w:val="none"/>
                      <w:u w:val="single" w:color="auto"/>
                    </w:rPr>
                    <w:t>注：</w:t>
                  </w:r>
                  <w:r>
                    <w:rPr>
                      <w:rFonts w:hint="default" w:ascii="Calibri" w:hAnsi="Calibri" w:cs="Calibri"/>
                      <w:b w:val="0"/>
                      <w:bCs w:val="0"/>
                      <w:color w:val="auto"/>
                      <w:highlight w:val="none"/>
                      <w:u w:val="single" w:color="auto"/>
                    </w:rPr>
                    <w:t>①参见HJ953附录F，锅炉无低氮燃烧直排取1.02kg/t-燃料</w:t>
                  </w:r>
                  <w:r>
                    <w:rPr>
                      <w:rFonts w:hint="eastAsia"/>
                      <w:b w:val="0"/>
                      <w:bCs w:val="0"/>
                      <w:color w:val="auto"/>
                      <w:highlight w:val="none"/>
                      <w:u w:val="single" w:color="auto"/>
                    </w:rPr>
                    <w:t>；</w:t>
                  </w:r>
                </w:p>
              </w:tc>
            </w:tr>
          </w:tbl>
          <w:p w14:paraId="334FB9EC">
            <w:pPr>
              <w:rPr>
                <w:rFonts w:hint="eastAsia" w:ascii="Times New Roman" w:hAnsi="Times New Roman" w:eastAsia="宋体" w:cs="Times New Roman"/>
                <w:b w:val="0"/>
                <w:bCs/>
                <w:smallCaps w:val="0"/>
                <w:color w:val="auto"/>
                <w:sz w:val="24"/>
                <w:szCs w:val="24"/>
                <w:highlight w:val="none"/>
                <w:u w:val="none" w:color="auto"/>
                <w:lang w:val="en-US" w:eastAsia="zh-CN"/>
              </w:rPr>
            </w:pPr>
          </w:p>
          <w:p w14:paraId="7D170CA4">
            <w:pPr>
              <w:keepNext w:val="0"/>
              <w:keepLines w:val="0"/>
              <w:pageBreakBefore w:val="0"/>
              <w:widowControl w:val="0"/>
              <w:kinsoku/>
              <w:wordWrap/>
              <w:overflowPunct/>
              <w:topLinePunct w:val="0"/>
              <w:autoSpaceDE w:val="0"/>
              <w:autoSpaceDN w:val="0"/>
              <w:bidi w:val="0"/>
              <w:adjustRightInd w:val="0"/>
              <w:snapToGrid w:val="0"/>
              <w:spacing w:line="560" w:lineRule="exact"/>
              <w:ind w:firstLine="482" w:firstLineChars="200"/>
              <w:jc w:val="both"/>
              <w:textAlignment w:val="auto"/>
              <w:rPr>
                <w:rFonts w:hint="default" w:ascii="Times New Roman" w:hAnsi="Times New Roman" w:eastAsia="宋体" w:cs="Times New Roman"/>
                <w:b/>
                <w:bCs w:val="0"/>
                <w:color w:val="auto"/>
                <w:sz w:val="24"/>
                <w:szCs w:val="24"/>
                <w:highlight w:val="none"/>
                <w:u w:val="single" w:color="auto"/>
                <w:lang w:val="en-US" w:eastAsia="zh-CN"/>
              </w:rPr>
            </w:pPr>
            <w:r>
              <w:rPr>
                <w:rFonts w:hint="default" w:ascii="Times New Roman" w:hAnsi="Times New Roman" w:eastAsia="宋体" w:cs="Times New Roman"/>
                <w:b/>
                <w:bCs w:val="0"/>
                <w:color w:val="auto"/>
                <w:sz w:val="24"/>
                <w:szCs w:val="24"/>
                <w:highlight w:val="none"/>
                <w:u w:val="single" w:color="auto"/>
                <w:lang w:eastAsia="zh-CN"/>
              </w:rPr>
              <w:t>经</w:t>
            </w:r>
            <w:r>
              <w:rPr>
                <w:rFonts w:hint="default" w:ascii="Times New Roman" w:hAnsi="Times New Roman" w:eastAsia="宋体" w:cs="Times New Roman"/>
                <w:b/>
                <w:bCs w:val="0"/>
                <w:color w:val="auto"/>
                <w:sz w:val="24"/>
                <w:szCs w:val="24"/>
                <w:highlight w:val="none"/>
                <w:u w:val="single" w:color="auto"/>
              </w:rPr>
              <w:t>计算得出</w:t>
            </w:r>
            <w:r>
              <w:rPr>
                <w:rFonts w:hint="eastAsia" w:cs="Times New Roman"/>
                <w:b/>
                <w:bCs w:val="0"/>
                <w:color w:val="auto"/>
                <w:sz w:val="24"/>
                <w:szCs w:val="24"/>
                <w:highlight w:val="none"/>
                <w:u w:val="single" w:color="auto"/>
                <w:lang w:val="en-US" w:eastAsia="zh-CN"/>
              </w:rPr>
              <w:t>热风炉</w:t>
            </w:r>
            <w:r>
              <w:rPr>
                <w:rFonts w:hint="default" w:ascii="Times New Roman" w:hAnsi="Times New Roman" w:eastAsia="宋体" w:cs="Times New Roman"/>
                <w:b/>
                <w:bCs w:val="0"/>
                <w:color w:val="auto"/>
                <w:sz w:val="24"/>
                <w:szCs w:val="24"/>
                <w:highlight w:val="none"/>
                <w:u w:val="single" w:color="auto"/>
                <w:lang w:eastAsia="zh-CN"/>
              </w:rPr>
              <w:t>年氮氧化物</w:t>
            </w:r>
            <w:r>
              <w:rPr>
                <w:rFonts w:hint="default" w:ascii="Times New Roman" w:hAnsi="Times New Roman" w:eastAsia="宋体" w:cs="Times New Roman"/>
                <w:b/>
                <w:bCs w:val="0"/>
                <w:color w:val="auto"/>
                <w:sz w:val="24"/>
                <w:szCs w:val="24"/>
                <w:highlight w:val="none"/>
                <w:u w:val="single" w:color="auto"/>
                <w:lang w:val="en-US" w:eastAsia="zh-CN"/>
              </w:rPr>
              <w:t>排放量为</w:t>
            </w:r>
            <w:r>
              <w:rPr>
                <w:rFonts w:hint="eastAsia" w:cs="Times New Roman"/>
                <w:b/>
                <w:bCs w:val="0"/>
                <w:color w:val="auto"/>
                <w:sz w:val="24"/>
                <w:szCs w:val="24"/>
                <w:highlight w:val="none"/>
                <w:u w:val="single" w:color="auto"/>
                <w:lang w:val="en-US" w:eastAsia="zh-CN"/>
              </w:rPr>
              <w:t>1.27</w:t>
            </w:r>
            <w:r>
              <w:rPr>
                <w:rFonts w:hint="default" w:ascii="Times New Roman" w:hAnsi="Times New Roman" w:eastAsia="宋体" w:cs="Times New Roman"/>
                <w:b/>
                <w:bCs w:val="0"/>
                <w:color w:val="auto"/>
                <w:sz w:val="24"/>
                <w:szCs w:val="24"/>
                <w:highlight w:val="none"/>
                <w:u w:val="single" w:color="auto"/>
                <w:lang w:val="en-US" w:eastAsia="zh-CN"/>
              </w:rPr>
              <w:t>t。</w:t>
            </w:r>
          </w:p>
          <w:p w14:paraId="4F792E9F">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rPr>
                <w:rFonts w:hint="default" w:ascii="Times New Roman" w:hAnsi="Times New Roman" w:eastAsia="宋体" w:cs="Times New Roman"/>
                <w:b/>
                <w:bCs/>
                <w:color w:val="auto"/>
                <w:spacing w:val="0"/>
                <w:kern w:val="21"/>
                <w:sz w:val="24"/>
                <w:szCs w:val="24"/>
                <w:highlight w:val="none"/>
                <w:u w:val="none" w:color="auto"/>
                <w:lang w:val="en-US" w:eastAsia="zh-CN"/>
              </w:rPr>
            </w:pPr>
            <w:r>
              <w:rPr>
                <w:rFonts w:hint="default" w:ascii="Times New Roman" w:hAnsi="Times New Roman" w:eastAsia="宋体" w:cs="Times New Roman"/>
                <w:b/>
                <w:bCs/>
                <w:color w:val="auto"/>
                <w:spacing w:val="0"/>
                <w:kern w:val="21"/>
                <w:sz w:val="24"/>
                <w:szCs w:val="24"/>
                <w:highlight w:val="none"/>
                <w:u w:val="none" w:color="auto"/>
                <w:lang w:val="en-US" w:eastAsia="zh-CN"/>
              </w:rPr>
              <w:t>表4-</w:t>
            </w:r>
            <w:r>
              <w:rPr>
                <w:rFonts w:hint="eastAsia" w:cs="Times New Roman"/>
                <w:b/>
                <w:bCs/>
                <w:color w:val="auto"/>
                <w:spacing w:val="0"/>
                <w:kern w:val="21"/>
                <w:sz w:val="24"/>
                <w:szCs w:val="24"/>
                <w:highlight w:val="none"/>
                <w:u w:val="none" w:color="auto"/>
                <w:lang w:val="en-US" w:eastAsia="zh-CN"/>
              </w:rPr>
              <w:t>4</w:t>
            </w:r>
            <w:r>
              <w:rPr>
                <w:rFonts w:hint="default" w:ascii="Times New Roman" w:hAnsi="Times New Roman" w:eastAsia="宋体" w:cs="Times New Roman"/>
                <w:b/>
                <w:bCs/>
                <w:color w:val="auto"/>
                <w:spacing w:val="0"/>
                <w:kern w:val="21"/>
                <w:sz w:val="24"/>
                <w:szCs w:val="24"/>
                <w:highlight w:val="none"/>
                <w:u w:val="none" w:color="auto"/>
                <w:lang w:val="en-US" w:eastAsia="zh-CN"/>
              </w:rPr>
              <w:t xml:space="preserve"> </w:t>
            </w:r>
            <w:r>
              <w:rPr>
                <w:rFonts w:hint="default" w:ascii="Times New Roman" w:hAnsi="Times New Roman" w:cs="Times New Roman"/>
                <w:b/>
                <w:bCs/>
                <w:color w:val="auto"/>
                <w:spacing w:val="0"/>
                <w:kern w:val="21"/>
                <w:sz w:val="24"/>
                <w:szCs w:val="24"/>
                <w:highlight w:val="none"/>
                <w:u w:val="none" w:color="auto"/>
                <w:lang w:val="en-US" w:eastAsia="zh-CN"/>
              </w:rPr>
              <w:t>项目</w:t>
            </w:r>
            <w:r>
              <w:rPr>
                <w:rFonts w:hint="default" w:ascii="Times New Roman" w:hAnsi="Times New Roman" w:eastAsia="宋体" w:cs="Times New Roman"/>
                <w:b/>
                <w:bCs/>
                <w:color w:val="auto"/>
                <w:spacing w:val="0"/>
                <w:kern w:val="21"/>
                <w:sz w:val="24"/>
                <w:szCs w:val="24"/>
                <w:highlight w:val="none"/>
                <w:u w:val="none" w:color="auto"/>
                <w:lang w:val="en-US" w:eastAsia="zh-CN"/>
              </w:rPr>
              <w:t>大气污染物排放情况一览表</w:t>
            </w:r>
          </w:p>
          <w:tbl>
            <w:tblPr>
              <w:tblStyle w:val="28"/>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963"/>
              <w:gridCol w:w="632"/>
              <w:gridCol w:w="741"/>
              <w:gridCol w:w="656"/>
              <w:gridCol w:w="628"/>
              <w:gridCol w:w="628"/>
              <w:gridCol w:w="779"/>
              <w:gridCol w:w="834"/>
              <w:gridCol w:w="675"/>
              <w:gridCol w:w="591"/>
              <w:gridCol w:w="748"/>
            </w:tblGrid>
            <w:tr w14:paraId="49DF31E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62" w:hRule="atLeast"/>
                <w:jc w:val="center"/>
              </w:trPr>
              <w:tc>
                <w:tcPr>
                  <w:tcW w:w="611" w:type="pct"/>
                  <w:vMerge w:val="restart"/>
                  <w:tcBorders>
                    <w:tl2br w:val="nil"/>
                    <w:tr2bl w:val="nil"/>
                  </w:tcBorders>
                  <w:noWrap w:val="0"/>
                  <w:vAlign w:val="center"/>
                </w:tcPr>
                <w:p w14:paraId="637796D0">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排放源</w:t>
                  </w:r>
                </w:p>
              </w:tc>
              <w:tc>
                <w:tcPr>
                  <w:tcW w:w="401" w:type="pct"/>
                  <w:vMerge w:val="restart"/>
                  <w:tcBorders>
                    <w:tl2br w:val="nil"/>
                    <w:tr2bl w:val="nil"/>
                  </w:tcBorders>
                  <w:noWrap w:val="0"/>
                  <w:vAlign w:val="center"/>
                </w:tcPr>
                <w:p w14:paraId="38131DAA">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污染物</w:t>
                  </w:r>
                </w:p>
              </w:tc>
              <w:tc>
                <w:tcPr>
                  <w:tcW w:w="1684" w:type="pct"/>
                  <w:gridSpan w:val="4"/>
                  <w:tcBorders>
                    <w:tl2br w:val="nil"/>
                    <w:tr2bl w:val="nil"/>
                  </w:tcBorders>
                  <w:noWrap w:val="0"/>
                  <w:vAlign w:val="center"/>
                </w:tcPr>
                <w:p w14:paraId="05DE706C">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产生情况</w:t>
                  </w:r>
                </w:p>
              </w:tc>
              <w:tc>
                <w:tcPr>
                  <w:tcW w:w="494" w:type="pct"/>
                  <w:vMerge w:val="restart"/>
                  <w:tcBorders>
                    <w:tl2br w:val="nil"/>
                    <w:tr2bl w:val="nil"/>
                  </w:tcBorders>
                  <w:noWrap w:val="0"/>
                  <w:vAlign w:val="center"/>
                </w:tcPr>
                <w:p w14:paraId="03BC514C">
                  <w:pPr>
                    <w:pStyle w:val="66"/>
                    <w:rPr>
                      <w:rFonts w:hint="eastAsia" w:ascii="Times New Roman" w:hAnsi="Times New Roman" w:eastAsia="宋体" w:cs="Times New Roman"/>
                      <w:color w:val="auto"/>
                      <w:highlight w:val="none"/>
                      <w:u w:val="none" w:color="auto"/>
                      <w:lang w:eastAsia="zh-CN"/>
                    </w:rPr>
                  </w:pPr>
                  <w:r>
                    <w:rPr>
                      <w:rFonts w:hint="eastAsia" w:cs="Times New Roman"/>
                      <w:color w:val="auto"/>
                      <w:highlight w:val="none"/>
                      <w:u w:val="none" w:color="auto"/>
                      <w:lang w:eastAsia="zh-CN"/>
                    </w:rPr>
                    <w:t>治理措施及去除率</w:t>
                  </w:r>
                </w:p>
              </w:tc>
              <w:tc>
                <w:tcPr>
                  <w:tcW w:w="1333" w:type="pct"/>
                  <w:gridSpan w:val="3"/>
                  <w:tcBorders>
                    <w:tl2br w:val="nil"/>
                    <w:tr2bl w:val="nil"/>
                  </w:tcBorders>
                  <w:noWrap w:val="0"/>
                  <w:vAlign w:val="center"/>
                </w:tcPr>
                <w:p w14:paraId="07C6326A">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排放情况</w:t>
                  </w:r>
                </w:p>
              </w:tc>
              <w:tc>
                <w:tcPr>
                  <w:tcW w:w="474" w:type="pct"/>
                  <w:vMerge w:val="restart"/>
                  <w:tcBorders>
                    <w:tl2br w:val="nil"/>
                    <w:tr2bl w:val="nil"/>
                  </w:tcBorders>
                  <w:noWrap w:val="0"/>
                  <w:vAlign w:val="center"/>
                </w:tcPr>
                <w:p w14:paraId="4C14EC95">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排放标准</w:t>
                  </w:r>
                </w:p>
                <w:p w14:paraId="21EDE51F">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mg/m</w:t>
                  </w:r>
                  <w:r>
                    <w:rPr>
                      <w:rFonts w:hint="default" w:ascii="Times New Roman" w:hAnsi="Times New Roman" w:eastAsia="宋体" w:cs="Times New Roman"/>
                      <w:color w:val="auto"/>
                      <w:highlight w:val="none"/>
                      <w:u w:val="none" w:color="auto"/>
                      <w:vertAlign w:val="superscript"/>
                    </w:rPr>
                    <w:t>3</w:t>
                  </w:r>
                </w:p>
              </w:tc>
            </w:tr>
            <w:tr w14:paraId="74D43FC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570" w:hRule="atLeast"/>
                <w:jc w:val="center"/>
              </w:trPr>
              <w:tc>
                <w:tcPr>
                  <w:tcW w:w="611" w:type="pct"/>
                  <w:vMerge w:val="continue"/>
                  <w:tcBorders>
                    <w:tl2br w:val="nil"/>
                    <w:tr2bl w:val="nil"/>
                  </w:tcBorders>
                  <w:noWrap w:val="0"/>
                  <w:vAlign w:val="center"/>
                </w:tcPr>
                <w:p w14:paraId="1F135BA3">
                  <w:pPr>
                    <w:pStyle w:val="66"/>
                    <w:rPr>
                      <w:rFonts w:hint="default" w:ascii="Times New Roman" w:hAnsi="Times New Roman" w:eastAsia="宋体" w:cs="Times New Roman"/>
                      <w:color w:val="auto"/>
                      <w:highlight w:val="none"/>
                      <w:u w:val="none" w:color="auto"/>
                    </w:rPr>
                  </w:pPr>
                </w:p>
              </w:tc>
              <w:tc>
                <w:tcPr>
                  <w:tcW w:w="401" w:type="pct"/>
                  <w:vMerge w:val="continue"/>
                  <w:tcBorders>
                    <w:tl2br w:val="nil"/>
                    <w:tr2bl w:val="nil"/>
                  </w:tcBorders>
                  <w:noWrap w:val="0"/>
                  <w:vAlign w:val="center"/>
                </w:tcPr>
                <w:p w14:paraId="1A74F844">
                  <w:pPr>
                    <w:pStyle w:val="66"/>
                    <w:rPr>
                      <w:rFonts w:hint="default" w:ascii="Times New Roman" w:hAnsi="Times New Roman" w:eastAsia="宋体" w:cs="Times New Roman"/>
                      <w:color w:val="auto"/>
                      <w:highlight w:val="none"/>
                      <w:u w:val="none" w:color="auto"/>
                    </w:rPr>
                  </w:pPr>
                </w:p>
              </w:tc>
              <w:tc>
                <w:tcPr>
                  <w:tcW w:w="470" w:type="pct"/>
                  <w:tcBorders>
                    <w:tl2br w:val="nil"/>
                    <w:tr2bl w:val="nil"/>
                  </w:tcBorders>
                  <w:noWrap w:val="0"/>
                  <w:vAlign w:val="center"/>
                </w:tcPr>
                <w:p w14:paraId="72BFB0CD">
                  <w:pPr>
                    <w:pStyle w:val="66"/>
                    <w:rPr>
                      <w:rFonts w:hint="default"/>
                      <w:color w:val="auto"/>
                      <w:highlight w:val="none"/>
                      <w:u w:val="none" w:color="auto"/>
                      <w:lang w:val="en-US" w:eastAsia="zh-CN"/>
                    </w:rPr>
                  </w:pPr>
                  <w:r>
                    <w:rPr>
                      <w:rFonts w:hint="eastAsia" w:ascii="Times New Roman" w:hAnsi="Times New Roman" w:cs="Times New Roman"/>
                      <w:color w:val="auto"/>
                      <w:highlight w:val="none"/>
                      <w:u w:val="none" w:color="auto"/>
                      <w:lang w:eastAsia="zh-CN"/>
                    </w:rPr>
                    <w:t>排气量</w:t>
                  </w:r>
                  <w:r>
                    <w:rPr>
                      <w:rFonts w:hint="eastAsia" w:ascii="Times New Roman" w:hAnsi="Times New Roman" w:cs="Times New Roman"/>
                      <w:color w:val="auto"/>
                      <w:highlight w:val="none"/>
                      <w:u w:val="none" w:color="auto"/>
                      <w:lang w:val="en-US" w:eastAsia="zh-CN"/>
                    </w:rPr>
                    <w:t>m</w:t>
                  </w:r>
                  <w:r>
                    <w:rPr>
                      <w:rFonts w:hint="eastAsia" w:ascii="Times New Roman" w:hAnsi="Times New Roman" w:cs="Times New Roman"/>
                      <w:color w:val="auto"/>
                      <w:highlight w:val="none"/>
                      <w:u w:val="none" w:color="auto"/>
                      <w:vertAlign w:val="superscript"/>
                      <w:lang w:val="en-US" w:eastAsia="zh-CN"/>
                    </w:rPr>
                    <w:t>3</w:t>
                  </w:r>
                  <w:r>
                    <w:rPr>
                      <w:rFonts w:hint="eastAsia" w:ascii="Times New Roman" w:hAnsi="Times New Roman" w:cs="Times New Roman"/>
                      <w:color w:val="auto"/>
                      <w:highlight w:val="none"/>
                      <w:u w:val="none" w:color="auto"/>
                      <w:vertAlign w:val="baseline"/>
                      <w:lang w:val="en-US" w:eastAsia="zh-CN"/>
                    </w:rPr>
                    <w:t>/h</w:t>
                  </w:r>
                </w:p>
              </w:tc>
              <w:tc>
                <w:tcPr>
                  <w:tcW w:w="416" w:type="pct"/>
                  <w:tcBorders>
                    <w:tl2br w:val="nil"/>
                    <w:tr2bl w:val="nil"/>
                  </w:tcBorders>
                  <w:noWrap w:val="0"/>
                  <w:vAlign w:val="center"/>
                </w:tcPr>
                <w:p w14:paraId="7EFB1D15">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浓度</w:t>
                  </w:r>
                </w:p>
                <w:p w14:paraId="0B2823ED">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mg/m</w:t>
                  </w:r>
                  <w:r>
                    <w:rPr>
                      <w:rFonts w:hint="default" w:ascii="Times New Roman" w:hAnsi="Times New Roman" w:eastAsia="宋体" w:cs="Times New Roman"/>
                      <w:color w:val="auto"/>
                      <w:highlight w:val="none"/>
                      <w:u w:val="none" w:color="auto"/>
                      <w:vertAlign w:val="superscript"/>
                    </w:rPr>
                    <w:t>3</w:t>
                  </w:r>
                </w:p>
              </w:tc>
              <w:tc>
                <w:tcPr>
                  <w:tcW w:w="398" w:type="pct"/>
                  <w:tcBorders>
                    <w:tl2br w:val="nil"/>
                    <w:tr2bl w:val="nil"/>
                  </w:tcBorders>
                  <w:noWrap w:val="0"/>
                  <w:vAlign w:val="center"/>
                </w:tcPr>
                <w:p w14:paraId="38827931">
                  <w:pPr>
                    <w:pStyle w:val="66"/>
                    <w:rPr>
                      <w:rFonts w:hint="default" w:ascii="Times New Roman" w:hAnsi="Times New Roman" w:eastAsia="宋体" w:cs="Times New Roman"/>
                      <w:color w:val="auto"/>
                      <w:highlight w:val="none"/>
                      <w:u w:val="none" w:color="auto"/>
                      <w:lang w:eastAsia="zh-CN"/>
                    </w:rPr>
                  </w:pPr>
                  <w:r>
                    <w:rPr>
                      <w:rFonts w:hint="eastAsia" w:cs="Times New Roman"/>
                      <w:color w:val="auto"/>
                      <w:highlight w:val="none"/>
                      <w:u w:val="none" w:color="auto"/>
                      <w:lang w:eastAsia="zh-CN"/>
                    </w:rPr>
                    <w:t>产生</w:t>
                  </w:r>
                  <w:r>
                    <w:rPr>
                      <w:rFonts w:hint="default" w:ascii="Times New Roman" w:hAnsi="Times New Roman" w:eastAsia="宋体" w:cs="Times New Roman"/>
                      <w:color w:val="auto"/>
                      <w:highlight w:val="none"/>
                      <w:u w:val="none" w:color="auto"/>
                      <w:lang w:eastAsia="zh-CN"/>
                    </w:rPr>
                    <w:t>速率</w:t>
                  </w:r>
                </w:p>
                <w:p w14:paraId="3698D925">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kg/h</w:t>
                  </w:r>
                </w:p>
              </w:tc>
              <w:tc>
                <w:tcPr>
                  <w:tcW w:w="398" w:type="pct"/>
                  <w:tcBorders>
                    <w:tl2br w:val="nil"/>
                    <w:tr2bl w:val="nil"/>
                  </w:tcBorders>
                  <w:noWrap w:val="0"/>
                  <w:vAlign w:val="center"/>
                </w:tcPr>
                <w:p w14:paraId="5AE89FE9">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lang w:eastAsia="zh-CN"/>
                    </w:rPr>
                    <w:t>产生量</w:t>
                  </w:r>
                  <w:r>
                    <w:rPr>
                      <w:rFonts w:hint="default" w:ascii="Times New Roman" w:hAnsi="Times New Roman" w:eastAsia="宋体" w:cs="Times New Roman"/>
                      <w:color w:val="auto"/>
                      <w:highlight w:val="none"/>
                      <w:u w:val="none" w:color="auto"/>
                    </w:rPr>
                    <w:t>t/a</w:t>
                  </w:r>
                </w:p>
              </w:tc>
              <w:tc>
                <w:tcPr>
                  <w:tcW w:w="494" w:type="pct"/>
                  <w:vMerge w:val="continue"/>
                  <w:tcBorders>
                    <w:tl2br w:val="nil"/>
                    <w:tr2bl w:val="nil"/>
                  </w:tcBorders>
                  <w:noWrap w:val="0"/>
                  <w:vAlign w:val="center"/>
                </w:tcPr>
                <w:p w14:paraId="51460654">
                  <w:pPr>
                    <w:pStyle w:val="66"/>
                    <w:rPr>
                      <w:rFonts w:hint="default" w:ascii="Times New Roman" w:hAnsi="Times New Roman" w:eastAsia="宋体" w:cs="Times New Roman"/>
                      <w:color w:val="auto"/>
                      <w:highlight w:val="none"/>
                      <w:u w:val="none" w:color="auto"/>
                      <w:lang w:eastAsia="zh-CN"/>
                    </w:rPr>
                  </w:pPr>
                </w:p>
              </w:tc>
              <w:tc>
                <w:tcPr>
                  <w:tcW w:w="529" w:type="pct"/>
                  <w:tcBorders>
                    <w:tl2br w:val="nil"/>
                    <w:tr2bl w:val="nil"/>
                  </w:tcBorders>
                  <w:noWrap w:val="0"/>
                  <w:vAlign w:val="center"/>
                </w:tcPr>
                <w:p w14:paraId="73A34070">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浓度</w:t>
                  </w:r>
                </w:p>
                <w:p w14:paraId="0DF3018B">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mg/m</w:t>
                  </w:r>
                  <w:r>
                    <w:rPr>
                      <w:rFonts w:hint="default" w:ascii="Times New Roman" w:hAnsi="Times New Roman" w:eastAsia="宋体" w:cs="Times New Roman"/>
                      <w:color w:val="auto"/>
                      <w:highlight w:val="none"/>
                      <w:u w:val="none" w:color="auto"/>
                      <w:vertAlign w:val="superscript"/>
                    </w:rPr>
                    <w:t>3</w:t>
                  </w:r>
                </w:p>
              </w:tc>
              <w:tc>
                <w:tcPr>
                  <w:tcW w:w="428" w:type="pct"/>
                  <w:tcBorders>
                    <w:tl2br w:val="nil"/>
                    <w:tr2bl w:val="nil"/>
                  </w:tcBorders>
                  <w:noWrap w:val="0"/>
                  <w:vAlign w:val="center"/>
                </w:tcPr>
                <w:p w14:paraId="54956322">
                  <w:pPr>
                    <w:pStyle w:val="66"/>
                    <w:rPr>
                      <w:rFonts w:hint="default" w:ascii="Times New Roman" w:hAnsi="Times New Roman" w:eastAsia="宋体" w:cs="Times New Roman"/>
                      <w:color w:val="auto"/>
                      <w:highlight w:val="none"/>
                      <w:u w:val="none" w:color="auto"/>
                      <w:lang w:eastAsia="zh-CN"/>
                    </w:rPr>
                  </w:pPr>
                  <w:r>
                    <w:rPr>
                      <w:rFonts w:hint="default" w:ascii="Times New Roman" w:hAnsi="Times New Roman" w:eastAsia="宋体" w:cs="Times New Roman"/>
                      <w:color w:val="auto"/>
                      <w:highlight w:val="none"/>
                      <w:u w:val="none" w:color="auto"/>
                      <w:lang w:eastAsia="zh-CN"/>
                    </w:rPr>
                    <w:t>排放速率</w:t>
                  </w:r>
                </w:p>
                <w:p w14:paraId="74129977">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rPr>
                    <w:t>kg/h</w:t>
                  </w:r>
                </w:p>
              </w:tc>
              <w:tc>
                <w:tcPr>
                  <w:tcW w:w="375" w:type="pct"/>
                  <w:tcBorders>
                    <w:tl2br w:val="nil"/>
                    <w:tr2bl w:val="nil"/>
                  </w:tcBorders>
                  <w:noWrap w:val="0"/>
                  <w:vAlign w:val="center"/>
                </w:tcPr>
                <w:p w14:paraId="6325AAC4">
                  <w:pPr>
                    <w:pStyle w:val="66"/>
                    <w:rPr>
                      <w:rFonts w:hint="default" w:ascii="Times New Roman" w:hAnsi="Times New Roman" w:eastAsia="宋体" w:cs="Times New Roman"/>
                      <w:color w:val="auto"/>
                      <w:highlight w:val="none"/>
                      <w:u w:val="none" w:color="auto"/>
                    </w:rPr>
                  </w:pPr>
                  <w:r>
                    <w:rPr>
                      <w:rFonts w:hint="default" w:ascii="Times New Roman" w:hAnsi="Times New Roman" w:eastAsia="宋体" w:cs="Times New Roman"/>
                      <w:color w:val="auto"/>
                      <w:highlight w:val="none"/>
                      <w:u w:val="none" w:color="auto"/>
                      <w:lang w:eastAsia="zh-CN"/>
                    </w:rPr>
                    <w:t>排放量</w:t>
                  </w:r>
                  <w:r>
                    <w:rPr>
                      <w:rFonts w:hint="default" w:ascii="Times New Roman" w:hAnsi="Times New Roman" w:eastAsia="宋体" w:cs="Times New Roman"/>
                      <w:color w:val="auto"/>
                      <w:highlight w:val="none"/>
                      <w:u w:val="none" w:color="auto"/>
                    </w:rPr>
                    <w:t>t/a</w:t>
                  </w:r>
                </w:p>
              </w:tc>
              <w:tc>
                <w:tcPr>
                  <w:tcW w:w="474" w:type="pct"/>
                  <w:vMerge w:val="continue"/>
                  <w:tcBorders>
                    <w:tl2br w:val="nil"/>
                    <w:tr2bl w:val="nil"/>
                  </w:tcBorders>
                  <w:noWrap w:val="0"/>
                  <w:vAlign w:val="center"/>
                </w:tcPr>
                <w:p w14:paraId="0D72BFE0">
                  <w:pPr>
                    <w:pStyle w:val="66"/>
                    <w:rPr>
                      <w:rFonts w:hint="default" w:ascii="Times New Roman" w:hAnsi="Times New Roman" w:eastAsia="宋体" w:cs="Times New Roman"/>
                      <w:color w:val="auto"/>
                      <w:highlight w:val="none"/>
                      <w:u w:val="none" w:color="auto"/>
                    </w:rPr>
                  </w:pPr>
                </w:p>
              </w:tc>
            </w:tr>
            <w:tr w14:paraId="789C560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66" w:hRule="atLeast"/>
                <w:jc w:val="center"/>
              </w:trPr>
              <w:tc>
                <w:tcPr>
                  <w:tcW w:w="611" w:type="pct"/>
                  <w:vMerge w:val="restart"/>
                  <w:tcBorders>
                    <w:tl2br w:val="nil"/>
                    <w:tr2bl w:val="nil"/>
                  </w:tcBorders>
                  <w:noWrap w:val="0"/>
                  <w:vAlign w:val="center"/>
                </w:tcPr>
                <w:p w14:paraId="4411427D">
                  <w:pPr>
                    <w:pStyle w:val="22"/>
                    <w:tabs>
                      <w:tab w:val="right" w:leader="dot" w:pos="8820"/>
                    </w:tabs>
                    <w:spacing w:beforeLines="0" w:afterLines="0"/>
                    <w:ind w:left="0" w:leftChars="0"/>
                    <w:jc w:val="center"/>
                    <w:rPr>
                      <w:rFonts w:hint="default" w:ascii="Times New Roman" w:hAnsi="Times New Roman" w:eastAsia="宋体" w:cs="Times New Roman"/>
                      <w:color w:val="auto"/>
                      <w:sz w:val="21"/>
                      <w:szCs w:val="21"/>
                      <w:highlight w:val="none"/>
                      <w:u w:val="single" w:color="auto"/>
                      <w:lang w:val="en-US" w:eastAsia="zh-CN"/>
                    </w:rPr>
                  </w:pPr>
                  <w:r>
                    <w:rPr>
                      <w:rFonts w:hint="eastAsia" w:cs="Times New Roman"/>
                      <w:color w:val="auto"/>
                      <w:sz w:val="21"/>
                      <w:szCs w:val="21"/>
                      <w:highlight w:val="none"/>
                      <w:u w:val="single" w:color="auto"/>
                      <w:lang w:val="en-US" w:eastAsia="zh-CN"/>
                    </w:rPr>
                    <w:t>DA001</w:t>
                  </w:r>
                </w:p>
                <w:p w14:paraId="17345A78">
                  <w:pPr>
                    <w:pStyle w:val="22"/>
                    <w:tabs>
                      <w:tab w:val="right" w:leader="dot" w:pos="8820"/>
                    </w:tabs>
                    <w:spacing w:beforeLines="0" w:afterLines="0"/>
                    <w:ind w:left="0" w:leftChars="0"/>
                    <w:jc w:val="center"/>
                    <w:rPr>
                      <w:rFonts w:hint="default" w:ascii="Times New Roman" w:hAnsi="Times New Roman" w:eastAsia="宋体" w:cs="Times New Roman"/>
                      <w:color w:val="auto"/>
                      <w:sz w:val="21"/>
                      <w:szCs w:val="21"/>
                      <w:highlight w:val="none"/>
                      <w:u w:val="single" w:color="auto"/>
                      <w:lang w:val="en-US" w:eastAsia="zh-CN"/>
                    </w:rPr>
                  </w:pPr>
                  <w:r>
                    <w:rPr>
                      <w:rFonts w:hint="eastAsia" w:cs="Times New Roman"/>
                      <w:color w:val="auto"/>
                      <w:sz w:val="21"/>
                      <w:szCs w:val="21"/>
                      <w:highlight w:val="none"/>
                      <w:u w:val="single" w:color="auto"/>
                      <w:lang w:val="en-US" w:eastAsia="zh-CN"/>
                    </w:rPr>
                    <w:t>（热风炉烟囱）</w:t>
                  </w:r>
                </w:p>
              </w:tc>
              <w:tc>
                <w:tcPr>
                  <w:tcW w:w="401" w:type="pct"/>
                  <w:tcBorders>
                    <w:tl2br w:val="nil"/>
                    <w:tr2bl w:val="nil"/>
                  </w:tcBorders>
                  <w:noWrap w:val="0"/>
                  <w:vAlign w:val="center"/>
                </w:tcPr>
                <w:p w14:paraId="56EEF366">
                  <w:pPr>
                    <w:pStyle w:val="66"/>
                    <w:rPr>
                      <w:rFonts w:hint="default" w:ascii="Times New Roman" w:hAnsi="Times New Roman" w:eastAsia="宋体" w:cs="Times New Roman"/>
                      <w:color w:val="auto"/>
                      <w:kern w:val="2"/>
                      <w:sz w:val="21"/>
                      <w:szCs w:val="24"/>
                      <w:highlight w:val="none"/>
                      <w:u w:val="single" w:color="auto"/>
                      <w:lang w:val="en-US" w:eastAsia="zh-CN" w:bidi="ar-SA"/>
                    </w:rPr>
                  </w:pPr>
                  <w:r>
                    <w:rPr>
                      <w:rFonts w:hint="default" w:ascii="Times New Roman" w:hAnsi="Times New Roman" w:eastAsia="宋体" w:cs="Times New Roman"/>
                      <w:color w:val="auto"/>
                      <w:highlight w:val="none"/>
                      <w:u w:val="single" w:color="auto"/>
                    </w:rPr>
                    <w:t>颗粒物</w:t>
                  </w:r>
                </w:p>
              </w:tc>
              <w:tc>
                <w:tcPr>
                  <w:tcW w:w="470" w:type="pct"/>
                  <w:vMerge w:val="restart"/>
                  <w:tcBorders>
                    <w:tl2br w:val="nil"/>
                    <w:tr2bl w:val="nil"/>
                  </w:tcBorders>
                  <w:noWrap w:val="0"/>
                  <w:vAlign w:val="center"/>
                </w:tcPr>
                <w:p w14:paraId="5E98936C">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eastAsia"/>
                      <w:color w:val="auto"/>
                      <w:u w:val="single" w:color="auto"/>
                    </w:rPr>
                    <w:t>6472.336</w:t>
                  </w:r>
                </w:p>
              </w:tc>
              <w:tc>
                <w:tcPr>
                  <w:tcW w:w="656" w:type="dxa"/>
                  <w:tcBorders>
                    <w:tl2br w:val="nil"/>
                    <w:tr2bl w:val="nil"/>
                  </w:tcBorders>
                  <w:noWrap w:val="0"/>
                  <w:vAlign w:val="center"/>
                </w:tcPr>
                <w:p w14:paraId="41C705DD">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14729.35 </w:t>
                  </w:r>
                </w:p>
              </w:tc>
              <w:tc>
                <w:tcPr>
                  <w:tcW w:w="628" w:type="dxa"/>
                  <w:tcBorders>
                    <w:tl2br w:val="nil"/>
                    <w:tr2bl w:val="nil"/>
                  </w:tcBorders>
                  <w:noWrap w:val="0"/>
                  <w:vAlign w:val="center"/>
                </w:tcPr>
                <w:p w14:paraId="6427C055">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95.33 </w:t>
                  </w:r>
                </w:p>
              </w:tc>
              <w:tc>
                <w:tcPr>
                  <w:tcW w:w="628" w:type="dxa"/>
                  <w:tcBorders>
                    <w:tl2br w:val="nil"/>
                    <w:tr2bl w:val="nil"/>
                  </w:tcBorders>
                  <w:noWrap w:val="0"/>
                  <w:vAlign w:val="center"/>
                </w:tcPr>
                <w:p w14:paraId="45B75F8B">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114.4</w:t>
                  </w:r>
                </w:p>
              </w:tc>
              <w:tc>
                <w:tcPr>
                  <w:tcW w:w="494" w:type="pct"/>
                  <w:vMerge w:val="restart"/>
                  <w:tcBorders>
                    <w:tl2br w:val="nil"/>
                    <w:tr2bl w:val="nil"/>
                  </w:tcBorders>
                  <w:shd w:val="clear" w:color="auto" w:fill="auto"/>
                  <w:noWrap w:val="0"/>
                  <w:vAlign w:val="center"/>
                </w:tcPr>
                <w:p w14:paraId="6D6FD30C">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cs="Times New Roman"/>
                      <w:color w:val="auto"/>
                      <w:highlight w:val="none"/>
                      <w:u w:val="single" w:color="auto"/>
                      <w:lang w:val="en-US" w:eastAsia="zh-CN"/>
                    </w:rPr>
                    <w:t>布袋除尘器，除尘效率99%</w:t>
                  </w:r>
                </w:p>
              </w:tc>
              <w:tc>
                <w:tcPr>
                  <w:tcW w:w="834" w:type="dxa"/>
                  <w:tcBorders>
                    <w:tl2br w:val="nil"/>
                    <w:tr2bl w:val="nil"/>
                  </w:tcBorders>
                  <w:noWrap w:val="0"/>
                  <w:vAlign w:val="center"/>
                </w:tcPr>
                <w:p w14:paraId="3A1D2F79">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147.29 </w:t>
                  </w:r>
                </w:p>
              </w:tc>
              <w:tc>
                <w:tcPr>
                  <w:tcW w:w="675" w:type="dxa"/>
                  <w:tcBorders>
                    <w:tl2br w:val="nil"/>
                    <w:tr2bl w:val="nil"/>
                  </w:tcBorders>
                  <w:noWrap w:val="0"/>
                  <w:vAlign w:val="center"/>
                </w:tcPr>
                <w:p w14:paraId="67FE1EEF">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0.95 </w:t>
                  </w:r>
                </w:p>
              </w:tc>
              <w:tc>
                <w:tcPr>
                  <w:tcW w:w="591" w:type="dxa"/>
                  <w:tcBorders>
                    <w:tl2br w:val="nil"/>
                    <w:tr2bl w:val="nil"/>
                  </w:tcBorders>
                  <w:shd w:val="clear" w:color="auto" w:fill="auto"/>
                  <w:noWrap w:val="0"/>
                  <w:vAlign w:val="center"/>
                </w:tcPr>
                <w:p w14:paraId="50C17A2C">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1.144</w:t>
                  </w:r>
                </w:p>
              </w:tc>
              <w:tc>
                <w:tcPr>
                  <w:tcW w:w="474" w:type="pct"/>
                  <w:tcBorders>
                    <w:tl2br w:val="nil"/>
                    <w:tr2bl w:val="nil"/>
                  </w:tcBorders>
                  <w:noWrap w:val="0"/>
                  <w:vAlign w:val="center"/>
                </w:tcPr>
                <w:p w14:paraId="14A8CA64">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cs="Times New Roman"/>
                      <w:color w:val="auto"/>
                      <w:highlight w:val="none"/>
                      <w:u w:val="single" w:color="auto"/>
                      <w:lang w:val="en-US" w:eastAsia="zh-CN"/>
                    </w:rPr>
                    <w:t>200</w:t>
                  </w:r>
                </w:p>
              </w:tc>
            </w:tr>
            <w:tr w14:paraId="461F116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726" w:hRule="atLeast"/>
                <w:jc w:val="center"/>
              </w:trPr>
              <w:tc>
                <w:tcPr>
                  <w:tcW w:w="611" w:type="pct"/>
                  <w:vMerge w:val="continue"/>
                  <w:tcBorders>
                    <w:tl2br w:val="nil"/>
                    <w:tr2bl w:val="nil"/>
                  </w:tcBorders>
                  <w:noWrap w:val="0"/>
                  <w:vAlign w:val="center"/>
                </w:tcPr>
                <w:p w14:paraId="61A1B86F">
                  <w:pPr>
                    <w:pStyle w:val="22"/>
                    <w:tabs>
                      <w:tab w:val="right" w:leader="dot" w:pos="8820"/>
                    </w:tabs>
                    <w:spacing w:beforeLines="0" w:afterLines="0"/>
                    <w:ind w:left="0" w:leftChars="0"/>
                    <w:jc w:val="center"/>
                    <w:rPr>
                      <w:rFonts w:hint="default" w:ascii="Times New Roman" w:hAnsi="Times New Roman" w:eastAsia="Times New Roman" w:cs="Times New Roman"/>
                      <w:color w:val="auto"/>
                      <w:sz w:val="21"/>
                      <w:szCs w:val="21"/>
                      <w:highlight w:val="none"/>
                      <w:u w:val="single" w:color="auto"/>
                    </w:rPr>
                  </w:pPr>
                </w:p>
              </w:tc>
              <w:tc>
                <w:tcPr>
                  <w:tcW w:w="401" w:type="pct"/>
                  <w:tcBorders>
                    <w:tl2br w:val="nil"/>
                    <w:tr2bl w:val="nil"/>
                  </w:tcBorders>
                  <w:noWrap w:val="0"/>
                  <w:vAlign w:val="center"/>
                </w:tcPr>
                <w:p w14:paraId="1A521335">
                  <w:pPr>
                    <w:pStyle w:val="66"/>
                    <w:rPr>
                      <w:rFonts w:hint="default" w:ascii="Times New Roman" w:hAnsi="Times New Roman" w:eastAsia="宋体" w:cs="Times New Roman"/>
                      <w:color w:val="auto"/>
                      <w:kern w:val="2"/>
                      <w:sz w:val="21"/>
                      <w:szCs w:val="24"/>
                      <w:highlight w:val="none"/>
                      <w:u w:val="single" w:color="auto"/>
                      <w:lang w:val="en-US" w:eastAsia="zh-CN" w:bidi="ar-SA"/>
                    </w:rPr>
                  </w:pPr>
                  <w:r>
                    <w:rPr>
                      <w:rFonts w:hint="default" w:ascii="Times New Roman" w:hAnsi="Times New Roman" w:eastAsia="宋体" w:cs="Times New Roman"/>
                      <w:color w:val="auto"/>
                      <w:highlight w:val="none"/>
                      <w:u w:val="single" w:color="auto"/>
                    </w:rPr>
                    <w:t>SO</w:t>
                  </w:r>
                  <w:r>
                    <w:rPr>
                      <w:rFonts w:hint="default" w:ascii="Times New Roman" w:hAnsi="Times New Roman" w:eastAsia="宋体" w:cs="Times New Roman"/>
                      <w:color w:val="auto"/>
                      <w:highlight w:val="none"/>
                      <w:u w:val="single" w:color="auto"/>
                      <w:vertAlign w:val="subscript"/>
                    </w:rPr>
                    <w:t>2</w:t>
                  </w:r>
                </w:p>
              </w:tc>
              <w:tc>
                <w:tcPr>
                  <w:tcW w:w="470" w:type="pct"/>
                  <w:vMerge w:val="continue"/>
                  <w:tcBorders>
                    <w:tl2br w:val="nil"/>
                    <w:tr2bl w:val="nil"/>
                  </w:tcBorders>
                  <w:noWrap w:val="0"/>
                  <w:vAlign w:val="center"/>
                </w:tcPr>
                <w:p w14:paraId="06EC87E1">
                  <w:pPr>
                    <w:keepNext w:val="0"/>
                    <w:keepLines w:val="0"/>
                    <w:widowControl/>
                    <w:suppressLineNumbers w:val="0"/>
                    <w:jc w:val="center"/>
                    <w:textAlignment w:val="center"/>
                    <w:rPr>
                      <w:rFonts w:hint="default" w:ascii="Times New Roman" w:hAnsi="Times New Roman" w:eastAsia="宋体" w:cs="Times New Roman"/>
                      <w:color w:val="auto"/>
                      <w:highlight w:val="none"/>
                      <w:u w:val="single" w:color="auto"/>
                      <w:lang w:val="en-US" w:eastAsia="zh-CN"/>
                    </w:rPr>
                  </w:pPr>
                </w:p>
              </w:tc>
              <w:tc>
                <w:tcPr>
                  <w:tcW w:w="656" w:type="dxa"/>
                  <w:tcBorders>
                    <w:tl2br w:val="nil"/>
                    <w:tr2bl w:val="nil"/>
                  </w:tcBorders>
                  <w:shd w:val="clear" w:color="auto" w:fill="auto"/>
                  <w:noWrap w:val="0"/>
                  <w:vAlign w:val="center"/>
                </w:tcPr>
                <w:p w14:paraId="0D7E6FE3">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25.75 </w:t>
                  </w:r>
                </w:p>
              </w:tc>
              <w:tc>
                <w:tcPr>
                  <w:tcW w:w="628" w:type="dxa"/>
                  <w:tcBorders>
                    <w:tl2br w:val="nil"/>
                    <w:tr2bl w:val="nil"/>
                  </w:tcBorders>
                  <w:shd w:val="clear" w:color="auto" w:fill="auto"/>
                  <w:noWrap w:val="0"/>
                  <w:vAlign w:val="center"/>
                </w:tcPr>
                <w:p w14:paraId="30732344">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0.17 </w:t>
                  </w:r>
                </w:p>
              </w:tc>
              <w:tc>
                <w:tcPr>
                  <w:tcW w:w="628" w:type="dxa"/>
                  <w:tcBorders>
                    <w:tl2br w:val="nil"/>
                    <w:tr2bl w:val="nil"/>
                  </w:tcBorders>
                  <w:shd w:val="clear" w:color="auto" w:fill="auto"/>
                  <w:noWrap w:val="0"/>
                  <w:vAlign w:val="center"/>
                </w:tcPr>
                <w:p w14:paraId="1E60D5E2">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0.2</w:t>
                  </w:r>
                </w:p>
              </w:tc>
              <w:tc>
                <w:tcPr>
                  <w:tcW w:w="494" w:type="pct"/>
                  <w:vMerge w:val="continue"/>
                  <w:tcBorders>
                    <w:tl2br w:val="nil"/>
                    <w:tr2bl w:val="nil"/>
                  </w:tcBorders>
                  <w:noWrap w:val="0"/>
                  <w:vAlign w:val="center"/>
                </w:tcPr>
                <w:p w14:paraId="6858080C">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p>
              </w:tc>
              <w:tc>
                <w:tcPr>
                  <w:tcW w:w="834" w:type="dxa"/>
                  <w:tcBorders>
                    <w:tl2br w:val="nil"/>
                    <w:tr2bl w:val="nil"/>
                  </w:tcBorders>
                  <w:noWrap w:val="0"/>
                  <w:vAlign w:val="center"/>
                </w:tcPr>
                <w:p w14:paraId="4B0050B8">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25.75 </w:t>
                  </w:r>
                </w:p>
              </w:tc>
              <w:tc>
                <w:tcPr>
                  <w:tcW w:w="675" w:type="dxa"/>
                  <w:tcBorders>
                    <w:tl2br w:val="nil"/>
                    <w:tr2bl w:val="nil"/>
                  </w:tcBorders>
                  <w:noWrap w:val="0"/>
                  <w:vAlign w:val="center"/>
                </w:tcPr>
                <w:p w14:paraId="50617AC1">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0.17 </w:t>
                  </w:r>
                </w:p>
              </w:tc>
              <w:tc>
                <w:tcPr>
                  <w:tcW w:w="591" w:type="dxa"/>
                  <w:tcBorders>
                    <w:tl2br w:val="nil"/>
                    <w:tr2bl w:val="nil"/>
                  </w:tcBorders>
                  <w:noWrap w:val="0"/>
                  <w:vAlign w:val="center"/>
                </w:tcPr>
                <w:p w14:paraId="2A3CB6FF">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0.2</w:t>
                  </w:r>
                </w:p>
              </w:tc>
              <w:tc>
                <w:tcPr>
                  <w:tcW w:w="474" w:type="pct"/>
                  <w:tcBorders>
                    <w:tl2br w:val="nil"/>
                    <w:tr2bl w:val="nil"/>
                  </w:tcBorders>
                  <w:noWrap w:val="0"/>
                  <w:vAlign w:val="center"/>
                </w:tcPr>
                <w:p w14:paraId="23E44E33">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cs="Times New Roman"/>
                      <w:color w:val="auto"/>
                      <w:highlight w:val="none"/>
                      <w:u w:val="single" w:color="auto"/>
                      <w:lang w:val="en-US" w:eastAsia="zh-CN"/>
                    </w:rPr>
                    <w:t>850</w:t>
                  </w:r>
                </w:p>
              </w:tc>
            </w:tr>
            <w:tr w14:paraId="288E9BC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756" w:hRule="atLeast"/>
                <w:jc w:val="center"/>
              </w:trPr>
              <w:tc>
                <w:tcPr>
                  <w:tcW w:w="611" w:type="pct"/>
                  <w:vMerge w:val="continue"/>
                  <w:tcBorders>
                    <w:tl2br w:val="nil"/>
                    <w:tr2bl w:val="nil"/>
                  </w:tcBorders>
                  <w:noWrap w:val="0"/>
                  <w:vAlign w:val="center"/>
                </w:tcPr>
                <w:p w14:paraId="40E487E7">
                  <w:pPr>
                    <w:pStyle w:val="22"/>
                    <w:tabs>
                      <w:tab w:val="right" w:leader="dot" w:pos="8820"/>
                    </w:tabs>
                    <w:spacing w:beforeLines="0" w:afterLines="0"/>
                    <w:ind w:left="0" w:leftChars="0"/>
                    <w:jc w:val="center"/>
                    <w:rPr>
                      <w:rFonts w:hint="default" w:ascii="Times New Roman" w:hAnsi="Times New Roman" w:eastAsia="Times New Roman" w:cs="Times New Roman"/>
                      <w:color w:val="auto"/>
                      <w:sz w:val="21"/>
                      <w:szCs w:val="21"/>
                      <w:highlight w:val="none"/>
                      <w:u w:val="single" w:color="auto"/>
                    </w:rPr>
                  </w:pPr>
                </w:p>
              </w:tc>
              <w:tc>
                <w:tcPr>
                  <w:tcW w:w="401" w:type="pct"/>
                  <w:tcBorders>
                    <w:tl2br w:val="nil"/>
                    <w:tr2bl w:val="nil"/>
                  </w:tcBorders>
                  <w:noWrap w:val="0"/>
                  <w:vAlign w:val="center"/>
                </w:tcPr>
                <w:p w14:paraId="3FF0917B">
                  <w:pPr>
                    <w:pStyle w:val="66"/>
                    <w:rPr>
                      <w:rFonts w:hint="default" w:ascii="Times New Roman" w:hAnsi="Times New Roman" w:eastAsia="宋体" w:cs="Times New Roman"/>
                      <w:color w:val="auto"/>
                      <w:kern w:val="2"/>
                      <w:sz w:val="21"/>
                      <w:szCs w:val="24"/>
                      <w:highlight w:val="none"/>
                      <w:u w:val="single" w:color="auto"/>
                      <w:lang w:val="en-US" w:eastAsia="zh-CN" w:bidi="ar-SA"/>
                    </w:rPr>
                  </w:pPr>
                  <w:r>
                    <w:rPr>
                      <w:rFonts w:hint="default" w:ascii="Times New Roman" w:hAnsi="Times New Roman" w:eastAsia="宋体" w:cs="Times New Roman"/>
                      <w:color w:val="auto"/>
                      <w:highlight w:val="none"/>
                      <w:u w:val="single" w:color="auto"/>
                    </w:rPr>
                    <w:t>NO</w:t>
                  </w:r>
                  <w:r>
                    <w:rPr>
                      <w:rFonts w:hint="default" w:ascii="Times New Roman" w:hAnsi="Times New Roman" w:eastAsia="宋体" w:cs="Times New Roman"/>
                      <w:color w:val="auto"/>
                      <w:highlight w:val="none"/>
                      <w:u w:val="single" w:color="auto"/>
                      <w:vertAlign w:val="subscript"/>
                    </w:rPr>
                    <w:t>x</w:t>
                  </w:r>
                </w:p>
              </w:tc>
              <w:tc>
                <w:tcPr>
                  <w:tcW w:w="470" w:type="pct"/>
                  <w:vMerge w:val="continue"/>
                  <w:tcBorders>
                    <w:tl2br w:val="nil"/>
                    <w:tr2bl w:val="nil"/>
                  </w:tcBorders>
                  <w:noWrap w:val="0"/>
                  <w:vAlign w:val="center"/>
                </w:tcPr>
                <w:p w14:paraId="6451C73F">
                  <w:pPr>
                    <w:keepNext w:val="0"/>
                    <w:keepLines w:val="0"/>
                    <w:widowControl/>
                    <w:suppressLineNumbers w:val="0"/>
                    <w:jc w:val="center"/>
                    <w:textAlignment w:val="center"/>
                    <w:rPr>
                      <w:rFonts w:hint="default" w:ascii="Times New Roman" w:hAnsi="Times New Roman" w:eastAsia="宋体" w:cs="Times New Roman"/>
                      <w:color w:val="auto"/>
                      <w:highlight w:val="none"/>
                      <w:u w:val="single" w:color="auto"/>
                      <w:lang w:val="en-US" w:eastAsia="zh-CN"/>
                    </w:rPr>
                  </w:pPr>
                </w:p>
              </w:tc>
              <w:tc>
                <w:tcPr>
                  <w:tcW w:w="656" w:type="dxa"/>
                  <w:tcBorders>
                    <w:tl2br w:val="nil"/>
                    <w:tr2bl w:val="nil"/>
                  </w:tcBorders>
                  <w:shd w:val="clear" w:color="auto" w:fill="auto"/>
                  <w:noWrap w:val="0"/>
                  <w:vAlign w:val="center"/>
                </w:tcPr>
                <w:p w14:paraId="19EDF27C">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163.52 </w:t>
                  </w:r>
                </w:p>
              </w:tc>
              <w:tc>
                <w:tcPr>
                  <w:tcW w:w="628" w:type="dxa"/>
                  <w:tcBorders>
                    <w:tl2br w:val="nil"/>
                    <w:tr2bl w:val="nil"/>
                  </w:tcBorders>
                  <w:shd w:val="clear" w:color="auto" w:fill="auto"/>
                  <w:noWrap w:val="0"/>
                  <w:vAlign w:val="center"/>
                </w:tcPr>
                <w:p w14:paraId="0608AAF0">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1.06 </w:t>
                  </w:r>
                </w:p>
              </w:tc>
              <w:tc>
                <w:tcPr>
                  <w:tcW w:w="628" w:type="dxa"/>
                  <w:tcBorders>
                    <w:tl2br w:val="nil"/>
                    <w:tr2bl w:val="nil"/>
                  </w:tcBorders>
                  <w:shd w:val="clear" w:color="auto" w:fill="auto"/>
                  <w:noWrap w:val="0"/>
                  <w:vAlign w:val="center"/>
                </w:tcPr>
                <w:p w14:paraId="6D7B8FA3">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1.27</w:t>
                  </w:r>
                </w:p>
              </w:tc>
              <w:tc>
                <w:tcPr>
                  <w:tcW w:w="494" w:type="pct"/>
                  <w:vMerge w:val="continue"/>
                  <w:tcBorders>
                    <w:tl2br w:val="nil"/>
                    <w:tr2bl w:val="nil"/>
                  </w:tcBorders>
                  <w:noWrap w:val="0"/>
                  <w:vAlign w:val="center"/>
                </w:tcPr>
                <w:p w14:paraId="06043062">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p>
              </w:tc>
              <w:tc>
                <w:tcPr>
                  <w:tcW w:w="834" w:type="dxa"/>
                  <w:tcBorders>
                    <w:tl2br w:val="nil"/>
                    <w:tr2bl w:val="nil"/>
                  </w:tcBorders>
                  <w:noWrap w:val="0"/>
                  <w:vAlign w:val="center"/>
                </w:tcPr>
                <w:p w14:paraId="7777B427">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163.52 </w:t>
                  </w:r>
                </w:p>
              </w:tc>
              <w:tc>
                <w:tcPr>
                  <w:tcW w:w="675" w:type="dxa"/>
                  <w:tcBorders>
                    <w:tl2br w:val="nil"/>
                    <w:tr2bl w:val="nil"/>
                  </w:tcBorders>
                  <w:noWrap w:val="0"/>
                  <w:vAlign w:val="center"/>
                </w:tcPr>
                <w:p w14:paraId="34FAD766">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 xml:space="preserve">1.06 </w:t>
                  </w:r>
                </w:p>
              </w:tc>
              <w:tc>
                <w:tcPr>
                  <w:tcW w:w="591" w:type="dxa"/>
                  <w:tcBorders>
                    <w:tl2br w:val="nil"/>
                    <w:tr2bl w:val="nil"/>
                  </w:tcBorders>
                  <w:noWrap w:val="0"/>
                  <w:vAlign w:val="center"/>
                </w:tcPr>
                <w:p w14:paraId="6A4EB205">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eastAsia="宋体" w:cs="Times New Roman"/>
                      <w:i w:val="0"/>
                      <w:iCs w:val="0"/>
                      <w:color w:val="auto"/>
                      <w:kern w:val="0"/>
                      <w:sz w:val="21"/>
                      <w:szCs w:val="21"/>
                      <w:u w:val="single" w:color="auto"/>
                      <w:lang w:val="en-US" w:eastAsia="zh-CN" w:bidi="ar"/>
                    </w:rPr>
                    <w:t>1.27</w:t>
                  </w:r>
                </w:p>
              </w:tc>
              <w:tc>
                <w:tcPr>
                  <w:tcW w:w="474" w:type="pct"/>
                  <w:tcBorders>
                    <w:tl2br w:val="nil"/>
                    <w:tr2bl w:val="nil"/>
                  </w:tcBorders>
                  <w:noWrap w:val="0"/>
                  <w:vAlign w:val="center"/>
                </w:tcPr>
                <w:p w14:paraId="2AA396B3">
                  <w:pPr>
                    <w:keepNext w:val="0"/>
                    <w:keepLines w:val="0"/>
                    <w:widowControl/>
                    <w:suppressLineNumbers w:val="0"/>
                    <w:jc w:val="center"/>
                    <w:textAlignment w:val="center"/>
                    <w:rPr>
                      <w:rFonts w:hint="default" w:ascii="Times New Roman" w:hAnsi="Times New Roman" w:cs="Times New Roman"/>
                      <w:color w:val="auto"/>
                      <w:highlight w:val="none"/>
                      <w:u w:val="single" w:color="auto"/>
                      <w:lang w:val="en-US" w:eastAsia="zh-CN"/>
                    </w:rPr>
                  </w:pPr>
                  <w:r>
                    <w:rPr>
                      <w:rFonts w:hint="default" w:ascii="Times New Roman" w:hAnsi="Times New Roman" w:cs="Times New Roman"/>
                      <w:color w:val="auto"/>
                      <w:highlight w:val="none"/>
                      <w:u w:val="single" w:color="auto"/>
                      <w:lang w:val="en-US" w:eastAsia="zh-CN"/>
                    </w:rPr>
                    <w:t>240</w:t>
                  </w:r>
                  <w:r>
                    <w:rPr>
                      <w:rFonts w:hint="eastAsia" w:ascii="Times New Roman" w:hAnsi="Times New Roman" w:cs="Times New Roman"/>
                      <w:color w:val="auto"/>
                      <w:highlight w:val="none"/>
                      <w:u w:val="single" w:color="auto"/>
                      <w:lang w:val="en-US" w:eastAsia="zh-CN"/>
                    </w:rPr>
                    <w:t>（18m</w:t>
                  </w:r>
                  <w:r>
                    <w:rPr>
                      <w:rFonts w:hint="eastAsia" w:cs="Times New Roman"/>
                      <w:color w:val="auto"/>
                      <w:highlight w:val="none"/>
                      <w:u w:val="single" w:color="auto"/>
                      <w:lang w:val="en-US" w:eastAsia="zh-CN"/>
                    </w:rPr>
                    <w:t>烟囱</w:t>
                  </w:r>
                  <w:r>
                    <w:rPr>
                      <w:rFonts w:hint="eastAsia" w:ascii="Times New Roman" w:hAnsi="Times New Roman" w:cs="Times New Roman"/>
                      <w:color w:val="auto"/>
                      <w:highlight w:val="none"/>
                      <w:u w:val="single" w:color="auto"/>
                      <w:lang w:val="en-US" w:eastAsia="zh-CN"/>
                    </w:rPr>
                    <w:t>速率限值1.088kg/）</w:t>
                  </w:r>
                </w:p>
              </w:tc>
            </w:tr>
          </w:tbl>
          <w:p w14:paraId="7B7561BB">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bidi="ar-SA"/>
              </w:rPr>
            </w:pPr>
            <w:r>
              <w:rPr>
                <w:rFonts w:hint="default" w:ascii="Times New Roman" w:hAnsi="Times New Roman" w:eastAsia="宋体" w:cs="Times New Roman"/>
                <w:color w:val="auto"/>
                <w:spacing w:val="0"/>
                <w:kern w:val="21"/>
                <w:sz w:val="24"/>
                <w:szCs w:val="24"/>
                <w:highlight w:val="none"/>
                <w:u w:val="none" w:color="auto"/>
                <w:lang w:val="en-US" w:eastAsia="zh-CN" w:bidi="ar-SA"/>
              </w:rPr>
              <w:t>由上表可知，生物质热风炉烟气中</w:t>
            </w:r>
            <w:r>
              <w:rPr>
                <w:rFonts w:hint="eastAsia" w:cs="Times New Roman"/>
                <w:color w:val="auto"/>
                <w:spacing w:val="0"/>
                <w:kern w:val="21"/>
                <w:sz w:val="24"/>
                <w:szCs w:val="24"/>
                <w:highlight w:val="none"/>
                <w:u w:val="none" w:color="auto"/>
                <w:lang w:val="en-US" w:eastAsia="zh-CN" w:bidi="ar-SA"/>
              </w:rPr>
              <w:t>颗粒物</w:t>
            </w:r>
            <w:r>
              <w:rPr>
                <w:rFonts w:hint="default" w:ascii="Times New Roman" w:hAnsi="Times New Roman" w:eastAsia="宋体" w:cs="Times New Roman"/>
                <w:color w:val="auto"/>
                <w:spacing w:val="0"/>
                <w:kern w:val="21"/>
                <w:sz w:val="24"/>
                <w:szCs w:val="24"/>
                <w:highlight w:val="none"/>
                <w:u w:val="none" w:color="auto"/>
                <w:lang w:val="en-US" w:eastAsia="zh-CN" w:bidi="ar-SA"/>
              </w:rPr>
              <w:t>、SO</w:t>
            </w:r>
            <w:r>
              <w:rPr>
                <w:rFonts w:hint="default" w:ascii="Times New Roman" w:hAnsi="Times New Roman" w:eastAsia="宋体" w:cs="Times New Roman"/>
                <w:color w:val="auto"/>
                <w:spacing w:val="0"/>
                <w:kern w:val="21"/>
                <w:sz w:val="24"/>
                <w:szCs w:val="24"/>
                <w:highlight w:val="none"/>
                <w:u w:val="none" w:color="auto"/>
                <w:vertAlign w:val="subscript"/>
                <w:lang w:val="en-US" w:eastAsia="zh-CN" w:bidi="ar-SA"/>
              </w:rPr>
              <w:t>2</w:t>
            </w:r>
            <w:r>
              <w:rPr>
                <w:rFonts w:hint="default" w:ascii="Times New Roman" w:hAnsi="Times New Roman" w:eastAsia="宋体" w:cs="Times New Roman"/>
                <w:color w:val="auto"/>
                <w:spacing w:val="0"/>
                <w:kern w:val="21"/>
                <w:sz w:val="24"/>
                <w:szCs w:val="24"/>
                <w:highlight w:val="none"/>
                <w:u w:val="none" w:color="auto"/>
                <w:lang w:val="en-US" w:eastAsia="zh-CN" w:bidi="ar-SA"/>
              </w:rPr>
              <w:t>满足《工业炉窑大气污染物排放标准》（GB9078-1996），氮氧化物满足《大气污染物综合排放标准》（GB16297-1996）表2中二级排放限值</w:t>
            </w:r>
            <w:r>
              <w:rPr>
                <w:rFonts w:hint="eastAsia" w:cs="Times New Roman"/>
                <w:color w:val="auto"/>
                <w:spacing w:val="0"/>
                <w:kern w:val="21"/>
                <w:sz w:val="24"/>
                <w:szCs w:val="24"/>
                <w:highlight w:val="none"/>
                <w:u w:val="none" w:color="auto"/>
                <w:lang w:val="en-US" w:eastAsia="zh-CN" w:bidi="ar-SA"/>
              </w:rPr>
              <w:t>和速率要求</w:t>
            </w:r>
            <w:r>
              <w:rPr>
                <w:rFonts w:hint="default" w:ascii="Times New Roman" w:hAnsi="Times New Roman" w:eastAsia="宋体" w:cs="Times New Roman"/>
                <w:color w:val="auto"/>
                <w:spacing w:val="0"/>
                <w:kern w:val="21"/>
                <w:sz w:val="24"/>
                <w:szCs w:val="24"/>
                <w:highlight w:val="none"/>
                <w:u w:val="none" w:color="auto"/>
                <w:lang w:val="en-US" w:eastAsia="zh-CN" w:bidi="ar-SA"/>
              </w:rPr>
              <w:t>。</w:t>
            </w:r>
          </w:p>
          <w:p w14:paraId="5337CC3A">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rPr>
                <w:rFonts w:hint="default" w:ascii="Times New Roman" w:hAnsi="Times New Roman" w:eastAsia="宋体" w:cs="Times New Roman"/>
                <w:color w:val="auto"/>
                <w:kern w:val="0"/>
                <w:sz w:val="24"/>
                <w:szCs w:val="24"/>
                <w:highlight w:val="none"/>
                <w:u w:val="single" w:color="auto"/>
              </w:rPr>
            </w:pPr>
            <w:r>
              <w:rPr>
                <w:rFonts w:hint="default" w:ascii="Times New Roman" w:hAnsi="Times New Roman" w:eastAsia="宋体" w:cs="Times New Roman"/>
                <w:b/>
                <w:bCs/>
                <w:color w:val="auto"/>
                <w:kern w:val="0"/>
                <w:sz w:val="24"/>
                <w:szCs w:val="24"/>
                <w:highlight w:val="none"/>
                <w:u w:val="single" w:color="auto"/>
                <w:lang w:val="en-US" w:eastAsia="zh-CN" w:bidi="ar"/>
              </w:rPr>
              <w:t>表4-</w:t>
            </w:r>
            <w:r>
              <w:rPr>
                <w:rFonts w:hint="eastAsia" w:cs="Times New Roman"/>
                <w:b/>
                <w:bCs/>
                <w:color w:val="auto"/>
                <w:kern w:val="0"/>
                <w:sz w:val="24"/>
                <w:szCs w:val="24"/>
                <w:highlight w:val="none"/>
                <w:u w:val="single" w:color="auto"/>
                <w:lang w:val="en-US" w:eastAsia="zh-CN" w:bidi="ar"/>
              </w:rPr>
              <w:t>5</w:t>
            </w:r>
            <w:r>
              <w:rPr>
                <w:rFonts w:hint="default" w:ascii="Times New Roman" w:hAnsi="Times New Roman" w:eastAsia="宋体" w:cs="Times New Roman"/>
                <w:b/>
                <w:bCs/>
                <w:color w:val="auto"/>
                <w:kern w:val="0"/>
                <w:sz w:val="24"/>
                <w:szCs w:val="24"/>
                <w:highlight w:val="none"/>
                <w:u w:val="single" w:color="auto"/>
                <w:lang w:val="en-US" w:eastAsia="zh-CN" w:bidi="ar"/>
              </w:rPr>
              <w:t xml:space="preserve"> </w:t>
            </w:r>
            <w:r>
              <w:rPr>
                <w:rFonts w:hint="eastAsia" w:cs="Times New Roman"/>
                <w:b/>
                <w:bCs/>
                <w:color w:val="auto"/>
                <w:kern w:val="0"/>
                <w:sz w:val="24"/>
                <w:szCs w:val="24"/>
                <w:highlight w:val="none"/>
                <w:u w:val="single" w:color="auto"/>
                <w:lang w:val="en-US" w:eastAsia="zh-CN" w:bidi="ar"/>
              </w:rPr>
              <w:t>排放口信息一览表</w:t>
            </w:r>
          </w:p>
          <w:tbl>
            <w:tblPr>
              <w:tblStyle w:val="29"/>
              <w:tblW w:w="7994" w:type="dxa"/>
              <w:jc w:val="center"/>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510"/>
              <w:gridCol w:w="630"/>
              <w:gridCol w:w="510"/>
              <w:gridCol w:w="510"/>
              <w:gridCol w:w="585"/>
              <w:gridCol w:w="600"/>
              <w:gridCol w:w="660"/>
              <w:gridCol w:w="690"/>
              <w:gridCol w:w="645"/>
              <w:gridCol w:w="660"/>
              <w:gridCol w:w="735"/>
              <w:gridCol w:w="783"/>
            </w:tblGrid>
            <w:tr w14:paraId="67F7A1E4">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297" w:type="pct"/>
                  <w:vMerge w:val="restart"/>
                  <w:tcBorders>
                    <w:top w:val="single" w:color="auto" w:sz="12" w:space="0"/>
                    <w:left w:val="nil"/>
                    <w:bottom w:val="single" w:color="auto" w:sz="4" w:space="0"/>
                    <w:right w:val="single" w:color="auto" w:sz="4" w:space="0"/>
                  </w:tcBorders>
                  <w:noWrap w:val="0"/>
                  <w:vAlign w:val="center"/>
                </w:tcPr>
                <w:p w14:paraId="213E9224">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编号</w:t>
                  </w:r>
                </w:p>
              </w:tc>
              <w:tc>
                <w:tcPr>
                  <w:tcW w:w="318" w:type="pct"/>
                  <w:vMerge w:val="restart"/>
                  <w:tcBorders>
                    <w:top w:val="single" w:color="auto" w:sz="12" w:space="0"/>
                    <w:left w:val="single" w:color="auto" w:sz="4" w:space="0"/>
                    <w:bottom w:val="single" w:color="auto" w:sz="4" w:space="0"/>
                    <w:right w:val="single" w:color="auto" w:sz="4" w:space="0"/>
                  </w:tcBorders>
                  <w:noWrap w:val="0"/>
                  <w:vAlign w:val="center"/>
                </w:tcPr>
                <w:p w14:paraId="0FDC4EEC">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名称</w:t>
                  </w:r>
                </w:p>
              </w:tc>
              <w:tc>
                <w:tcPr>
                  <w:tcW w:w="713" w:type="pct"/>
                  <w:gridSpan w:val="2"/>
                  <w:tcBorders>
                    <w:top w:val="single" w:color="auto" w:sz="12" w:space="0"/>
                    <w:left w:val="single" w:color="auto" w:sz="4" w:space="0"/>
                    <w:bottom w:val="single" w:color="auto" w:sz="4" w:space="0"/>
                    <w:right w:val="single" w:color="auto" w:sz="4" w:space="0"/>
                  </w:tcBorders>
                  <w:noWrap w:val="0"/>
                  <w:vAlign w:val="center"/>
                </w:tcPr>
                <w:p w14:paraId="48D72BB4">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烟囱</w:t>
                  </w:r>
                  <w:r>
                    <w:rPr>
                      <w:rFonts w:hint="default" w:ascii="Times New Roman" w:hAnsi="Times New Roman" w:eastAsia="宋体" w:cs="Times New Roman"/>
                      <w:color w:val="auto"/>
                      <w:kern w:val="2"/>
                      <w:sz w:val="21"/>
                      <w:szCs w:val="21"/>
                      <w:highlight w:val="none"/>
                      <w:u w:val="single" w:color="auto"/>
                      <w:lang w:val="en-US" w:eastAsia="zh-CN"/>
                    </w:rPr>
                    <w:t>底部中心坐标/m</w:t>
                  </w:r>
                </w:p>
              </w:tc>
              <w:tc>
                <w:tcPr>
                  <w:tcW w:w="318" w:type="pct"/>
                  <w:vMerge w:val="restart"/>
                  <w:tcBorders>
                    <w:top w:val="single" w:color="auto" w:sz="12" w:space="0"/>
                    <w:left w:val="single" w:color="auto" w:sz="4" w:space="0"/>
                    <w:bottom w:val="single" w:color="auto" w:sz="4" w:space="0"/>
                    <w:right w:val="single" w:color="auto" w:sz="4" w:space="0"/>
                  </w:tcBorders>
                  <w:noWrap w:val="0"/>
                  <w:vAlign w:val="center"/>
                </w:tcPr>
                <w:p w14:paraId="64A5E860">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烟囱</w:t>
                  </w:r>
                  <w:r>
                    <w:rPr>
                      <w:rFonts w:hint="default" w:ascii="Times New Roman" w:hAnsi="Times New Roman" w:eastAsia="宋体" w:cs="Times New Roman"/>
                      <w:color w:val="auto"/>
                      <w:kern w:val="2"/>
                      <w:sz w:val="21"/>
                      <w:szCs w:val="21"/>
                      <w:highlight w:val="none"/>
                      <w:u w:val="single" w:color="auto"/>
                      <w:lang w:val="en-US" w:eastAsia="zh-CN"/>
                    </w:rPr>
                    <w:t>高度/m</w:t>
                  </w:r>
                </w:p>
              </w:tc>
              <w:tc>
                <w:tcPr>
                  <w:tcW w:w="365" w:type="pct"/>
                  <w:vMerge w:val="restart"/>
                  <w:tcBorders>
                    <w:top w:val="single" w:color="auto" w:sz="12" w:space="0"/>
                    <w:left w:val="single" w:color="auto" w:sz="4" w:space="0"/>
                    <w:bottom w:val="single" w:color="auto" w:sz="4" w:space="0"/>
                    <w:right w:val="single" w:color="auto" w:sz="4" w:space="0"/>
                  </w:tcBorders>
                  <w:noWrap w:val="0"/>
                  <w:vAlign w:val="center"/>
                </w:tcPr>
                <w:p w14:paraId="7B32A814">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烟囱</w:t>
                  </w:r>
                  <w:r>
                    <w:rPr>
                      <w:rFonts w:hint="default" w:ascii="Times New Roman" w:hAnsi="Times New Roman" w:eastAsia="宋体" w:cs="Times New Roman"/>
                      <w:color w:val="auto"/>
                      <w:kern w:val="2"/>
                      <w:sz w:val="21"/>
                      <w:szCs w:val="21"/>
                      <w:highlight w:val="none"/>
                      <w:u w:val="single" w:color="auto"/>
                      <w:lang w:val="en-US" w:eastAsia="zh-CN"/>
                    </w:rPr>
                    <w:t>出口内</w:t>
                  </w:r>
                  <w:r>
                    <w:rPr>
                      <w:rFonts w:hint="eastAsia" w:ascii="Times New Roman" w:hAnsi="Times New Roman" w:cs="Times New Roman"/>
                      <w:color w:val="auto"/>
                      <w:kern w:val="2"/>
                      <w:sz w:val="21"/>
                      <w:szCs w:val="21"/>
                      <w:highlight w:val="none"/>
                      <w:u w:val="single" w:color="auto"/>
                      <w:lang w:val="en-US" w:eastAsia="zh-CN"/>
                    </w:rPr>
                    <w:t>径</w:t>
                  </w:r>
                  <w:r>
                    <w:rPr>
                      <w:rFonts w:hint="default" w:ascii="Times New Roman" w:hAnsi="Times New Roman" w:eastAsia="宋体" w:cs="Times New Roman"/>
                      <w:color w:val="auto"/>
                      <w:kern w:val="2"/>
                      <w:sz w:val="21"/>
                      <w:szCs w:val="21"/>
                      <w:highlight w:val="none"/>
                      <w:u w:val="single" w:color="auto"/>
                      <w:lang w:val="en-US" w:eastAsia="zh-CN"/>
                    </w:rPr>
                    <w:t>/m</w:t>
                  </w:r>
                </w:p>
              </w:tc>
              <w:tc>
                <w:tcPr>
                  <w:tcW w:w="375" w:type="pct"/>
                  <w:vMerge w:val="restart"/>
                  <w:tcBorders>
                    <w:top w:val="single" w:color="auto" w:sz="12" w:space="0"/>
                    <w:left w:val="single" w:color="auto" w:sz="4" w:space="0"/>
                    <w:bottom w:val="single" w:color="auto" w:sz="4" w:space="0"/>
                    <w:right w:val="single" w:color="auto" w:sz="4" w:space="0"/>
                  </w:tcBorders>
                  <w:noWrap w:val="0"/>
                  <w:vAlign w:val="center"/>
                </w:tcPr>
                <w:p w14:paraId="40CEAB28">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烟气流速/（m/s）</w:t>
                  </w:r>
                </w:p>
              </w:tc>
              <w:tc>
                <w:tcPr>
                  <w:tcW w:w="412" w:type="pct"/>
                  <w:vMerge w:val="restart"/>
                  <w:tcBorders>
                    <w:top w:val="single" w:color="auto" w:sz="12" w:space="0"/>
                    <w:left w:val="single" w:color="auto" w:sz="4" w:space="0"/>
                    <w:bottom w:val="single" w:color="auto" w:sz="4" w:space="0"/>
                    <w:right w:val="single" w:color="auto" w:sz="4" w:space="0"/>
                  </w:tcBorders>
                  <w:noWrap w:val="0"/>
                  <w:vAlign w:val="center"/>
                </w:tcPr>
                <w:p w14:paraId="2389C26B">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烟气温度/℃</w:t>
                  </w:r>
                </w:p>
              </w:tc>
              <w:tc>
                <w:tcPr>
                  <w:tcW w:w="431" w:type="pct"/>
                  <w:vMerge w:val="restart"/>
                  <w:tcBorders>
                    <w:top w:val="single" w:color="auto" w:sz="12" w:space="0"/>
                    <w:left w:val="single" w:color="auto" w:sz="4" w:space="0"/>
                    <w:bottom w:val="single" w:color="auto" w:sz="4" w:space="0"/>
                    <w:right w:val="single" w:color="auto" w:sz="4" w:space="0"/>
                  </w:tcBorders>
                  <w:noWrap w:val="0"/>
                  <w:vAlign w:val="center"/>
                </w:tcPr>
                <w:p w14:paraId="198B3EFB">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年排放小时数/h</w:t>
                  </w:r>
                </w:p>
              </w:tc>
              <w:tc>
                <w:tcPr>
                  <w:tcW w:w="1275" w:type="pct"/>
                  <w:gridSpan w:val="3"/>
                  <w:tcBorders>
                    <w:top w:val="single" w:color="auto" w:sz="12" w:space="0"/>
                    <w:left w:val="single" w:color="auto" w:sz="4" w:space="0"/>
                    <w:bottom w:val="nil"/>
                    <w:right w:val="nil"/>
                  </w:tcBorders>
                  <w:noWrap w:val="0"/>
                  <w:vAlign w:val="center"/>
                </w:tcPr>
                <w:p w14:paraId="604F2F4C">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污染物排放速率/（kg/h）</w:t>
                  </w:r>
                </w:p>
              </w:tc>
              <w:tc>
                <w:tcPr>
                  <w:tcW w:w="489" w:type="pct"/>
                  <w:vMerge w:val="restart"/>
                  <w:tcBorders>
                    <w:top w:val="single" w:color="auto" w:sz="12" w:space="0"/>
                    <w:left w:val="single" w:color="auto" w:sz="4" w:space="0"/>
                    <w:right w:val="nil"/>
                  </w:tcBorders>
                  <w:noWrap w:val="0"/>
                  <w:vAlign w:val="center"/>
                </w:tcPr>
                <w:p w14:paraId="691DB1F5">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类型</w:t>
                  </w:r>
                </w:p>
              </w:tc>
            </w:tr>
            <w:tr w14:paraId="43F6EC3C">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297" w:type="pct"/>
                  <w:vMerge w:val="continue"/>
                  <w:tcBorders>
                    <w:top w:val="single" w:color="auto" w:sz="12" w:space="0"/>
                    <w:left w:val="nil"/>
                    <w:bottom w:val="single" w:color="auto" w:sz="4" w:space="0"/>
                    <w:right w:val="single" w:color="auto" w:sz="4" w:space="0"/>
                  </w:tcBorders>
                  <w:noWrap w:val="0"/>
                  <w:vAlign w:val="center"/>
                </w:tcPr>
                <w:p w14:paraId="6E9BD1D0">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p>
              </w:tc>
              <w:tc>
                <w:tcPr>
                  <w:tcW w:w="318" w:type="pct"/>
                  <w:vMerge w:val="continue"/>
                  <w:tcBorders>
                    <w:top w:val="single" w:color="auto" w:sz="12" w:space="0"/>
                    <w:left w:val="single" w:color="auto" w:sz="4" w:space="0"/>
                    <w:bottom w:val="single" w:color="auto" w:sz="4" w:space="0"/>
                    <w:right w:val="single" w:color="auto" w:sz="4" w:space="0"/>
                  </w:tcBorders>
                  <w:noWrap w:val="0"/>
                  <w:vAlign w:val="center"/>
                </w:tcPr>
                <w:p w14:paraId="1202D789">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p>
              </w:tc>
              <w:tc>
                <w:tcPr>
                  <w:tcW w:w="394" w:type="pct"/>
                  <w:tcBorders>
                    <w:top w:val="single" w:color="auto" w:sz="4" w:space="0"/>
                    <w:left w:val="single" w:color="auto" w:sz="4" w:space="0"/>
                    <w:bottom w:val="single" w:color="auto" w:sz="4" w:space="0"/>
                    <w:right w:val="single" w:color="auto" w:sz="4" w:space="0"/>
                  </w:tcBorders>
                  <w:noWrap w:val="0"/>
                  <w:vAlign w:val="center"/>
                </w:tcPr>
                <w:p w14:paraId="34C4AB08">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经度</w:t>
                  </w:r>
                </w:p>
              </w:tc>
              <w:tc>
                <w:tcPr>
                  <w:tcW w:w="318" w:type="pct"/>
                  <w:tcBorders>
                    <w:top w:val="single" w:color="auto" w:sz="4" w:space="0"/>
                    <w:left w:val="single" w:color="auto" w:sz="4" w:space="0"/>
                    <w:bottom w:val="single" w:color="auto" w:sz="4" w:space="0"/>
                    <w:right w:val="single" w:color="auto" w:sz="4" w:space="0"/>
                  </w:tcBorders>
                  <w:noWrap w:val="0"/>
                  <w:vAlign w:val="center"/>
                </w:tcPr>
                <w:p w14:paraId="7C108D5C">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纬度</w:t>
                  </w:r>
                </w:p>
              </w:tc>
              <w:tc>
                <w:tcPr>
                  <w:tcW w:w="318" w:type="pct"/>
                  <w:vMerge w:val="continue"/>
                  <w:tcBorders>
                    <w:top w:val="single" w:color="auto" w:sz="12" w:space="0"/>
                    <w:left w:val="single" w:color="auto" w:sz="4" w:space="0"/>
                    <w:bottom w:val="single" w:color="auto" w:sz="4" w:space="0"/>
                    <w:right w:val="single" w:color="auto" w:sz="4" w:space="0"/>
                  </w:tcBorders>
                  <w:noWrap w:val="0"/>
                  <w:vAlign w:val="center"/>
                </w:tcPr>
                <w:p w14:paraId="38F81F95">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p>
              </w:tc>
              <w:tc>
                <w:tcPr>
                  <w:tcW w:w="365" w:type="pct"/>
                  <w:vMerge w:val="continue"/>
                  <w:tcBorders>
                    <w:top w:val="single" w:color="auto" w:sz="12" w:space="0"/>
                    <w:left w:val="single" w:color="auto" w:sz="4" w:space="0"/>
                    <w:bottom w:val="single" w:color="auto" w:sz="4" w:space="0"/>
                    <w:right w:val="single" w:color="auto" w:sz="4" w:space="0"/>
                  </w:tcBorders>
                  <w:noWrap w:val="0"/>
                  <w:vAlign w:val="center"/>
                </w:tcPr>
                <w:p w14:paraId="1EDD1BE3">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p>
              </w:tc>
              <w:tc>
                <w:tcPr>
                  <w:tcW w:w="375" w:type="pct"/>
                  <w:vMerge w:val="continue"/>
                  <w:tcBorders>
                    <w:top w:val="single" w:color="auto" w:sz="12" w:space="0"/>
                    <w:left w:val="single" w:color="auto" w:sz="4" w:space="0"/>
                    <w:bottom w:val="single" w:color="auto" w:sz="4" w:space="0"/>
                    <w:right w:val="single" w:color="auto" w:sz="4" w:space="0"/>
                  </w:tcBorders>
                  <w:noWrap w:val="0"/>
                  <w:vAlign w:val="center"/>
                </w:tcPr>
                <w:p w14:paraId="4124FBC5">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p>
              </w:tc>
              <w:tc>
                <w:tcPr>
                  <w:tcW w:w="412" w:type="pct"/>
                  <w:vMerge w:val="continue"/>
                  <w:tcBorders>
                    <w:top w:val="single" w:color="auto" w:sz="12" w:space="0"/>
                    <w:left w:val="single" w:color="auto" w:sz="4" w:space="0"/>
                    <w:bottom w:val="single" w:color="auto" w:sz="4" w:space="0"/>
                    <w:right w:val="single" w:color="auto" w:sz="4" w:space="0"/>
                  </w:tcBorders>
                  <w:noWrap w:val="0"/>
                  <w:vAlign w:val="center"/>
                </w:tcPr>
                <w:p w14:paraId="4A615603">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p>
              </w:tc>
              <w:tc>
                <w:tcPr>
                  <w:tcW w:w="431" w:type="pct"/>
                  <w:vMerge w:val="continue"/>
                  <w:tcBorders>
                    <w:top w:val="single" w:color="auto" w:sz="12" w:space="0"/>
                    <w:left w:val="single" w:color="auto" w:sz="4" w:space="0"/>
                    <w:bottom w:val="single" w:color="auto" w:sz="4" w:space="0"/>
                    <w:right w:val="single" w:color="auto" w:sz="4" w:space="0"/>
                  </w:tcBorders>
                  <w:noWrap w:val="0"/>
                  <w:vAlign w:val="center"/>
                </w:tcPr>
                <w:p w14:paraId="03A32211">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p>
              </w:tc>
              <w:tc>
                <w:tcPr>
                  <w:tcW w:w="403" w:type="pct"/>
                  <w:tcBorders>
                    <w:top w:val="single" w:color="auto" w:sz="4" w:space="0"/>
                    <w:left w:val="single" w:color="auto" w:sz="4" w:space="0"/>
                    <w:bottom w:val="single" w:color="auto" w:sz="4" w:space="0"/>
                    <w:right w:val="single" w:color="auto" w:sz="4" w:space="0"/>
                  </w:tcBorders>
                  <w:noWrap w:val="0"/>
                  <w:vAlign w:val="center"/>
                </w:tcPr>
                <w:p w14:paraId="53E31F45">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颗粒物</w:t>
                  </w:r>
                </w:p>
              </w:tc>
              <w:tc>
                <w:tcPr>
                  <w:tcW w:w="412" w:type="pct"/>
                  <w:tcBorders>
                    <w:top w:val="single" w:color="auto" w:sz="4" w:space="0"/>
                    <w:left w:val="single" w:color="auto" w:sz="4" w:space="0"/>
                    <w:bottom w:val="single" w:color="auto" w:sz="4" w:space="0"/>
                    <w:right w:val="single" w:color="auto" w:sz="4" w:space="0"/>
                  </w:tcBorders>
                  <w:noWrap w:val="0"/>
                  <w:vAlign w:val="center"/>
                </w:tcPr>
                <w:p w14:paraId="71FA1A8C">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二氧化硫</w:t>
                  </w:r>
                </w:p>
              </w:tc>
              <w:tc>
                <w:tcPr>
                  <w:tcW w:w="459" w:type="pct"/>
                  <w:tcBorders>
                    <w:top w:val="single" w:color="auto" w:sz="4" w:space="0"/>
                    <w:left w:val="single" w:color="auto" w:sz="4" w:space="0"/>
                    <w:bottom w:val="single" w:color="auto" w:sz="4" w:space="0"/>
                    <w:right w:val="nil"/>
                  </w:tcBorders>
                  <w:noWrap w:val="0"/>
                  <w:vAlign w:val="center"/>
                </w:tcPr>
                <w:p w14:paraId="097CBEB8">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eastAsia="宋体" w:cs="Times New Roman"/>
                      <w:color w:val="auto"/>
                      <w:kern w:val="2"/>
                      <w:sz w:val="21"/>
                      <w:szCs w:val="21"/>
                      <w:highlight w:val="none"/>
                      <w:u w:val="single" w:color="auto"/>
                      <w:lang w:val="en-US" w:eastAsia="zh-CN"/>
                    </w:rPr>
                    <w:t>氮氧化物</w:t>
                  </w:r>
                </w:p>
              </w:tc>
              <w:tc>
                <w:tcPr>
                  <w:tcW w:w="489" w:type="pct"/>
                  <w:vMerge w:val="continue"/>
                  <w:tcBorders>
                    <w:left w:val="single" w:color="auto" w:sz="4" w:space="0"/>
                    <w:bottom w:val="single" w:color="auto" w:sz="4" w:space="0"/>
                    <w:right w:val="nil"/>
                  </w:tcBorders>
                  <w:noWrap w:val="0"/>
                  <w:vAlign w:val="center"/>
                </w:tcPr>
                <w:p w14:paraId="5DEAF205">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p>
              </w:tc>
            </w:tr>
            <w:tr w14:paraId="53BC45CE">
              <w:tblPrEx>
                <w:tblBorders>
                  <w:top w:val="single" w:color="auto" w:sz="12" w:space="0"/>
                  <w:left w:val="none" w:color="auto" w:sz="4" w:space="0"/>
                  <w:bottom w:val="single" w:color="auto" w:sz="12" w:space="0"/>
                  <w:right w:val="non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jc w:val="center"/>
              </w:trPr>
              <w:tc>
                <w:tcPr>
                  <w:tcW w:w="297" w:type="pct"/>
                  <w:tcBorders>
                    <w:top w:val="single" w:color="auto" w:sz="4" w:space="0"/>
                    <w:left w:val="nil"/>
                    <w:bottom w:val="single" w:color="auto" w:sz="4" w:space="0"/>
                    <w:right w:val="single" w:color="auto" w:sz="4" w:space="0"/>
                  </w:tcBorders>
                  <w:noWrap w:val="0"/>
                  <w:vAlign w:val="center"/>
                </w:tcPr>
                <w:p w14:paraId="7C5A1623">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default" w:ascii="Times New Roman" w:hAnsi="Times New Roman" w:cs="Times New Roman"/>
                      <w:color w:val="auto"/>
                      <w:kern w:val="2"/>
                      <w:sz w:val="21"/>
                      <w:szCs w:val="21"/>
                      <w:highlight w:val="none"/>
                      <w:u w:val="single" w:color="auto"/>
                      <w:lang w:val="en-US" w:eastAsia="zh-CN"/>
                    </w:rPr>
                    <w:t>DA001</w:t>
                  </w:r>
                </w:p>
              </w:tc>
              <w:tc>
                <w:tcPr>
                  <w:tcW w:w="318" w:type="pct"/>
                  <w:tcBorders>
                    <w:top w:val="single" w:color="auto" w:sz="4" w:space="0"/>
                    <w:left w:val="single" w:color="auto" w:sz="4" w:space="0"/>
                    <w:bottom w:val="single" w:color="auto" w:sz="4" w:space="0"/>
                    <w:right w:val="single" w:color="auto" w:sz="4" w:space="0"/>
                  </w:tcBorders>
                  <w:noWrap w:val="0"/>
                  <w:vAlign w:val="center"/>
                </w:tcPr>
                <w:p w14:paraId="08BE2089">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热风炉烟囱</w:t>
                  </w:r>
                </w:p>
              </w:tc>
              <w:tc>
                <w:tcPr>
                  <w:tcW w:w="394" w:type="pct"/>
                  <w:tcBorders>
                    <w:top w:val="single" w:color="auto" w:sz="4" w:space="0"/>
                    <w:left w:val="single" w:color="auto" w:sz="4" w:space="0"/>
                    <w:bottom w:val="single" w:color="auto" w:sz="4" w:space="0"/>
                    <w:right w:val="single" w:color="auto" w:sz="4" w:space="0"/>
                  </w:tcBorders>
                  <w:noWrap w:val="0"/>
                  <w:vAlign w:val="center"/>
                </w:tcPr>
                <w:p w14:paraId="7A715B36">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eastAsia="宋体" w:cs="Times New Roman"/>
                      <w:color w:val="auto"/>
                      <w:kern w:val="2"/>
                      <w:sz w:val="21"/>
                      <w:szCs w:val="21"/>
                      <w:highlight w:val="none"/>
                      <w:u w:val="single" w:color="auto"/>
                      <w:lang w:val="en-US" w:eastAsia="zh-CN"/>
                    </w:rPr>
                    <w:t>126.18074656</w:t>
                  </w:r>
                </w:p>
              </w:tc>
              <w:tc>
                <w:tcPr>
                  <w:tcW w:w="318" w:type="pct"/>
                  <w:tcBorders>
                    <w:top w:val="single" w:color="auto" w:sz="4" w:space="0"/>
                    <w:left w:val="single" w:color="auto" w:sz="4" w:space="0"/>
                    <w:bottom w:val="single" w:color="auto" w:sz="4" w:space="0"/>
                    <w:right w:val="single" w:color="auto" w:sz="4" w:space="0"/>
                  </w:tcBorders>
                  <w:noWrap w:val="0"/>
                  <w:vAlign w:val="center"/>
                </w:tcPr>
                <w:p w14:paraId="0D97D4B5">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eastAsia="宋体" w:cs="Times New Roman"/>
                      <w:color w:val="auto"/>
                      <w:kern w:val="2"/>
                      <w:sz w:val="21"/>
                      <w:szCs w:val="21"/>
                      <w:highlight w:val="none"/>
                      <w:u w:val="single" w:color="auto"/>
                      <w:lang w:val="en-US" w:eastAsia="zh-CN"/>
                    </w:rPr>
                    <w:t>43.46425398</w:t>
                  </w:r>
                </w:p>
              </w:tc>
              <w:tc>
                <w:tcPr>
                  <w:tcW w:w="318" w:type="pct"/>
                  <w:tcBorders>
                    <w:top w:val="single" w:color="auto" w:sz="4" w:space="0"/>
                    <w:left w:val="single" w:color="auto" w:sz="4" w:space="0"/>
                    <w:bottom w:val="single" w:color="auto" w:sz="4" w:space="0"/>
                    <w:right w:val="single" w:color="auto" w:sz="4" w:space="0"/>
                  </w:tcBorders>
                  <w:noWrap w:val="0"/>
                  <w:vAlign w:val="center"/>
                </w:tcPr>
                <w:p w14:paraId="57B50393">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18</w:t>
                  </w:r>
                </w:p>
              </w:tc>
              <w:tc>
                <w:tcPr>
                  <w:tcW w:w="365" w:type="pct"/>
                  <w:tcBorders>
                    <w:top w:val="single" w:color="auto" w:sz="4" w:space="0"/>
                    <w:left w:val="single" w:color="auto" w:sz="4" w:space="0"/>
                    <w:bottom w:val="single" w:color="auto" w:sz="4" w:space="0"/>
                    <w:right w:val="single" w:color="auto" w:sz="4" w:space="0"/>
                  </w:tcBorders>
                  <w:noWrap w:val="0"/>
                  <w:vAlign w:val="center"/>
                </w:tcPr>
                <w:p w14:paraId="1D3DDE6D">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0.3</w:t>
                  </w:r>
                </w:p>
              </w:tc>
              <w:tc>
                <w:tcPr>
                  <w:tcW w:w="375" w:type="pct"/>
                  <w:tcBorders>
                    <w:top w:val="single" w:color="auto" w:sz="4" w:space="0"/>
                    <w:left w:val="single" w:color="auto" w:sz="4" w:space="0"/>
                    <w:bottom w:val="single" w:color="auto" w:sz="4" w:space="0"/>
                    <w:right w:val="single" w:color="auto" w:sz="4" w:space="0"/>
                  </w:tcBorders>
                  <w:noWrap w:val="0"/>
                  <w:vAlign w:val="center"/>
                </w:tcPr>
                <w:p w14:paraId="44D75046">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25.45</w:t>
                  </w:r>
                </w:p>
              </w:tc>
              <w:tc>
                <w:tcPr>
                  <w:tcW w:w="412" w:type="pct"/>
                  <w:tcBorders>
                    <w:top w:val="single" w:color="auto" w:sz="4" w:space="0"/>
                    <w:left w:val="single" w:color="auto" w:sz="4" w:space="0"/>
                    <w:bottom w:val="single" w:color="auto" w:sz="4" w:space="0"/>
                    <w:right w:val="single" w:color="auto" w:sz="4" w:space="0"/>
                  </w:tcBorders>
                  <w:noWrap w:val="0"/>
                  <w:vAlign w:val="center"/>
                </w:tcPr>
                <w:p w14:paraId="56FDD9D5">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120</w:t>
                  </w:r>
                </w:p>
              </w:tc>
              <w:tc>
                <w:tcPr>
                  <w:tcW w:w="431" w:type="pct"/>
                  <w:tcBorders>
                    <w:top w:val="single" w:color="auto" w:sz="4" w:space="0"/>
                    <w:left w:val="single" w:color="auto" w:sz="4" w:space="0"/>
                    <w:bottom w:val="single" w:color="auto" w:sz="4" w:space="0"/>
                    <w:right w:val="single" w:color="auto" w:sz="4" w:space="0"/>
                  </w:tcBorders>
                  <w:noWrap w:val="0"/>
                  <w:vAlign w:val="center"/>
                </w:tcPr>
                <w:p w14:paraId="45009C94">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1200</w:t>
                  </w:r>
                </w:p>
              </w:tc>
              <w:tc>
                <w:tcPr>
                  <w:tcW w:w="403" w:type="pct"/>
                  <w:tcBorders>
                    <w:top w:val="single" w:color="auto" w:sz="4" w:space="0"/>
                    <w:left w:val="single" w:color="auto" w:sz="4" w:space="0"/>
                    <w:bottom w:val="single" w:color="auto" w:sz="4" w:space="0"/>
                    <w:right w:val="single" w:color="auto" w:sz="4" w:space="0"/>
                  </w:tcBorders>
                  <w:noWrap w:val="0"/>
                  <w:vAlign w:val="center"/>
                </w:tcPr>
                <w:p w14:paraId="21CD170E">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0.95</w:t>
                  </w:r>
                </w:p>
              </w:tc>
              <w:tc>
                <w:tcPr>
                  <w:tcW w:w="412" w:type="pct"/>
                  <w:tcBorders>
                    <w:top w:val="single" w:color="auto" w:sz="4" w:space="0"/>
                    <w:left w:val="single" w:color="auto" w:sz="4" w:space="0"/>
                    <w:bottom w:val="single" w:color="auto" w:sz="4" w:space="0"/>
                    <w:right w:val="single" w:color="auto" w:sz="4" w:space="0"/>
                  </w:tcBorders>
                  <w:noWrap w:val="0"/>
                  <w:vAlign w:val="center"/>
                </w:tcPr>
                <w:p w14:paraId="0C743A55">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0.17</w:t>
                  </w:r>
                </w:p>
              </w:tc>
              <w:tc>
                <w:tcPr>
                  <w:tcW w:w="459" w:type="pct"/>
                  <w:tcBorders>
                    <w:top w:val="single" w:color="auto" w:sz="4" w:space="0"/>
                    <w:left w:val="single" w:color="auto" w:sz="4" w:space="0"/>
                    <w:bottom w:val="single" w:color="auto" w:sz="4" w:space="0"/>
                    <w:right w:val="nil"/>
                  </w:tcBorders>
                  <w:noWrap w:val="0"/>
                  <w:vAlign w:val="center"/>
                </w:tcPr>
                <w:p w14:paraId="74BB0A49">
                  <w:pPr>
                    <w:pStyle w:val="24"/>
                    <w:keepNext w:val="0"/>
                    <w:keepLines w:val="0"/>
                    <w:widowControl w:val="0"/>
                    <w:suppressLineNumbers w:val="0"/>
                    <w:autoSpaceDE w:val="0"/>
                    <w:autoSpaceDN/>
                    <w:spacing w:before="100" w:beforeAutospacing="1" w:after="100" w:afterAutospacing="1"/>
                    <w:ind w:left="0" w:leftChars="0" w:right="0"/>
                    <w:jc w:val="center"/>
                    <w:rPr>
                      <w:rFonts w:hint="default" w:ascii="Times New Roman" w:hAnsi="Times New Roman" w:eastAsia="宋体"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1.06</w:t>
                  </w:r>
                </w:p>
              </w:tc>
              <w:tc>
                <w:tcPr>
                  <w:tcW w:w="489" w:type="pct"/>
                  <w:tcBorders>
                    <w:top w:val="single" w:color="auto" w:sz="4" w:space="0"/>
                    <w:left w:val="single" w:color="auto" w:sz="4" w:space="0"/>
                    <w:bottom w:val="single" w:color="auto" w:sz="4" w:space="0"/>
                    <w:right w:val="nil"/>
                  </w:tcBorders>
                  <w:noWrap w:val="0"/>
                  <w:vAlign w:val="center"/>
                </w:tcPr>
                <w:p w14:paraId="7C5CED64">
                  <w:pPr>
                    <w:pStyle w:val="24"/>
                    <w:keepNext w:val="0"/>
                    <w:keepLines w:val="0"/>
                    <w:widowControl w:val="0"/>
                    <w:suppressLineNumbers w:val="0"/>
                    <w:autoSpaceDE w:val="0"/>
                    <w:autoSpaceDN/>
                    <w:spacing w:before="100" w:beforeAutospacing="1" w:after="100" w:afterAutospacing="1"/>
                    <w:ind w:left="0" w:leftChars="0" w:right="0"/>
                    <w:jc w:val="center"/>
                    <w:rPr>
                      <w:rFonts w:hint="eastAsia" w:ascii="Times New Roman" w:hAnsi="Times New Roman" w:cs="Times New Roman"/>
                      <w:color w:val="auto"/>
                      <w:kern w:val="2"/>
                      <w:sz w:val="21"/>
                      <w:szCs w:val="21"/>
                      <w:highlight w:val="none"/>
                      <w:u w:val="single" w:color="auto"/>
                      <w:lang w:val="en-US" w:eastAsia="zh-CN"/>
                    </w:rPr>
                  </w:pPr>
                  <w:r>
                    <w:rPr>
                      <w:rFonts w:hint="eastAsia" w:ascii="Times New Roman" w:hAnsi="Times New Roman" w:cs="Times New Roman"/>
                      <w:color w:val="auto"/>
                      <w:kern w:val="2"/>
                      <w:sz w:val="21"/>
                      <w:szCs w:val="21"/>
                      <w:highlight w:val="none"/>
                      <w:u w:val="single" w:color="auto"/>
                      <w:lang w:val="en-US" w:eastAsia="zh-CN"/>
                    </w:rPr>
                    <w:t>一般排放口</w:t>
                  </w:r>
                </w:p>
              </w:tc>
            </w:tr>
          </w:tbl>
          <w:p w14:paraId="44D6B70E">
            <w:pPr>
              <w:keepNext w:val="0"/>
              <w:keepLines w:val="0"/>
              <w:pageBreakBefore w:val="0"/>
              <w:widowControl w:val="0"/>
              <w:kinsoku/>
              <w:wordWrap/>
              <w:overflowPunct/>
              <w:topLinePunct w:val="0"/>
              <w:autoSpaceDE w:val="0"/>
              <w:autoSpaceDN w:val="0"/>
              <w:bidi w:val="0"/>
              <w:adjustRightInd w:val="0"/>
              <w:snapToGrid w:val="0"/>
              <w:spacing w:line="240" w:lineRule="auto"/>
              <w:ind w:firstLine="420" w:firstLineChars="200"/>
              <w:jc w:val="both"/>
              <w:textAlignment w:val="auto"/>
              <w:rPr>
                <w:rFonts w:hint="default" w:ascii="Times New Roman" w:hAnsi="Times New Roman" w:eastAsia="宋体" w:cs="Times New Roman"/>
                <w:color w:val="auto"/>
                <w:spacing w:val="0"/>
                <w:kern w:val="21"/>
                <w:sz w:val="21"/>
                <w:szCs w:val="21"/>
                <w:highlight w:val="none"/>
                <w:u w:val="none" w:color="auto"/>
                <w:lang w:val="en-US" w:eastAsia="zh-CN" w:bidi="ar-SA"/>
              </w:rPr>
            </w:pPr>
          </w:p>
          <w:p w14:paraId="0C5DC8BB">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none" w:color="auto"/>
                <w:lang w:val="en-US" w:eastAsia="zh-CN"/>
              </w:rPr>
            </w:pPr>
            <w:r>
              <w:rPr>
                <w:rFonts w:hint="eastAsia" w:cs="Times New Roman"/>
                <w:b w:val="0"/>
                <w:bCs w:val="0"/>
                <w:color w:val="auto"/>
                <w:sz w:val="24"/>
                <w:szCs w:val="24"/>
                <w:highlight w:val="none"/>
                <w:u w:val="none" w:color="auto"/>
                <w:lang w:val="en-US" w:eastAsia="zh-CN"/>
              </w:rPr>
              <w:t>4.6</w:t>
            </w:r>
            <w:r>
              <w:rPr>
                <w:rFonts w:hint="default" w:ascii="Times New Roman" w:hAnsi="Times New Roman" w:eastAsia="宋体" w:cs="Times New Roman"/>
                <w:b w:val="0"/>
                <w:bCs w:val="0"/>
                <w:color w:val="auto"/>
                <w:sz w:val="24"/>
                <w:szCs w:val="24"/>
                <w:highlight w:val="none"/>
                <w:u w:val="none" w:color="auto"/>
                <w:lang w:val="en-US" w:eastAsia="zh-CN"/>
              </w:rPr>
              <w:t>.2无组织废气</w:t>
            </w:r>
          </w:p>
          <w:p w14:paraId="08CF2AE0">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①装卸粉尘</w:t>
            </w:r>
          </w:p>
          <w:p w14:paraId="43914AE7">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singl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本项目装卸粉尘主要为原料玉米的装卸粉尘。玉米仓储在厂区作业过程中由于玉米的频繁运输、玉米粒的运动和摩擦而产生粉尘污染</w:t>
            </w:r>
            <w:r>
              <w:rPr>
                <w:rFonts w:hint="default" w:ascii="Times New Roman" w:hAnsi="Times New Roman" w:eastAsia="宋体" w:cs="Times New Roman"/>
                <w:b w:val="0"/>
                <w:bCs w:val="0"/>
                <w:color w:val="auto"/>
                <w:sz w:val="24"/>
                <w:szCs w:val="24"/>
                <w:highlight w:val="none"/>
                <w:u w:val="single" w:color="auto"/>
                <w:lang w:val="en-US" w:eastAsia="zh-CN"/>
              </w:rPr>
              <w:t>，在玉米接收、入仓、出仓、进出玉米运输、打包</w:t>
            </w:r>
            <w:r>
              <w:rPr>
                <w:rFonts w:hint="eastAsia" w:cs="Times New Roman"/>
                <w:b w:val="0"/>
                <w:bCs w:val="0"/>
                <w:color w:val="auto"/>
                <w:sz w:val="24"/>
                <w:szCs w:val="24"/>
                <w:highlight w:val="none"/>
                <w:u w:val="single" w:color="auto"/>
                <w:lang w:val="en-US" w:eastAsia="zh-CN"/>
              </w:rPr>
              <w:t>、装卸</w:t>
            </w:r>
            <w:r>
              <w:rPr>
                <w:rFonts w:hint="default" w:ascii="Times New Roman" w:hAnsi="Times New Roman" w:eastAsia="宋体" w:cs="Times New Roman"/>
                <w:b w:val="0"/>
                <w:bCs w:val="0"/>
                <w:color w:val="auto"/>
                <w:sz w:val="24"/>
                <w:szCs w:val="24"/>
                <w:highlight w:val="none"/>
                <w:u w:val="single" w:color="auto"/>
                <w:lang w:val="en-US" w:eastAsia="zh-CN"/>
              </w:rPr>
              <w:t>过程中会有粉尘</w:t>
            </w:r>
            <w:r>
              <w:rPr>
                <w:rFonts w:hint="eastAsia" w:cs="Times New Roman"/>
                <w:b w:val="0"/>
                <w:bCs w:val="0"/>
                <w:color w:val="auto"/>
                <w:sz w:val="24"/>
                <w:szCs w:val="24"/>
                <w:highlight w:val="none"/>
                <w:u w:val="single" w:color="auto"/>
                <w:lang w:val="en-US" w:eastAsia="zh-CN"/>
              </w:rPr>
              <w:t>泄漏</w:t>
            </w:r>
            <w:r>
              <w:rPr>
                <w:rFonts w:hint="default" w:ascii="Times New Roman" w:hAnsi="Times New Roman" w:eastAsia="宋体" w:cs="Times New Roman"/>
                <w:b w:val="0"/>
                <w:bCs w:val="0"/>
                <w:color w:val="auto"/>
                <w:sz w:val="24"/>
                <w:szCs w:val="24"/>
                <w:highlight w:val="none"/>
                <w:u w:val="single" w:color="auto"/>
                <w:lang w:val="en-US" w:eastAsia="zh-CN"/>
              </w:rPr>
              <w:t>出来</w:t>
            </w:r>
            <w:r>
              <w:rPr>
                <w:rFonts w:hint="default" w:ascii="Times New Roman" w:hAnsi="Times New Roman" w:eastAsia="宋体" w:cs="Times New Roman"/>
                <w:b w:val="0"/>
                <w:bCs w:val="0"/>
                <w:color w:val="auto"/>
                <w:sz w:val="24"/>
                <w:szCs w:val="24"/>
                <w:highlight w:val="none"/>
                <w:u w:val="none" w:color="auto"/>
                <w:lang w:val="en-US" w:eastAsia="zh-CN"/>
              </w:rPr>
              <w:t>，受原料的湿度、温度以及天气和管理水平影响较大。</w:t>
            </w:r>
            <w:r>
              <w:rPr>
                <w:rFonts w:hint="default" w:ascii="Times New Roman" w:hAnsi="Times New Roman" w:eastAsia="宋体" w:cs="Times New Roman"/>
                <w:b w:val="0"/>
                <w:bCs w:val="0"/>
                <w:color w:val="auto"/>
                <w:sz w:val="24"/>
                <w:szCs w:val="24"/>
                <w:highlight w:val="none"/>
                <w:u w:val="single" w:color="auto"/>
                <w:lang w:val="en-US" w:eastAsia="zh-CN"/>
              </w:rPr>
              <w:t>年装卸湿玉米</w:t>
            </w:r>
            <w:r>
              <w:rPr>
                <w:rFonts w:hint="eastAsia" w:cs="Times New Roman"/>
                <w:b w:val="0"/>
                <w:bCs w:val="0"/>
                <w:color w:val="auto"/>
                <w:sz w:val="24"/>
                <w:szCs w:val="24"/>
                <w:highlight w:val="none"/>
                <w:u w:val="single" w:color="auto"/>
                <w:lang w:val="en-US" w:eastAsia="zh-CN"/>
              </w:rPr>
              <w:t>15000</w:t>
            </w:r>
            <w:r>
              <w:rPr>
                <w:rFonts w:hint="default" w:ascii="Times New Roman" w:hAnsi="Times New Roman" w:eastAsia="宋体" w:cs="Times New Roman"/>
                <w:b w:val="0"/>
                <w:bCs w:val="0"/>
                <w:color w:val="auto"/>
                <w:sz w:val="24"/>
                <w:szCs w:val="24"/>
                <w:highlight w:val="none"/>
                <w:u w:val="single" w:color="auto"/>
                <w:lang w:val="en-US" w:eastAsia="zh-CN"/>
              </w:rPr>
              <w:t>t，参考《逸散性工业粉尘控制技术》可知，产污系数为0.002kg/t-原料，年工作</w:t>
            </w:r>
            <w:r>
              <w:rPr>
                <w:rFonts w:hint="eastAsia" w:cs="Times New Roman"/>
                <w:b w:val="0"/>
                <w:bCs w:val="0"/>
                <w:color w:val="auto"/>
                <w:sz w:val="24"/>
                <w:szCs w:val="24"/>
                <w:highlight w:val="none"/>
                <w:u w:val="single" w:color="auto"/>
                <w:lang w:val="en-US" w:eastAsia="zh-CN"/>
              </w:rPr>
              <w:t>1200</w:t>
            </w:r>
            <w:r>
              <w:rPr>
                <w:rFonts w:hint="default" w:ascii="Times New Roman" w:hAnsi="Times New Roman" w:eastAsia="宋体" w:cs="Times New Roman"/>
                <w:b w:val="0"/>
                <w:bCs w:val="0"/>
                <w:color w:val="auto"/>
                <w:sz w:val="24"/>
                <w:szCs w:val="24"/>
                <w:highlight w:val="none"/>
                <w:u w:val="single" w:color="auto"/>
                <w:lang w:val="en-US" w:eastAsia="zh-CN"/>
              </w:rPr>
              <w:t>h，则装卸粉尘产生量约为</w:t>
            </w:r>
            <w:r>
              <w:rPr>
                <w:rFonts w:hint="eastAsia" w:cs="Times New Roman"/>
                <w:b w:val="0"/>
                <w:bCs w:val="0"/>
                <w:color w:val="auto"/>
                <w:sz w:val="24"/>
                <w:szCs w:val="24"/>
                <w:highlight w:val="none"/>
                <w:u w:val="single" w:color="auto"/>
                <w:lang w:val="en-US" w:eastAsia="zh-CN"/>
              </w:rPr>
              <w:t>0.03</w:t>
            </w:r>
            <w:r>
              <w:rPr>
                <w:rFonts w:hint="default" w:ascii="Times New Roman" w:hAnsi="Times New Roman" w:eastAsia="宋体" w:cs="Times New Roman"/>
                <w:b w:val="0"/>
                <w:bCs w:val="0"/>
                <w:color w:val="auto"/>
                <w:sz w:val="24"/>
                <w:szCs w:val="24"/>
                <w:highlight w:val="none"/>
                <w:u w:val="single" w:color="auto"/>
                <w:lang w:val="en-US" w:eastAsia="zh-CN"/>
              </w:rPr>
              <w:t>/a。经控制</w:t>
            </w:r>
            <w:r>
              <w:rPr>
                <w:rFonts w:hint="eastAsia" w:cs="Times New Roman"/>
                <w:b w:val="0"/>
                <w:bCs w:val="0"/>
                <w:color w:val="auto"/>
                <w:sz w:val="24"/>
                <w:szCs w:val="24"/>
                <w:highlight w:val="none"/>
                <w:u w:val="single" w:color="auto"/>
                <w:lang w:val="en-US" w:eastAsia="zh-CN"/>
              </w:rPr>
              <w:t>提升机及</w:t>
            </w:r>
            <w:r>
              <w:rPr>
                <w:rFonts w:hint="default" w:ascii="Times New Roman" w:hAnsi="Times New Roman" w:eastAsia="宋体" w:cs="Times New Roman"/>
                <w:b w:val="0"/>
                <w:bCs w:val="0"/>
                <w:color w:val="auto"/>
                <w:sz w:val="24"/>
                <w:szCs w:val="24"/>
                <w:highlight w:val="none"/>
                <w:u w:val="single" w:color="auto"/>
                <w:lang w:val="en-US" w:eastAsia="zh-CN"/>
              </w:rPr>
              <w:t>输送带装卸及减缓装卸速度，输送带密闭，可抑制80%粉尘排放，则粉尘排放量为0.0</w:t>
            </w:r>
            <w:r>
              <w:rPr>
                <w:rFonts w:hint="eastAsia" w:cs="Times New Roman"/>
                <w:b w:val="0"/>
                <w:bCs w:val="0"/>
                <w:color w:val="auto"/>
                <w:sz w:val="24"/>
                <w:szCs w:val="24"/>
                <w:highlight w:val="none"/>
                <w:u w:val="single" w:color="auto"/>
                <w:lang w:val="en-US" w:eastAsia="zh-CN"/>
              </w:rPr>
              <w:t>06</w:t>
            </w:r>
            <w:r>
              <w:rPr>
                <w:rFonts w:hint="default" w:ascii="Times New Roman" w:hAnsi="Times New Roman" w:eastAsia="宋体" w:cs="Times New Roman"/>
                <w:b w:val="0"/>
                <w:bCs w:val="0"/>
                <w:color w:val="auto"/>
                <w:sz w:val="24"/>
                <w:szCs w:val="24"/>
                <w:highlight w:val="none"/>
                <w:u w:val="single" w:color="auto"/>
                <w:lang w:val="en-US" w:eastAsia="zh-CN"/>
              </w:rPr>
              <w:t>t/a。</w:t>
            </w:r>
          </w:p>
          <w:p w14:paraId="0292A59C">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②筛分废气</w:t>
            </w:r>
          </w:p>
          <w:p w14:paraId="18BA33FA">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singl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玉米筛分是去除玉米中轻杂质的重要环节，小于筛孔眼的物料落下，大于筛孔眼的大杂质流向尾端进入大杂质出口。根据《逸散性工业粉尘控制技术》（中国环境科学出版社），筛分处理过程颗粒物排放量在无控制措施情况产生系数取值区间为0.1kg/t~4.6kg/t产品。玉米中粉尘的含量受原料的湿度、温度以及天气等因素有关由于粮食筛分为潮粮筛分，</w:t>
            </w:r>
            <w:r>
              <w:rPr>
                <w:rFonts w:hint="default" w:ascii="Times New Roman" w:hAnsi="Times New Roman" w:eastAsia="宋体" w:cs="Times New Roman"/>
                <w:b w:val="0"/>
                <w:bCs w:val="0"/>
                <w:color w:val="auto"/>
                <w:sz w:val="24"/>
                <w:szCs w:val="24"/>
                <w:highlight w:val="none"/>
                <w:u w:val="single" w:color="auto"/>
                <w:lang w:val="en-US" w:eastAsia="zh-CN"/>
              </w:rPr>
              <w:t>粉尘产生量较小，故粉尘系数取值0.1kg/t产品，年</w:t>
            </w:r>
            <w:r>
              <w:rPr>
                <w:rFonts w:hint="eastAsia" w:cs="Times New Roman"/>
                <w:b w:val="0"/>
                <w:bCs w:val="0"/>
                <w:color w:val="auto"/>
                <w:sz w:val="24"/>
                <w:szCs w:val="24"/>
                <w:highlight w:val="none"/>
                <w:u w:val="single" w:color="auto"/>
                <w:lang w:val="en-US" w:eastAsia="zh-CN"/>
              </w:rPr>
              <w:t>产干</w:t>
            </w:r>
            <w:r>
              <w:rPr>
                <w:rFonts w:hint="default" w:ascii="Times New Roman" w:hAnsi="Times New Roman" w:eastAsia="宋体" w:cs="Times New Roman"/>
                <w:b w:val="0"/>
                <w:bCs w:val="0"/>
                <w:color w:val="auto"/>
                <w:sz w:val="24"/>
                <w:szCs w:val="24"/>
                <w:highlight w:val="none"/>
                <w:u w:val="single" w:color="auto"/>
                <w:lang w:val="en-US" w:eastAsia="zh-CN"/>
              </w:rPr>
              <w:t>玉米</w:t>
            </w:r>
            <w:r>
              <w:rPr>
                <w:rFonts w:hint="eastAsia" w:cs="Times New Roman"/>
                <w:b w:val="0"/>
                <w:bCs w:val="0"/>
                <w:color w:val="auto"/>
                <w:sz w:val="24"/>
                <w:szCs w:val="24"/>
                <w:highlight w:val="none"/>
                <w:u w:val="single" w:color="auto"/>
                <w:lang w:val="en-US" w:eastAsia="zh-CN"/>
              </w:rPr>
              <w:t>12383.72</w:t>
            </w:r>
            <w:r>
              <w:rPr>
                <w:rFonts w:hint="default" w:ascii="Times New Roman" w:hAnsi="Times New Roman" w:eastAsia="宋体" w:cs="Times New Roman"/>
                <w:b w:val="0"/>
                <w:bCs w:val="0"/>
                <w:color w:val="auto"/>
                <w:sz w:val="24"/>
                <w:szCs w:val="24"/>
                <w:highlight w:val="none"/>
                <w:u w:val="single" w:color="auto"/>
                <w:lang w:val="en-US" w:eastAsia="zh-CN"/>
              </w:rPr>
              <w:t>t，则筛分产生的粉尘产生量为</w:t>
            </w:r>
            <w:r>
              <w:rPr>
                <w:rFonts w:hint="eastAsia" w:cs="Times New Roman"/>
                <w:b w:val="0"/>
                <w:bCs w:val="0"/>
                <w:color w:val="auto"/>
                <w:sz w:val="24"/>
                <w:szCs w:val="24"/>
                <w:highlight w:val="none"/>
                <w:u w:val="single" w:color="auto"/>
                <w:lang w:val="en-US" w:eastAsia="zh-CN"/>
              </w:rPr>
              <w:t>1.238</w:t>
            </w:r>
            <w:r>
              <w:rPr>
                <w:rFonts w:hint="default" w:ascii="Times New Roman" w:hAnsi="Times New Roman" w:eastAsia="宋体" w:cs="Times New Roman"/>
                <w:b w:val="0"/>
                <w:bCs w:val="0"/>
                <w:color w:val="auto"/>
                <w:sz w:val="24"/>
                <w:szCs w:val="24"/>
                <w:highlight w:val="none"/>
                <w:u w:val="single" w:color="auto"/>
                <w:lang w:val="en-US" w:eastAsia="zh-CN"/>
              </w:rPr>
              <w:t>t/a。粮食在筛分过程中会产生粉尘，企业在</w:t>
            </w:r>
            <w:r>
              <w:rPr>
                <w:rFonts w:hint="eastAsia" w:cs="Times New Roman"/>
                <w:b w:val="0"/>
                <w:bCs w:val="0"/>
                <w:color w:val="auto"/>
                <w:sz w:val="24"/>
                <w:szCs w:val="24"/>
                <w:highlight w:val="none"/>
                <w:u w:val="single" w:color="auto"/>
                <w:lang w:val="en-US" w:eastAsia="zh-CN"/>
              </w:rPr>
              <w:t>圆筒筛</w:t>
            </w:r>
            <w:r>
              <w:rPr>
                <w:rFonts w:hint="default" w:ascii="Times New Roman" w:hAnsi="Times New Roman" w:eastAsia="宋体" w:cs="Times New Roman"/>
                <w:b w:val="0"/>
                <w:bCs w:val="0"/>
                <w:color w:val="auto"/>
                <w:sz w:val="24"/>
                <w:szCs w:val="24"/>
                <w:highlight w:val="none"/>
                <w:u w:val="single" w:color="auto"/>
                <w:lang w:val="en-US" w:eastAsia="zh-CN"/>
              </w:rPr>
              <w:t>上安置密封罩，设备连接处加入密封胶，可抑制粉尘的排放，可抑制</w:t>
            </w:r>
            <w:r>
              <w:rPr>
                <w:rFonts w:hint="eastAsia" w:cs="Times New Roman"/>
                <w:b w:val="0"/>
                <w:bCs w:val="0"/>
                <w:color w:val="auto"/>
                <w:sz w:val="24"/>
                <w:szCs w:val="24"/>
                <w:highlight w:val="none"/>
                <w:u w:val="single" w:color="auto"/>
                <w:lang w:val="en-US" w:eastAsia="zh-CN"/>
              </w:rPr>
              <w:t>8</w:t>
            </w:r>
            <w:r>
              <w:rPr>
                <w:rFonts w:hint="default" w:ascii="Times New Roman" w:hAnsi="Times New Roman" w:eastAsia="宋体" w:cs="Times New Roman"/>
                <w:b w:val="0"/>
                <w:bCs w:val="0"/>
                <w:color w:val="auto"/>
                <w:sz w:val="24"/>
                <w:szCs w:val="24"/>
                <w:highlight w:val="none"/>
                <w:u w:val="single" w:color="auto"/>
                <w:lang w:val="en-US" w:eastAsia="zh-CN"/>
              </w:rPr>
              <w:t>0%粉尘排放，则筛分粉尘排放量约为</w:t>
            </w:r>
            <w:r>
              <w:rPr>
                <w:rFonts w:hint="eastAsia" w:cs="Times New Roman"/>
                <w:b w:val="0"/>
                <w:bCs w:val="0"/>
                <w:color w:val="auto"/>
                <w:sz w:val="24"/>
                <w:szCs w:val="24"/>
                <w:highlight w:val="none"/>
                <w:u w:val="single" w:color="auto"/>
                <w:lang w:val="en-US" w:eastAsia="zh-CN"/>
              </w:rPr>
              <w:t>0.248</w:t>
            </w:r>
            <w:r>
              <w:rPr>
                <w:rFonts w:hint="default" w:ascii="Times New Roman" w:hAnsi="Times New Roman" w:eastAsia="宋体" w:cs="Times New Roman"/>
                <w:b w:val="0"/>
                <w:bCs w:val="0"/>
                <w:color w:val="auto"/>
                <w:sz w:val="24"/>
                <w:szCs w:val="24"/>
                <w:highlight w:val="none"/>
                <w:u w:val="single" w:color="auto"/>
                <w:lang w:val="en-US" w:eastAsia="zh-CN"/>
              </w:rPr>
              <w:t>t/a。</w:t>
            </w:r>
          </w:p>
          <w:p w14:paraId="521A783A">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③烘干粉尘</w:t>
            </w:r>
          </w:p>
          <w:p w14:paraId="79C74678">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在玉米烘干之前，经过清理筛分工序去除大部分粉尘和</w:t>
            </w:r>
            <w:r>
              <w:rPr>
                <w:rFonts w:hint="eastAsia" w:ascii="Times New Roman" w:hAnsi="Times New Roman" w:eastAsia="宋体" w:cs="Times New Roman"/>
                <w:b w:val="0"/>
                <w:bCs w:val="0"/>
                <w:color w:val="auto"/>
                <w:sz w:val="24"/>
                <w:szCs w:val="24"/>
                <w:highlight w:val="none"/>
                <w:u w:val="none" w:color="auto"/>
                <w:lang w:val="en-US" w:eastAsia="zh-CN"/>
              </w:rPr>
              <w:t>玉米皮</w:t>
            </w:r>
            <w:r>
              <w:rPr>
                <w:rFonts w:hint="default" w:ascii="Times New Roman" w:hAnsi="Times New Roman" w:eastAsia="宋体" w:cs="Times New Roman"/>
                <w:b w:val="0"/>
                <w:bCs w:val="0"/>
                <w:color w:val="auto"/>
                <w:sz w:val="24"/>
                <w:szCs w:val="24"/>
                <w:highlight w:val="none"/>
                <w:u w:val="none" w:color="auto"/>
                <w:lang w:val="en-US" w:eastAsia="zh-CN"/>
              </w:rPr>
              <w:t>，玉米烘干过程中，热风烘干后的废气通过废气角状盒排出进入烘干设备自带废气通道。一方面，废气从风道顶部的排潮口排出，另一方面，从角盒排出的杂质通过重力沉降落在废气道底部的收集斗内。收集斗内的杂质收集到一定程度后，可通过打开底部的检修门将杂质排出清理。通过每层的排潮口排出少量的粉尘及</w:t>
            </w:r>
            <w:r>
              <w:rPr>
                <w:rFonts w:hint="eastAsia" w:cs="Times New Roman"/>
                <w:b w:val="0"/>
                <w:bCs w:val="0"/>
                <w:color w:val="auto"/>
                <w:sz w:val="24"/>
                <w:szCs w:val="24"/>
                <w:highlight w:val="none"/>
                <w:u w:val="none" w:color="auto"/>
                <w:lang w:val="en-US" w:eastAsia="zh-CN"/>
              </w:rPr>
              <w:t>玉米</w:t>
            </w:r>
            <w:r>
              <w:rPr>
                <w:rFonts w:hint="eastAsia" w:ascii="Times New Roman" w:hAnsi="Times New Roman" w:eastAsia="宋体" w:cs="Times New Roman"/>
                <w:b w:val="0"/>
                <w:bCs w:val="0"/>
                <w:color w:val="auto"/>
                <w:sz w:val="24"/>
                <w:szCs w:val="24"/>
                <w:highlight w:val="none"/>
                <w:u w:val="none" w:color="auto"/>
                <w:lang w:val="en-US" w:eastAsia="zh-CN"/>
              </w:rPr>
              <w:t>皮</w:t>
            </w:r>
            <w:r>
              <w:rPr>
                <w:rFonts w:hint="default" w:ascii="Times New Roman" w:hAnsi="Times New Roman" w:eastAsia="宋体" w:cs="Times New Roman"/>
                <w:b w:val="0"/>
                <w:bCs w:val="0"/>
                <w:color w:val="auto"/>
                <w:sz w:val="24"/>
                <w:szCs w:val="24"/>
                <w:highlight w:val="none"/>
                <w:u w:val="none" w:color="auto"/>
                <w:lang w:val="en-US" w:eastAsia="zh-CN"/>
              </w:rPr>
              <w:t>，对周围的环境有一定影响。</w:t>
            </w:r>
          </w:p>
          <w:p w14:paraId="761D71F6">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singl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根据《逸散性工业粉尘控制技术》中表5-1谷物仓储，</w:t>
            </w:r>
            <w:r>
              <w:rPr>
                <w:rFonts w:hint="default" w:ascii="Times New Roman" w:hAnsi="Times New Roman" w:eastAsia="宋体" w:cs="Times New Roman"/>
                <w:b w:val="0"/>
                <w:bCs w:val="0"/>
                <w:color w:val="auto"/>
                <w:sz w:val="24"/>
                <w:szCs w:val="24"/>
                <w:highlight w:val="none"/>
                <w:u w:val="single" w:color="auto"/>
                <w:lang w:val="en-US" w:eastAsia="zh-CN"/>
              </w:rPr>
              <w:t>干燥过程中产污系数为0.25kg/t产品，本项目干粮产量约为12383.72t，则本项目干燥过程中产生的粉尘量为</w:t>
            </w:r>
            <w:r>
              <w:rPr>
                <w:rFonts w:hint="eastAsia" w:cs="Times New Roman"/>
                <w:b w:val="0"/>
                <w:bCs w:val="0"/>
                <w:color w:val="auto"/>
                <w:sz w:val="24"/>
                <w:szCs w:val="24"/>
                <w:highlight w:val="none"/>
                <w:u w:val="single" w:color="auto"/>
                <w:lang w:val="en-US" w:eastAsia="zh-CN"/>
              </w:rPr>
              <w:t>3.096</w:t>
            </w:r>
            <w:r>
              <w:rPr>
                <w:rFonts w:hint="default" w:ascii="Times New Roman" w:hAnsi="Times New Roman" w:eastAsia="宋体" w:cs="Times New Roman"/>
                <w:b w:val="0"/>
                <w:bCs w:val="0"/>
                <w:color w:val="auto"/>
                <w:sz w:val="24"/>
                <w:szCs w:val="24"/>
                <w:highlight w:val="none"/>
                <w:u w:val="single" w:color="auto"/>
                <w:lang w:val="en-US" w:eastAsia="zh-CN"/>
              </w:rPr>
              <w:t>t/a，采用烘干塔排潮口处安装加密除尘网，除尘网定期清理，</w:t>
            </w:r>
            <w:r>
              <w:rPr>
                <w:rFonts w:hint="eastAsia" w:cs="Times New Roman"/>
                <w:b w:val="0"/>
                <w:bCs w:val="0"/>
                <w:color w:val="auto"/>
                <w:sz w:val="24"/>
                <w:szCs w:val="24"/>
                <w:highlight w:val="none"/>
                <w:u w:val="single" w:color="auto"/>
                <w:lang w:val="en-US" w:eastAsia="zh-CN"/>
              </w:rPr>
              <w:t>烘干塔外设置密闭罩，</w:t>
            </w:r>
            <w:r>
              <w:rPr>
                <w:rFonts w:hint="default" w:ascii="Times New Roman" w:hAnsi="Times New Roman" w:eastAsia="宋体" w:cs="Times New Roman"/>
                <w:b w:val="0"/>
                <w:bCs w:val="0"/>
                <w:color w:val="auto"/>
                <w:sz w:val="24"/>
                <w:szCs w:val="24"/>
                <w:highlight w:val="none"/>
                <w:u w:val="single" w:color="auto"/>
                <w:lang w:val="en-US" w:eastAsia="zh-CN"/>
              </w:rPr>
              <w:t>可有效抑制粉尘约</w:t>
            </w:r>
            <w:r>
              <w:rPr>
                <w:rFonts w:hint="eastAsia" w:cs="Times New Roman"/>
                <w:b w:val="0"/>
                <w:bCs w:val="0"/>
                <w:color w:val="auto"/>
                <w:sz w:val="24"/>
                <w:szCs w:val="24"/>
                <w:highlight w:val="none"/>
                <w:u w:val="single" w:color="auto"/>
                <w:lang w:val="en-US" w:eastAsia="zh-CN"/>
              </w:rPr>
              <w:t>80</w:t>
            </w:r>
            <w:r>
              <w:rPr>
                <w:rFonts w:hint="default" w:ascii="Times New Roman" w:hAnsi="Times New Roman" w:eastAsia="宋体" w:cs="Times New Roman"/>
                <w:b w:val="0"/>
                <w:bCs w:val="0"/>
                <w:color w:val="auto"/>
                <w:sz w:val="24"/>
                <w:szCs w:val="24"/>
                <w:highlight w:val="none"/>
                <w:u w:val="single" w:color="auto"/>
                <w:lang w:val="en-US" w:eastAsia="zh-CN"/>
              </w:rPr>
              <w:t>%，</w:t>
            </w:r>
            <w:r>
              <w:rPr>
                <w:rFonts w:hint="eastAsia" w:cs="Times New Roman"/>
                <w:b w:val="0"/>
                <w:bCs w:val="0"/>
                <w:color w:val="auto"/>
                <w:sz w:val="24"/>
                <w:szCs w:val="24"/>
                <w:highlight w:val="none"/>
                <w:u w:val="single" w:color="auto"/>
                <w:lang w:val="en-US" w:eastAsia="zh-CN"/>
              </w:rPr>
              <w:t>截留后</w:t>
            </w:r>
            <w:r>
              <w:rPr>
                <w:rFonts w:hint="default" w:ascii="Times New Roman" w:hAnsi="Times New Roman" w:eastAsia="宋体" w:cs="Times New Roman"/>
                <w:b w:val="0"/>
                <w:bCs w:val="0"/>
                <w:color w:val="auto"/>
                <w:sz w:val="24"/>
                <w:szCs w:val="24"/>
                <w:highlight w:val="none"/>
                <w:u w:val="single" w:color="auto"/>
                <w:lang w:val="en-US" w:eastAsia="zh-CN"/>
              </w:rPr>
              <w:t>粉尘</w:t>
            </w:r>
            <w:r>
              <w:rPr>
                <w:rFonts w:hint="eastAsia" w:cs="Times New Roman"/>
                <w:b w:val="0"/>
                <w:bCs w:val="0"/>
                <w:color w:val="auto"/>
                <w:sz w:val="24"/>
                <w:szCs w:val="24"/>
                <w:highlight w:val="none"/>
                <w:u w:val="single" w:color="auto"/>
                <w:lang w:val="en-US" w:eastAsia="zh-CN"/>
              </w:rPr>
              <w:t>作为烘干截留粉尘</w:t>
            </w:r>
            <w:r>
              <w:rPr>
                <w:rFonts w:hint="default" w:ascii="Times New Roman" w:hAnsi="Times New Roman" w:eastAsia="宋体" w:cs="Times New Roman"/>
                <w:b w:val="0"/>
                <w:bCs w:val="0"/>
                <w:color w:val="auto"/>
                <w:sz w:val="24"/>
                <w:szCs w:val="24"/>
                <w:highlight w:val="none"/>
                <w:u w:val="single" w:color="auto"/>
                <w:lang w:val="en-US" w:eastAsia="zh-CN"/>
              </w:rPr>
              <w:t>，</w:t>
            </w:r>
            <w:r>
              <w:rPr>
                <w:rFonts w:hint="eastAsia" w:cs="Times New Roman"/>
                <w:b w:val="0"/>
                <w:bCs w:val="0"/>
                <w:color w:val="auto"/>
                <w:sz w:val="24"/>
                <w:szCs w:val="24"/>
                <w:highlight w:val="none"/>
                <w:u w:val="single" w:color="auto"/>
                <w:lang w:val="en-US" w:eastAsia="zh-CN"/>
              </w:rPr>
              <w:t>未被截留的烘干粉尘以无组织排放，</w:t>
            </w:r>
            <w:r>
              <w:rPr>
                <w:rFonts w:hint="default" w:ascii="Times New Roman" w:hAnsi="Times New Roman" w:eastAsia="宋体" w:cs="Times New Roman"/>
                <w:b w:val="0"/>
                <w:bCs w:val="0"/>
                <w:color w:val="auto"/>
                <w:sz w:val="24"/>
                <w:szCs w:val="24"/>
                <w:highlight w:val="none"/>
                <w:u w:val="single" w:color="auto"/>
                <w:lang w:val="en-US" w:eastAsia="zh-CN"/>
              </w:rPr>
              <w:t>故本项目烘干粉尘排放量约为</w:t>
            </w:r>
            <w:r>
              <w:rPr>
                <w:rFonts w:hint="eastAsia" w:cs="Times New Roman"/>
                <w:b w:val="0"/>
                <w:bCs w:val="0"/>
                <w:color w:val="auto"/>
                <w:sz w:val="24"/>
                <w:szCs w:val="24"/>
                <w:highlight w:val="none"/>
                <w:u w:val="single" w:color="auto"/>
                <w:lang w:val="en-US" w:eastAsia="zh-CN"/>
              </w:rPr>
              <w:t>0.619</w:t>
            </w:r>
            <w:r>
              <w:rPr>
                <w:rFonts w:hint="default" w:ascii="Times New Roman" w:hAnsi="Times New Roman" w:eastAsia="宋体" w:cs="Times New Roman"/>
                <w:b w:val="0"/>
                <w:bCs w:val="0"/>
                <w:color w:val="auto"/>
                <w:sz w:val="24"/>
                <w:szCs w:val="24"/>
                <w:highlight w:val="none"/>
                <w:u w:val="single" w:color="auto"/>
                <w:lang w:val="en-US" w:eastAsia="zh-CN"/>
              </w:rPr>
              <w:t>t/a。</w:t>
            </w:r>
          </w:p>
          <w:p w14:paraId="44965500">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none"/>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④灰渣粉尘</w:t>
            </w:r>
          </w:p>
          <w:p w14:paraId="404FFABE">
            <w:pPr>
              <w:adjustRightInd w:val="0"/>
              <w:snapToGrid w:val="0"/>
              <w:spacing w:line="360" w:lineRule="auto"/>
              <w:ind w:firstLine="480" w:firstLineChars="200"/>
              <w:rPr>
                <w:rFonts w:hint="eastAsia" w:ascii="Times New Roman" w:hAnsi="Times New Roman" w:eastAsia="宋体" w:cs="Times New Roman"/>
                <w:b w:val="0"/>
                <w:bCs w:val="0"/>
                <w:color w:val="auto"/>
                <w:sz w:val="24"/>
                <w:szCs w:val="24"/>
                <w:highlight w:val="none"/>
                <w:u w:val="single"/>
                <w:lang w:val="en-US" w:eastAsia="zh-CN"/>
              </w:rPr>
            </w:pPr>
            <w:r>
              <w:rPr>
                <w:rFonts w:hint="default" w:ascii="Times New Roman" w:hAnsi="Times New Roman" w:eastAsia="宋体" w:cs="Times New Roman"/>
                <w:b w:val="0"/>
                <w:bCs w:val="0"/>
                <w:color w:val="auto"/>
                <w:sz w:val="24"/>
                <w:szCs w:val="24"/>
                <w:highlight w:val="none"/>
                <w:u w:val="single"/>
                <w:lang w:val="en-US" w:eastAsia="zh-CN"/>
              </w:rPr>
              <w:t>本项目生物质颗粒燃料进厂后直接送往</w:t>
            </w:r>
            <w:r>
              <w:rPr>
                <w:rFonts w:hint="eastAsia" w:eastAsia="宋体" w:cs="Times New Roman"/>
                <w:b w:val="0"/>
                <w:bCs w:val="0"/>
                <w:color w:val="auto"/>
                <w:sz w:val="24"/>
                <w:szCs w:val="24"/>
                <w:highlight w:val="none"/>
                <w:u w:val="single"/>
                <w:lang w:val="en-US" w:eastAsia="zh-CN"/>
              </w:rPr>
              <w:t>原料库</w:t>
            </w:r>
            <w:r>
              <w:rPr>
                <w:rFonts w:hint="default" w:ascii="Times New Roman" w:hAnsi="Times New Roman" w:eastAsia="宋体" w:cs="Times New Roman"/>
                <w:b w:val="0"/>
                <w:bCs w:val="0"/>
                <w:color w:val="auto"/>
                <w:sz w:val="24"/>
                <w:szCs w:val="24"/>
                <w:highlight w:val="none"/>
                <w:u w:val="single"/>
                <w:lang w:val="en-US" w:eastAsia="zh-CN"/>
              </w:rPr>
              <w:t>堆存</w:t>
            </w:r>
            <w:r>
              <w:rPr>
                <w:rFonts w:hint="eastAsia" w:eastAsia="宋体" w:cs="Times New Roman"/>
                <w:b w:val="0"/>
                <w:bCs w:val="0"/>
                <w:color w:val="auto"/>
                <w:sz w:val="24"/>
                <w:szCs w:val="24"/>
                <w:highlight w:val="none"/>
                <w:u w:val="single"/>
                <w:lang w:val="en-US" w:eastAsia="zh-CN"/>
              </w:rPr>
              <w:t>，根据生产需要运送至热风炉房上料</w:t>
            </w:r>
            <w:r>
              <w:rPr>
                <w:rFonts w:hint="eastAsia" w:ascii="Times New Roman" w:hAnsi="Times New Roman" w:eastAsia="宋体" w:cs="Times New Roman"/>
                <w:b w:val="0"/>
                <w:bCs w:val="0"/>
                <w:color w:val="auto"/>
                <w:sz w:val="24"/>
                <w:szCs w:val="24"/>
                <w:highlight w:val="none"/>
                <w:u w:val="single"/>
                <w:lang w:val="en-US" w:eastAsia="zh-CN"/>
              </w:rPr>
              <w:t>，由于所用燃料为成型生物质颗粒，粒径较大，且为袋装，因此生物质颗粒堆存</w:t>
            </w:r>
            <w:r>
              <w:rPr>
                <w:rFonts w:hint="eastAsia" w:eastAsia="宋体" w:cs="Times New Roman"/>
                <w:b w:val="0"/>
                <w:bCs w:val="0"/>
                <w:color w:val="auto"/>
                <w:sz w:val="24"/>
                <w:szCs w:val="24"/>
                <w:highlight w:val="none"/>
                <w:u w:val="single"/>
                <w:lang w:val="en-US" w:eastAsia="zh-CN"/>
              </w:rPr>
              <w:t>、上料</w:t>
            </w:r>
            <w:r>
              <w:rPr>
                <w:rFonts w:hint="eastAsia" w:ascii="Times New Roman" w:hAnsi="Times New Roman" w:eastAsia="宋体" w:cs="Times New Roman"/>
                <w:b w:val="0"/>
                <w:bCs w:val="0"/>
                <w:color w:val="auto"/>
                <w:sz w:val="24"/>
                <w:szCs w:val="24"/>
                <w:highlight w:val="none"/>
                <w:u w:val="single"/>
                <w:lang w:val="en-US" w:eastAsia="zh-CN"/>
              </w:rPr>
              <w:t>过程产生的扬尘量较少。</w:t>
            </w:r>
            <w:r>
              <w:rPr>
                <w:rFonts w:hint="eastAsia" w:eastAsia="宋体" w:cs="Times New Roman"/>
                <w:b w:val="0"/>
                <w:bCs w:val="0"/>
                <w:color w:val="auto"/>
                <w:sz w:val="24"/>
                <w:szCs w:val="24"/>
                <w:highlight w:val="none"/>
                <w:u w:val="single"/>
                <w:lang w:val="en-US" w:eastAsia="zh-CN"/>
              </w:rPr>
              <w:t>因此产生</w:t>
            </w:r>
            <w:r>
              <w:rPr>
                <w:rFonts w:hint="default" w:ascii="Times New Roman" w:hAnsi="Times New Roman" w:eastAsia="宋体" w:cs="Times New Roman"/>
                <w:b w:val="0"/>
                <w:bCs w:val="0"/>
                <w:color w:val="auto"/>
                <w:sz w:val="24"/>
                <w:szCs w:val="24"/>
                <w:highlight w:val="none"/>
                <w:u w:val="single"/>
                <w:lang w:val="en-US" w:eastAsia="zh-CN"/>
              </w:rPr>
              <w:t>粉尘</w:t>
            </w:r>
            <w:r>
              <w:rPr>
                <w:rFonts w:hint="eastAsia" w:eastAsia="宋体" w:cs="Times New Roman"/>
                <w:b w:val="0"/>
                <w:bCs w:val="0"/>
                <w:color w:val="auto"/>
                <w:sz w:val="24"/>
                <w:szCs w:val="24"/>
                <w:highlight w:val="none"/>
                <w:u w:val="single"/>
                <w:lang w:val="en-US" w:eastAsia="zh-CN"/>
              </w:rPr>
              <w:t>主要为灰渣清理</w:t>
            </w:r>
            <w:r>
              <w:rPr>
                <w:rFonts w:hint="eastAsia" w:cs="Times New Roman"/>
                <w:b w:val="0"/>
                <w:bCs w:val="0"/>
                <w:color w:val="auto"/>
                <w:sz w:val="24"/>
                <w:szCs w:val="24"/>
                <w:highlight w:val="none"/>
                <w:u w:val="single"/>
                <w:lang w:val="en-US" w:eastAsia="zh-CN"/>
              </w:rPr>
              <w:t>及</w:t>
            </w:r>
            <w:r>
              <w:rPr>
                <w:rFonts w:hint="eastAsia" w:eastAsia="宋体" w:cs="Times New Roman"/>
                <w:b w:val="0"/>
                <w:bCs w:val="0"/>
                <w:color w:val="auto"/>
                <w:sz w:val="24"/>
                <w:szCs w:val="24"/>
                <w:highlight w:val="none"/>
                <w:u w:val="single"/>
                <w:lang w:val="en-US" w:eastAsia="zh-CN"/>
              </w:rPr>
              <w:t>储存</w:t>
            </w:r>
            <w:r>
              <w:rPr>
                <w:rFonts w:hint="default" w:ascii="Times New Roman" w:hAnsi="Times New Roman" w:eastAsia="宋体" w:cs="Times New Roman"/>
                <w:b w:val="0"/>
                <w:bCs w:val="0"/>
                <w:color w:val="auto"/>
                <w:sz w:val="24"/>
                <w:szCs w:val="24"/>
                <w:highlight w:val="none"/>
                <w:u w:val="single"/>
                <w:lang w:val="en-US" w:eastAsia="zh-CN"/>
              </w:rPr>
              <w:t>过程</w:t>
            </w:r>
            <w:r>
              <w:rPr>
                <w:rFonts w:hint="eastAsia" w:eastAsia="宋体" w:cs="Times New Roman"/>
                <w:b w:val="0"/>
                <w:bCs w:val="0"/>
                <w:color w:val="auto"/>
                <w:sz w:val="24"/>
                <w:szCs w:val="24"/>
                <w:highlight w:val="none"/>
                <w:u w:val="single"/>
                <w:lang w:val="en-US" w:eastAsia="zh-CN"/>
              </w:rPr>
              <w:t>的无组织粉尘</w:t>
            </w:r>
            <w:r>
              <w:rPr>
                <w:rFonts w:hint="eastAsia" w:ascii="Times New Roman" w:hAnsi="Times New Roman" w:eastAsia="宋体" w:cs="Times New Roman"/>
                <w:b w:val="0"/>
                <w:bCs w:val="0"/>
                <w:color w:val="auto"/>
                <w:sz w:val="24"/>
                <w:szCs w:val="24"/>
                <w:highlight w:val="none"/>
                <w:u w:val="single"/>
                <w:lang w:val="en-US" w:eastAsia="zh-CN"/>
              </w:rPr>
              <w:t>。</w:t>
            </w:r>
          </w:p>
          <w:p w14:paraId="4A81613F">
            <w:pPr>
              <w:adjustRightInd w:val="0"/>
              <w:snapToGrid w:val="0"/>
              <w:spacing w:line="360" w:lineRule="auto"/>
              <w:ind w:firstLine="480" w:firstLineChars="200"/>
              <w:rPr>
                <w:rFonts w:hint="default" w:ascii="Times New Roman" w:hAnsi="Times New Roman" w:eastAsia="宋体" w:cs="Times New Roman"/>
                <w:b w:val="0"/>
                <w:bCs w:val="0"/>
                <w:color w:val="auto"/>
                <w:sz w:val="24"/>
                <w:szCs w:val="24"/>
                <w:highlight w:val="yellow"/>
                <w:u w:val="none" w:color="auto"/>
                <w:lang w:val="en-US" w:eastAsia="zh-CN"/>
              </w:rPr>
            </w:pPr>
            <w:r>
              <w:rPr>
                <w:rFonts w:hint="default" w:ascii="Times New Roman" w:hAnsi="Times New Roman" w:eastAsia="宋体" w:cs="Times New Roman"/>
                <w:b w:val="0"/>
                <w:bCs w:val="0"/>
                <w:color w:val="auto"/>
                <w:sz w:val="24"/>
                <w:szCs w:val="24"/>
                <w:highlight w:val="none"/>
                <w:u w:val="none" w:color="auto"/>
                <w:lang w:val="en-US" w:eastAsia="zh-CN"/>
              </w:rPr>
              <w:t>本项目热风炉炉渣在从炉膛中清理和储运过程中、除尘器在清理除尘灰和储存过程中产生的粉尘</w:t>
            </w:r>
            <w:r>
              <w:rPr>
                <w:rFonts w:hint="default" w:ascii="Times New Roman" w:hAnsi="Times New Roman" w:eastAsia="宋体" w:cs="Times New Roman"/>
                <w:b w:val="0"/>
                <w:bCs w:val="0"/>
                <w:color w:val="auto"/>
                <w:sz w:val="24"/>
                <w:szCs w:val="24"/>
                <w:highlight w:val="none"/>
                <w:u w:val="single" w:color="auto"/>
                <w:lang w:val="en-US" w:eastAsia="zh-CN"/>
              </w:rPr>
              <w:t>，</w:t>
            </w:r>
            <w:r>
              <w:rPr>
                <w:rFonts w:hint="default" w:ascii="Times New Roman" w:hAnsi="Times New Roman" w:eastAsia="宋体" w:cs="Times New Roman"/>
                <w:b w:val="0"/>
                <w:bCs w:val="0"/>
                <w:color w:val="auto"/>
                <w:sz w:val="24"/>
                <w:szCs w:val="24"/>
                <w:highlight w:val="yellow"/>
                <w:u w:val="single" w:color="auto"/>
                <w:lang w:val="en-US" w:eastAsia="zh-CN"/>
              </w:rPr>
              <w:t>年产生灰渣</w:t>
            </w:r>
            <w:r>
              <w:rPr>
                <w:rFonts w:hint="eastAsia" w:cs="Times New Roman"/>
                <w:b w:val="0"/>
                <w:bCs w:val="0"/>
                <w:color w:val="auto"/>
                <w:sz w:val="24"/>
                <w:szCs w:val="24"/>
                <w:highlight w:val="yellow"/>
                <w:u w:val="single" w:color="auto"/>
                <w:lang w:val="en-US" w:eastAsia="zh-CN"/>
              </w:rPr>
              <w:t>209.36</w:t>
            </w:r>
            <w:r>
              <w:rPr>
                <w:rFonts w:hint="default" w:ascii="Times New Roman" w:hAnsi="Times New Roman" w:eastAsia="宋体" w:cs="Times New Roman"/>
                <w:b w:val="0"/>
                <w:bCs w:val="0"/>
                <w:color w:val="auto"/>
                <w:sz w:val="24"/>
                <w:szCs w:val="24"/>
                <w:highlight w:val="yellow"/>
                <w:u w:val="single" w:color="auto"/>
                <w:lang w:val="en-US" w:eastAsia="zh-CN"/>
              </w:rPr>
              <w:t>t</w:t>
            </w:r>
            <w:r>
              <w:rPr>
                <w:rFonts w:hint="default" w:ascii="Times New Roman" w:hAnsi="Times New Roman" w:eastAsia="宋体" w:cs="Times New Roman"/>
                <w:b w:val="0"/>
                <w:bCs w:val="0"/>
                <w:color w:val="auto"/>
                <w:sz w:val="24"/>
                <w:szCs w:val="24"/>
                <w:highlight w:val="none"/>
                <w:u w:val="single" w:color="auto"/>
                <w:lang w:val="en-US" w:eastAsia="zh-CN"/>
              </w:rPr>
              <w:t>，参</w:t>
            </w:r>
            <w:r>
              <w:rPr>
                <w:rFonts w:hint="default" w:ascii="Times New Roman" w:hAnsi="Times New Roman" w:eastAsia="宋体" w:cs="Times New Roman"/>
                <w:b w:val="0"/>
                <w:bCs w:val="0"/>
                <w:color w:val="auto"/>
                <w:sz w:val="24"/>
                <w:szCs w:val="24"/>
                <w:highlight w:val="none"/>
                <w:u w:val="none" w:color="auto"/>
                <w:lang w:val="en-US" w:eastAsia="zh-CN"/>
              </w:rPr>
              <w:t>考《逸散性工业粉尘控制技术》P67中</w:t>
            </w:r>
            <w:r>
              <w:rPr>
                <w:rFonts w:hint="eastAsia" w:cs="Times New Roman"/>
                <w:b w:val="0"/>
                <w:bCs w:val="0"/>
                <w:color w:val="auto"/>
                <w:sz w:val="24"/>
                <w:szCs w:val="24"/>
                <w:highlight w:val="none"/>
                <w:u w:val="none" w:color="auto"/>
                <w:lang w:val="en-US" w:eastAsia="zh-CN"/>
              </w:rPr>
              <w:t>灰渣</w:t>
            </w:r>
            <w:r>
              <w:rPr>
                <w:rFonts w:hint="default" w:ascii="Times New Roman" w:hAnsi="Times New Roman" w:eastAsia="宋体" w:cs="Times New Roman"/>
                <w:b w:val="0"/>
                <w:bCs w:val="0"/>
                <w:color w:val="auto"/>
                <w:sz w:val="24"/>
                <w:szCs w:val="24"/>
                <w:highlight w:val="none"/>
                <w:u w:val="none" w:color="auto"/>
                <w:lang w:val="en-US" w:eastAsia="zh-CN"/>
              </w:rPr>
              <w:t>的装运颗粒物排放量产生系数取值区间为0.01kg/t~0.05kg/t（渣），本项目灰渣从炉膛出来时直接洒水拌湿装袋密封保存，因此产污系数值取0.01kg/t（此系数为考虑了抑尘效果后的取值，因此不再额外给出</w:t>
            </w:r>
            <w:r>
              <w:rPr>
                <w:rFonts w:hint="eastAsia" w:cs="Times New Roman"/>
                <w:b w:val="0"/>
                <w:bCs w:val="0"/>
                <w:color w:val="auto"/>
                <w:sz w:val="24"/>
                <w:szCs w:val="24"/>
                <w:highlight w:val="none"/>
                <w:u w:val="none" w:color="auto"/>
                <w:lang w:val="en-US" w:eastAsia="zh-CN"/>
              </w:rPr>
              <w:t>去</w:t>
            </w:r>
            <w:r>
              <w:rPr>
                <w:rFonts w:hint="default" w:ascii="Times New Roman" w:hAnsi="Times New Roman" w:eastAsia="宋体" w:cs="Times New Roman"/>
                <w:b w:val="0"/>
                <w:bCs w:val="0"/>
                <w:color w:val="auto"/>
                <w:sz w:val="24"/>
                <w:szCs w:val="24"/>
                <w:highlight w:val="none"/>
                <w:u w:val="none" w:color="auto"/>
                <w:lang w:val="en-US" w:eastAsia="zh-CN"/>
              </w:rPr>
              <w:t>除率），</w:t>
            </w:r>
            <w:r>
              <w:rPr>
                <w:rFonts w:hint="default" w:ascii="Times New Roman" w:hAnsi="Times New Roman" w:eastAsia="宋体" w:cs="Times New Roman"/>
                <w:b w:val="0"/>
                <w:bCs w:val="0"/>
                <w:color w:val="auto"/>
                <w:sz w:val="24"/>
                <w:szCs w:val="24"/>
                <w:highlight w:val="none"/>
                <w:u w:val="single" w:color="auto"/>
                <w:lang w:val="en-US" w:eastAsia="zh-CN"/>
              </w:rPr>
              <w:t>则粉尘产生量及排放量</w:t>
            </w:r>
            <w:r>
              <w:rPr>
                <w:rFonts w:hint="eastAsia" w:cs="Times New Roman"/>
                <w:b w:val="0"/>
                <w:bCs w:val="0"/>
                <w:color w:val="auto"/>
                <w:sz w:val="24"/>
                <w:szCs w:val="24"/>
                <w:highlight w:val="none"/>
                <w:u w:val="single" w:color="auto"/>
                <w:lang w:val="en-US" w:eastAsia="zh-CN"/>
              </w:rPr>
              <w:t>均</w:t>
            </w:r>
            <w:r>
              <w:rPr>
                <w:rFonts w:hint="default" w:ascii="Times New Roman" w:hAnsi="Times New Roman" w:eastAsia="宋体" w:cs="Times New Roman"/>
                <w:b w:val="0"/>
                <w:bCs w:val="0"/>
                <w:color w:val="auto"/>
                <w:sz w:val="24"/>
                <w:szCs w:val="24"/>
                <w:highlight w:val="yellow"/>
                <w:u w:val="single" w:color="auto"/>
                <w:lang w:val="en-US" w:eastAsia="zh-CN"/>
              </w:rPr>
              <w:t>为</w:t>
            </w:r>
            <w:r>
              <w:rPr>
                <w:rFonts w:hint="eastAsia" w:cs="Times New Roman"/>
                <w:b w:val="0"/>
                <w:bCs w:val="0"/>
                <w:color w:val="auto"/>
                <w:sz w:val="24"/>
                <w:szCs w:val="24"/>
                <w:highlight w:val="yellow"/>
                <w:u w:val="single" w:color="auto"/>
                <w:lang w:val="en-US" w:eastAsia="zh-CN"/>
              </w:rPr>
              <w:t>0.0021</w:t>
            </w:r>
            <w:r>
              <w:rPr>
                <w:rFonts w:hint="default" w:ascii="Times New Roman" w:hAnsi="Times New Roman" w:eastAsia="宋体" w:cs="Times New Roman"/>
                <w:b w:val="0"/>
                <w:bCs w:val="0"/>
                <w:color w:val="auto"/>
                <w:sz w:val="24"/>
                <w:szCs w:val="24"/>
                <w:highlight w:val="yellow"/>
                <w:u w:val="single" w:color="auto"/>
                <w:lang w:val="en-US" w:eastAsia="zh-CN"/>
              </w:rPr>
              <w:t>t/a</w:t>
            </w:r>
            <w:r>
              <w:rPr>
                <w:rFonts w:hint="default" w:ascii="Times New Roman" w:hAnsi="Times New Roman" w:eastAsia="宋体" w:cs="Times New Roman"/>
                <w:b w:val="0"/>
                <w:bCs w:val="0"/>
                <w:color w:val="auto"/>
                <w:sz w:val="24"/>
                <w:szCs w:val="24"/>
                <w:highlight w:val="none"/>
                <w:u w:val="single" w:color="auto"/>
                <w:lang w:val="en-US" w:eastAsia="zh-CN"/>
              </w:rPr>
              <w:t>。</w:t>
            </w:r>
          </w:p>
          <w:p w14:paraId="06D7EAA2">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4.6</w:t>
            </w:r>
            <w:r>
              <w:rPr>
                <w:rFonts w:hint="default" w:ascii="Times New Roman" w:hAnsi="Times New Roman" w:cs="Times New Roman"/>
                <w:color w:val="auto"/>
                <w:position w:val="15"/>
                <w:sz w:val="24"/>
                <w:highlight w:val="none"/>
                <w:u w:val="none" w:color="auto"/>
              </w:rPr>
              <w:t>.</w:t>
            </w:r>
            <w:r>
              <w:rPr>
                <w:rFonts w:hint="default" w:ascii="Times New Roman" w:hAnsi="Times New Roman" w:cs="Times New Roman"/>
                <w:color w:val="auto"/>
                <w:position w:val="15"/>
                <w:sz w:val="24"/>
                <w:highlight w:val="none"/>
                <w:u w:val="none" w:color="auto"/>
                <w:lang w:val="en-US" w:eastAsia="zh-CN"/>
              </w:rPr>
              <w:t>3</w:t>
            </w:r>
            <w:r>
              <w:rPr>
                <w:rFonts w:hint="default" w:ascii="Times New Roman" w:hAnsi="Times New Roman" w:cs="Times New Roman"/>
                <w:color w:val="auto"/>
                <w:position w:val="15"/>
                <w:sz w:val="24"/>
                <w:highlight w:val="none"/>
                <w:u w:val="none" w:color="auto"/>
              </w:rPr>
              <w:t>废气源强核算汇总</w:t>
            </w:r>
          </w:p>
          <w:p w14:paraId="7052BEC7">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项目废气污染源源强核算结果及相关参数情况汇总详见下表。</w:t>
            </w:r>
          </w:p>
          <w:p w14:paraId="773F9BE3">
            <w:pPr>
              <w:adjustRightInd w:val="0"/>
              <w:snapToGrid w:val="0"/>
              <w:spacing w:line="360" w:lineRule="auto"/>
              <w:jc w:val="center"/>
              <w:rPr>
                <w:rFonts w:hint="default" w:ascii="Times New Roman" w:hAnsi="Times New Roman" w:cs="Times New Roman"/>
                <w:b/>
                <w:bCs/>
                <w:color w:val="auto"/>
                <w:spacing w:val="-2"/>
                <w:sz w:val="24"/>
                <w:highlight w:val="none"/>
                <w:u w:val="none" w:color="auto"/>
                <w:lang w:val="zh-CN"/>
              </w:rPr>
            </w:pPr>
            <w:r>
              <w:rPr>
                <w:rFonts w:hint="default" w:ascii="Times New Roman" w:hAnsi="Times New Roman" w:cs="Times New Roman"/>
                <w:b/>
                <w:bCs/>
                <w:color w:val="auto"/>
                <w:spacing w:val="-2"/>
                <w:sz w:val="24"/>
                <w:highlight w:val="none"/>
                <w:u w:val="none" w:color="auto"/>
              </w:rPr>
              <w:t>表</w:t>
            </w:r>
            <w:r>
              <w:rPr>
                <w:rFonts w:hint="default" w:ascii="Times New Roman" w:hAnsi="Times New Roman" w:cs="Times New Roman"/>
                <w:b/>
                <w:bCs/>
                <w:color w:val="auto"/>
                <w:spacing w:val="-2"/>
                <w:sz w:val="24"/>
                <w:highlight w:val="none"/>
                <w:u w:val="none" w:color="auto"/>
                <w:lang w:val="en-US" w:eastAsia="zh-CN"/>
              </w:rPr>
              <w:t>4-</w:t>
            </w:r>
            <w:r>
              <w:rPr>
                <w:rFonts w:hint="eastAsia" w:cs="Times New Roman"/>
                <w:b/>
                <w:bCs/>
                <w:color w:val="auto"/>
                <w:spacing w:val="-2"/>
                <w:sz w:val="24"/>
                <w:highlight w:val="none"/>
                <w:u w:val="none" w:color="auto"/>
                <w:lang w:val="en-US" w:eastAsia="zh-CN"/>
              </w:rPr>
              <w:t>6</w:t>
            </w:r>
            <w:r>
              <w:rPr>
                <w:rFonts w:hint="default" w:ascii="Times New Roman" w:hAnsi="Times New Roman" w:cs="Times New Roman"/>
                <w:b/>
                <w:bCs/>
                <w:color w:val="auto"/>
                <w:spacing w:val="-2"/>
                <w:sz w:val="24"/>
                <w:highlight w:val="none"/>
                <w:u w:val="none" w:color="auto"/>
                <w:lang w:val="zh-CN"/>
              </w:rPr>
              <w:t>项目废气产生及排放情况一览表</w:t>
            </w:r>
          </w:p>
          <w:tbl>
            <w:tblPr>
              <w:tblStyle w:val="29"/>
              <w:tblW w:w="78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8"/>
              <w:gridCol w:w="348"/>
              <w:gridCol w:w="606"/>
              <w:gridCol w:w="534"/>
              <w:gridCol w:w="814"/>
              <w:gridCol w:w="660"/>
              <w:gridCol w:w="771"/>
              <w:gridCol w:w="643"/>
              <w:gridCol w:w="677"/>
              <w:gridCol w:w="619"/>
              <w:gridCol w:w="520"/>
              <w:gridCol w:w="669"/>
              <w:gridCol w:w="666"/>
            </w:tblGrid>
            <w:tr w14:paraId="290C2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696" w:type="dxa"/>
                  <w:gridSpan w:val="2"/>
                  <w:vMerge w:val="restart"/>
                  <w:tcBorders>
                    <w:tl2br w:val="nil"/>
                    <w:tr2bl w:val="nil"/>
                  </w:tcBorders>
                  <w:vAlign w:val="center"/>
                </w:tcPr>
                <w:p w14:paraId="2171E70F">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排放源</w:t>
                  </w:r>
                </w:p>
              </w:tc>
              <w:tc>
                <w:tcPr>
                  <w:tcW w:w="606" w:type="dxa"/>
                  <w:vMerge w:val="restart"/>
                  <w:tcBorders>
                    <w:tl2br w:val="nil"/>
                    <w:tr2bl w:val="nil"/>
                  </w:tcBorders>
                  <w:vAlign w:val="center"/>
                </w:tcPr>
                <w:p w14:paraId="0DB10585">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排气量m</w:t>
                  </w:r>
                  <w:r>
                    <w:rPr>
                      <w:color w:val="auto"/>
                      <w:kern w:val="0"/>
                      <w:szCs w:val="21"/>
                      <w:highlight w:val="none"/>
                      <w:u w:val="single" w:color="auto"/>
                      <w:vertAlign w:val="superscript"/>
                      <w:lang w:bidi="ar"/>
                    </w:rPr>
                    <w:t>3</w:t>
                  </w:r>
                  <w:r>
                    <w:rPr>
                      <w:color w:val="auto"/>
                      <w:kern w:val="0"/>
                      <w:szCs w:val="21"/>
                      <w:highlight w:val="none"/>
                      <w:u w:val="single" w:color="auto"/>
                      <w:lang w:bidi="ar"/>
                    </w:rPr>
                    <w:t>/h</w:t>
                  </w:r>
                </w:p>
              </w:tc>
              <w:tc>
                <w:tcPr>
                  <w:tcW w:w="534" w:type="dxa"/>
                  <w:vMerge w:val="restart"/>
                  <w:tcBorders>
                    <w:tl2br w:val="nil"/>
                    <w:tr2bl w:val="nil"/>
                  </w:tcBorders>
                  <w:vAlign w:val="center"/>
                </w:tcPr>
                <w:p w14:paraId="57AF3A35">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污染物</w:t>
                  </w:r>
                </w:p>
              </w:tc>
              <w:tc>
                <w:tcPr>
                  <w:tcW w:w="1474" w:type="dxa"/>
                  <w:gridSpan w:val="2"/>
                  <w:tcBorders>
                    <w:tl2br w:val="nil"/>
                    <w:tr2bl w:val="nil"/>
                  </w:tcBorders>
                  <w:vAlign w:val="center"/>
                </w:tcPr>
                <w:p w14:paraId="5E0DF481">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产生情况</w:t>
                  </w:r>
                </w:p>
              </w:tc>
              <w:tc>
                <w:tcPr>
                  <w:tcW w:w="771" w:type="dxa"/>
                  <w:vMerge w:val="restart"/>
                  <w:tcBorders>
                    <w:tl2br w:val="nil"/>
                    <w:tr2bl w:val="nil"/>
                  </w:tcBorders>
                  <w:vAlign w:val="center"/>
                </w:tcPr>
                <w:p w14:paraId="72898FEB">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治理措施</w:t>
                  </w:r>
                </w:p>
              </w:tc>
              <w:tc>
                <w:tcPr>
                  <w:tcW w:w="1939" w:type="dxa"/>
                  <w:gridSpan w:val="3"/>
                  <w:tcBorders>
                    <w:tl2br w:val="nil"/>
                    <w:tr2bl w:val="nil"/>
                  </w:tcBorders>
                  <w:vAlign w:val="center"/>
                </w:tcPr>
                <w:p w14:paraId="5D32E401">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排放情况</w:t>
                  </w:r>
                </w:p>
              </w:tc>
              <w:tc>
                <w:tcPr>
                  <w:tcW w:w="520" w:type="dxa"/>
                  <w:vMerge w:val="restart"/>
                  <w:tcBorders>
                    <w:tl2br w:val="nil"/>
                    <w:tr2bl w:val="nil"/>
                  </w:tcBorders>
                  <w:vAlign w:val="center"/>
                </w:tcPr>
                <w:p w14:paraId="7CF0E3C5">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排放规律h/a</w:t>
                  </w:r>
                </w:p>
              </w:tc>
              <w:tc>
                <w:tcPr>
                  <w:tcW w:w="669" w:type="dxa"/>
                  <w:vMerge w:val="restart"/>
                  <w:tcBorders>
                    <w:tl2br w:val="nil"/>
                    <w:tr2bl w:val="nil"/>
                  </w:tcBorders>
                  <w:vAlign w:val="center"/>
                </w:tcPr>
                <w:p w14:paraId="250B9AE8">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排放</w:t>
                  </w:r>
                </w:p>
                <w:p w14:paraId="0DBE071A">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标准mg/m</w:t>
                  </w:r>
                  <w:r>
                    <w:rPr>
                      <w:color w:val="auto"/>
                      <w:kern w:val="0"/>
                      <w:szCs w:val="21"/>
                      <w:highlight w:val="none"/>
                      <w:u w:val="single" w:color="auto"/>
                      <w:vertAlign w:val="superscript"/>
                      <w:lang w:bidi="ar"/>
                    </w:rPr>
                    <w:t>3</w:t>
                  </w:r>
                </w:p>
              </w:tc>
              <w:tc>
                <w:tcPr>
                  <w:tcW w:w="666" w:type="dxa"/>
                  <w:vMerge w:val="restart"/>
                  <w:tcBorders>
                    <w:tl2br w:val="nil"/>
                    <w:tr2bl w:val="nil"/>
                  </w:tcBorders>
                  <w:vAlign w:val="center"/>
                </w:tcPr>
                <w:p w14:paraId="4500F94E">
                  <w:pPr>
                    <w:widowControl/>
                    <w:jc w:val="center"/>
                    <w:textAlignment w:val="center"/>
                    <w:rPr>
                      <w:rFonts w:hint="eastAsia" w:eastAsia="宋体"/>
                      <w:color w:val="auto"/>
                      <w:kern w:val="0"/>
                      <w:szCs w:val="21"/>
                      <w:highlight w:val="none"/>
                      <w:u w:val="single" w:color="auto"/>
                      <w:lang w:eastAsia="zh-CN" w:bidi="ar"/>
                    </w:rPr>
                  </w:pPr>
                  <w:r>
                    <w:rPr>
                      <w:rFonts w:hint="eastAsia"/>
                      <w:color w:val="auto"/>
                      <w:kern w:val="0"/>
                      <w:szCs w:val="21"/>
                      <w:highlight w:val="none"/>
                      <w:u w:val="single" w:color="auto"/>
                      <w:lang w:eastAsia="zh-CN" w:bidi="ar"/>
                    </w:rPr>
                    <w:t>达标情况</w:t>
                  </w:r>
                </w:p>
              </w:tc>
            </w:tr>
            <w:tr w14:paraId="293DBD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696" w:type="dxa"/>
                  <w:gridSpan w:val="2"/>
                  <w:vMerge w:val="continue"/>
                  <w:tcBorders>
                    <w:tl2br w:val="nil"/>
                    <w:tr2bl w:val="nil"/>
                  </w:tcBorders>
                  <w:vAlign w:val="center"/>
                </w:tcPr>
                <w:p w14:paraId="59E79318">
                  <w:pPr>
                    <w:widowControl/>
                    <w:jc w:val="center"/>
                    <w:textAlignment w:val="center"/>
                    <w:rPr>
                      <w:color w:val="auto"/>
                      <w:kern w:val="0"/>
                      <w:szCs w:val="21"/>
                      <w:highlight w:val="none"/>
                      <w:u w:val="single" w:color="auto"/>
                      <w:lang w:bidi="ar"/>
                    </w:rPr>
                  </w:pPr>
                </w:p>
              </w:tc>
              <w:tc>
                <w:tcPr>
                  <w:tcW w:w="606" w:type="dxa"/>
                  <w:vMerge w:val="continue"/>
                  <w:tcBorders>
                    <w:tl2br w:val="nil"/>
                    <w:tr2bl w:val="nil"/>
                  </w:tcBorders>
                  <w:vAlign w:val="center"/>
                </w:tcPr>
                <w:p w14:paraId="58D86443">
                  <w:pPr>
                    <w:widowControl/>
                    <w:jc w:val="center"/>
                    <w:textAlignment w:val="center"/>
                    <w:rPr>
                      <w:color w:val="auto"/>
                      <w:kern w:val="0"/>
                      <w:szCs w:val="21"/>
                      <w:highlight w:val="none"/>
                      <w:u w:val="single" w:color="auto"/>
                      <w:lang w:bidi="ar"/>
                    </w:rPr>
                  </w:pPr>
                </w:p>
              </w:tc>
              <w:tc>
                <w:tcPr>
                  <w:tcW w:w="534" w:type="dxa"/>
                  <w:vMerge w:val="continue"/>
                  <w:tcBorders>
                    <w:tl2br w:val="nil"/>
                    <w:tr2bl w:val="nil"/>
                  </w:tcBorders>
                  <w:vAlign w:val="center"/>
                </w:tcPr>
                <w:p w14:paraId="44302889">
                  <w:pPr>
                    <w:widowControl/>
                    <w:jc w:val="center"/>
                    <w:textAlignment w:val="center"/>
                    <w:rPr>
                      <w:color w:val="auto"/>
                      <w:kern w:val="0"/>
                      <w:szCs w:val="21"/>
                      <w:highlight w:val="none"/>
                      <w:u w:val="single" w:color="auto"/>
                      <w:lang w:bidi="ar"/>
                    </w:rPr>
                  </w:pPr>
                </w:p>
              </w:tc>
              <w:tc>
                <w:tcPr>
                  <w:tcW w:w="814" w:type="dxa"/>
                  <w:tcBorders>
                    <w:tl2br w:val="nil"/>
                    <w:tr2bl w:val="nil"/>
                  </w:tcBorders>
                  <w:vAlign w:val="center"/>
                </w:tcPr>
                <w:p w14:paraId="7235AE3B">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浓度mg/m</w:t>
                  </w:r>
                  <w:r>
                    <w:rPr>
                      <w:color w:val="auto"/>
                      <w:kern w:val="0"/>
                      <w:szCs w:val="21"/>
                      <w:highlight w:val="none"/>
                      <w:u w:val="single" w:color="auto"/>
                      <w:vertAlign w:val="superscript"/>
                      <w:lang w:bidi="ar"/>
                    </w:rPr>
                    <w:t>3</w:t>
                  </w:r>
                </w:p>
              </w:tc>
              <w:tc>
                <w:tcPr>
                  <w:tcW w:w="660" w:type="dxa"/>
                  <w:tcBorders>
                    <w:tl2br w:val="nil"/>
                    <w:tr2bl w:val="nil"/>
                  </w:tcBorders>
                  <w:vAlign w:val="center"/>
                </w:tcPr>
                <w:p w14:paraId="614CC222">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产生量</w:t>
                  </w:r>
                  <w:r>
                    <w:rPr>
                      <w:rFonts w:hint="eastAsia"/>
                      <w:color w:val="auto"/>
                      <w:kern w:val="0"/>
                      <w:szCs w:val="21"/>
                      <w:highlight w:val="none"/>
                      <w:u w:val="single" w:color="auto"/>
                      <w:lang w:val="en-US" w:eastAsia="zh-CN" w:bidi="ar"/>
                    </w:rPr>
                    <w:t>t/a</w:t>
                  </w:r>
                </w:p>
              </w:tc>
              <w:tc>
                <w:tcPr>
                  <w:tcW w:w="771" w:type="dxa"/>
                  <w:vMerge w:val="continue"/>
                  <w:tcBorders>
                    <w:tl2br w:val="nil"/>
                    <w:tr2bl w:val="nil"/>
                  </w:tcBorders>
                  <w:vAlign w:val="center"/>
                </w:tcPr>
                <w:p w14:paraId="5FEEA672">
                  <w:pPr>
                    <w:widowControl/>
                    <w:jc w:val="center"/>
                    <w:textAlignment w:val="center"/>
                    <w:rPr>
                      <w:color w:val="auto"/>
                      <w:kern w:val="0"/>
                      <w:szCs w:val="21"/>
                      <w:highlight w:val="none"/>
                      <w:u w:val="single" w:color="auto"/>
                      <w:lang w:bidi="ar"/>
                    </w:rPr>
                  </w:pPr>
                </w:p>
              </w:tc>
              <w:tc>
                <w:tcPr>
                  <w:tcW w:w="643" w:type="dxa"/>
                  <w:tcBorders>
                    <w:tl2br w:val="nil"/>
                    <w:tr2bl w:val="nil"/>
                  </w:tcBorders>
                  <w:vAlign w:val="center"/>
                </w:tcPr>
                <w:p w14:paraId="4DE5DB62">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浓度mg/m</w:t>
                  </w:r>
                  <w:r>
                    <w:rPr>
                      <w:color w:val="auto"/>
                      <w:kern w:val="0"/>
                      <w:szCs w:val="21"/>
                      <w:highlight w:val="none"/>
                      <w:u w:val="single" w:color="auto"/>
                      <w:vertAlign w:val="superscript"/>
                      <w:lang w:bidi="ar"/>
                    </w:rPr>
                    <w:t>3</w:t>
                  </w:r>
                </w:p>
              </w:tc>
              <w:tc>
                <w:tcPr>
                  <w:tcW w:w="677" w:type="dxa"/>
                  <w:tcBorders>
                    <w:tl2br w:val="nil"/>
                    <w:tr2bl w:val="nil"/>
                  </w:tcBorders>
                  <w:vAlign w:val="center"/>
                </w:tcPr>
                <w:p w14:paraId="1D63150A">
                  <w:pPr>
                    <w:widowControl/>
                    <w:jc w:val="center"/>
                    <w:textAlignment w:val="center"/>
                    <w:rPr>
                      <w:rFonts w:hint="default" w:eastAsia="宋体"/>
                      <w:color w:val="auto"/>
                      <w:kern w:val="0"/>
                      <w:szCs w:val="21"/>
                      <w:highlight w:val="none"/>
                      <w:u w:val="single" w:color="auto"/>
                      <w:lang w:val="en-US" w:eastAsia="zh-CN" w:bidi="ar"/>
                    </w:rPr>
                  </w:pPr>
                  <w:r>
                    <w:rPr>
                      <w:rFonts w:hint="eastAsia"/>
                      <w:color w:val="auto"/>
                      <w:kern w:val="0"/>
                      <w:szCs w:val="21"/>
                      <w:highlight w:val="none"/>
                      <w:u w:val="single" w:color="auto"/>
                      <w:lang w:val="en-US" w:eastAsia="zh-CN" w:bidi="ar"/>
                    </w:rPr>
                    <w:t>排放速率kg/h</w:t>
                  </w:r>
                </w:p>
              </w:tc>
              <w:tc>
                <w:tcPr>
                  <w:tcW w:w="619" w:type="dxa"/>
                  <w:tcBorders>
                    <w:tl2br w:val="nil"/>
                    <w:tr2bl w:val="nil"/>
                  </w:tcBorders>
                  <w:vAlign w:val="center"/>
                </w:tcPr>
                <w:p w14:paraId="435F33A5">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排放量</w:t>
                  </w:r>
                  <w:r>
                    <w:rPr>
                      <w:rFonts w:hint="eastAsia"/>
                      <w:color w:val="auto"/>
                      <w:kern w:val="0"/>
                      <w:szCs w:val="21"/>
                      <w:highlight w:val="none"/>
                      <w:u w:val="single" w:color="auto"/>
                      <w:lang w:val="en-US" w:eastAsia="zh-CN" w:bidi="ar"/>
                    </w:rPr>
                    <w:t>t/a</w:t>
                  </w:r>
                </w:p>
              </w:tc>
              <w:tc>
                <w:tcPr>
                  <w:tcW w:w="520" w:type="dxa"/>
                  <w:vMerge w:val="continue"/>
                  <w:tcBorders>
                    <w:tl2br w:val="nil"/>
                    <w:tr2bl w:val="nil"/>
                  </w:tcBorders>
                  <w:vAlign w:val="center"/>
                </w:tcPr>
                <w:p w14:paraId="1300C144">
                  <w:pPr>
                    <w:widowControl/>
                    <w:jc w:val="center"/>
                    <w:textAlignment w:val="center"/>
                    <w:rPr>
                      <w:color w:val="auto"/>
                      <w:kern w:val="0"/>
                      <w:szCs w:val="21"/>
                      <w:highlight w:val="none"/>
                      <w:u w:val="single" w:color="auto"/>
                      <w:lang w:bidi="ar"/>
                    </w:rPr>
                  </w:pPr>
                </w:p>
              </w:tc>
              <w:tc>
                <w:tcPr>
                  <w:tcW w:w="669" w:type="dxa"/>
                  <w:vMerge w:val="continue"/>
                  <w:tcBorders>
                    <w:tl2br w:val="nil"/>
                    <w:tr2bl w:val="nil"/>
                  </w:tcBorders>
                  <w:vAlign w:val="center"/>
                </w:tcPr>
                <w:p w14:paraId="7F28AF0A">
                  <w:pPr>
                    <w:widowControl/>
                    <w:jc w:val="center"/>
                    <w:textAlignment w:val="center"/>
                    <w:rPr>
                      <w:color w:val="auto"/>
                      <w:kern w:val="0"/>
                      <w:szCs w:val="21"/>
                      <w:highlight w:val="none"/>
                      <w:u w:val="single" w:color="auto"/>
                      <w:lang w:bidi="ar"/>
                    </w:rPr>
                  </w:pPr>
                </w:p>
              </w:tc>
              <w:tc>
                <w:tcPr>
                  <w:tcW w:w="666" w:type="dxa"/>
                  <w:vMerge w:val="continue"/>
                  <w:tcBorders>
                    <w:tl2br w:val="nil"/>
                    <w:tr2bl w:val="nil"/>
                  </w:tcBorders>
                  <w:vAlign w:val="center"/>
                </w:tcPr>
                <w:p w14:paraId="34B7215C">
                  <w:pPr>
                    <w:widowControl/>
                    <w:jc w:val="center"/>
                    <w:textAlignment w:val="center"/>
                    <w:rPr>
                      <w:color w:val="auto"/>
                      <w:kern w:val="0"/>
                      <w:szCs w:val="21"/>
                      <w:highlight w:val="none"/>
                      <w:u w:val="single" w:color="auto"/>
                      <w:lang w:bidi="ar"/>
                    </w:rPr>
                  </w:pPr>
                </w:p>
              </w:tc>
            </w:tr>
            <w:tr w14:paraId="3C3A39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348" w:type="dxa"/>
                  <w:vMerge w:val="restart"/>
                  <w:tcBorders>
                    <w:tl2br w:val="nil"/>
                    <w:tr2bl w:val="nil"/>
                  </w:tcBorders>
                  <w:vAlign w:val="center"/>
                </w:tcPr>
                <w:p w14:paraId="2504D7A7">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有组织</w:t>
                  </w:r>
                </w:p>
              </w:tc>
              <w:tc>
                <w:tcPr>
                  <w:tcW w:w="348" w:type="dxa"/>
                  <w:vMerge w:val="restart"/>
                  <w:tcBorders>
                    <w:tl2br w:val="nil"/>
                    <w:tr2bl w:val="nil"/>
                  </w:tcBorders>
                  <w:vAlign w:val="center"/>
                </w:tcPr>
                <w:p w14:paraId="4F7ACC64">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热风炉</w:t>
                  </w:r>
                </w:p>
              </w:tc>
              <w:tc>
                <w:tcPr>
                  <w:tcW w:w="606" w:type="dxa"/>
                  <w:vMerge w:val="restart"/>
                  <w:tcBorders>
                    <w:tl2br w:val="nil"/>
                    <w:tr2bl w:val="nil"/>
                  </w:tcBorders>
                  <w:vAlign w:val="center"/>
                </w:tcPr>
                <w:p w14:paraId="5BD15824">
                  <w:pPr>
                    <w:widowControl/>
                    <w:jc w:val="center"/>
                    <w:textAlignment w:val="center"/>
                    <w:rPr>
                      <w:rFonts w:hint="default"/>
                      <w:color w:val="auto"/>
                      <w:kern w:val="0"/>
                      <w:szCs w:val="21"/>
                      <w:highlight w:val="none"/>
                      <w:u w:val="single" w:color="auto"/>
                      <w:lang w:val="en-US" w:bidi="ar"/>
                    </w:rPr>
                  </w:pPr>
                  <w:r>
                    <w:rPr>
                      <w:rFonts w:hint="eastAsia"/>
                      <w:color w:val="auto"/>
                      <w:kern w:val="0"/>
                      <w:szCs w:val="21"/>
                      <w:highlight w:val="none"/>
                      <w:u w:val="single" w:color="auto"/>
                      <w:lang w:val="en-US" w:eastAsia="zh-CN" w:bidi="ar"/>
                    </w:rPr>
                    <w:t>6472.336</w:t>
                  </w:r>
                </w:p>
              </w:tc>
              <w:tc>
                <w:tcPr>
                  <w:tcW w:w="534" w:type="dxa"/>
                  <w:tcBorders>
                    <w:tl2br w:val="nil"/>
                    <w:tr2bl w:val="nil"/>
                  </w:tcBorders>
                  <w:vAlign w:val="center"/>
                </w:tcPr>
                <w:p w14:paraId="516BA174">
                  <w:pPr>
                    <w:widowControl/>
                    <w:jc w:val="center"/>
                    <w:textAlignment w:val="center"/>
                    <w:rPr>
                      <w:rFonts w:hint="eastAsia" w:eastAsia="宋体"/>
                      <w:color w:val="auto"/>
                      <w:kern w:val="0"/>
                      <w:szCs w:val="21"/>
                      <w:highlight w:val="none"/>
                      <w:u w:val="single" w:color="auto"/>
                      <w:lang w:eastAsia="zh-CN" w:bidi="ar"/>
                    </w:rPr>
                  </w:pPr>
                  <w:r>
                    <w:rPr>
                      <w:rFonts w:hint="eastAsia"/>
                      <w:color w:val="auto"/>
                      <w:kern w:val="0"/>
                      <w:szCs w:val="21"/>
                      <w:highlight w:val="none"/>
                      <w:u w:val="single" w:color="auto"/>
                      <w:lang w:val="en-US" w:eastAsia="zh-CN" w:bidi="ar"/>
                    </w:rPr>
                    <w:t>颗粒物</w:t>
                  </w:r>
                </w:p>
              </w:tc>
              <w:tc>
                <w:tcPr>
                  <w:tcW w:w="814" w:type="dxa"/>
                  <w:tcBorders>
                    <w:tl2br w:val="nil"/>
                    <w:tr2bl w:val="nil"/>
                  </w:tcBorders>
                  <w:vAlign w:val="center"/>
                </w:tcPr>
                <w:p w14:paraId="2A4E5074">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14729.35 </w:t>
                  </w:r>
                </w:p>
              </w:tc>
              <w:tc>
                <w:tcPr>
                  <w:tcW w:w="660" w:type="dxa"/>
                  <w:tcBorders>
                    <w:tl2br w:val="nil"/>
                    <w:tr2bl w:val="nil"/>
                  </w:tcBorders>
                  <w:vAlign w:val="center"/>
                </w:tcPr>
                <w:p w14:paraId="0B8EDA39">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114.4</w:t>
                  </w:r>
                </w:p>
              </w:tc>
              <w:tc>
                <w:tcPr>
                  <w:tcW w:w="771" w:type="dxa"/>
                  <w:vMerge w:val="restart"/>
                  <w:tcBorders>
                    <w:tl2br w:val="nil"/>
                    <w:tr2bl w:val="nil"/>
                  </w:tcBorders>
                  <w:vAlign w:val="center"/>
                </w:tcPr>
                <w:p w14:paraId="67E37883">
                  <w:pPr>
                    <w:widowControl/>
                    <w:jc w:val="center"/>
                    <w:textAlignment w:val="center"/>
                    <w:rPr>
                      <w:rFonts w:hint="eastAsia" w:ascii="Times New Roman" w:hAnsi="Times New Roman" w:eastAsia="宋体" w:cs="Times New Roman"/>
                      <w:color w:val="auto"/>
                      <w:kern w:val="0"/>
                      <w:sz w:val="21"/>
                      <w:szCs w:val="21"/>
                      <w:highlight w:val="none"/>
                      <w:u w:val="single" w:color="auto"/>
                      <w:lang w:eastAsia="zh-CN" w:bidi="ar"/>
                    </w:rPr>
                  </w:pPr>
                  <w:r>
                    <w:rPr>
                      <w:rFonts w:hint="default" w:ascii="Times New Roman" w:hAnsi="Times New Roman" w:cs="Times New Roman"/>
                      <w:color w:val="auto"/>
                      <w:kern w:val="0"/>
                      <w:sz w:val="21"/>
                      <w:szCs w:val="21"/>
                      <w:highlight w:val="none"/>
                      <w:u w:val="single" w:color="auto"/>
                      <w:lang w:bidi="ar"/>
                    </w:rPr>
                    <w:t>布袋除尘器+</w:t>
                  </w:r>
                  <w:r>
                    <w:rPr>
                      <w:rFonts w:hint="eastAsia" w:cs="Times New Roman"/>
                      <w:color w:val="auto"/>
                      <w:kern w:val="0"/>
                      <w:sz w:val="21"/>
                      <w:szCs w:val="21"/>
                      <w:highlight w:val="none"/>
                      <w:u w:val="single" w:color="auto"/>
                      <w:lang w:val="en-US" w:eastAsia="zh-CN" w:bidi="ar"/>
                    </w:rPr>
                    <w:t>18m</w:t>
                  </w:r>
                  <w:r>
                    <w:rPr>
                      <w:rFonts w:hint="eastAsia" w:cs="Times New Roman"/>
                      <w:color w:val="auto"/>
                      <w:kern w:val="0"/>
                      <w:sz w:val="21"/>
                      <w:szCs w:val="21"/>
                      <w:highlight w:val="none"/>
                      <w:u w:val="single" w:color="auto"/>
                      <w:lang w:eastAsia="zh-CN" w:bidi="ar"/>
                    </w:rPr>
                    <w:t>烟囱</w:t>
                  </w:r>
                </w:p>
              </w:tc>
              <w:tc>
                <w:tcPr>
                  <w:tcW w:w="643" w:type="dxa"/>
                  <w:tcBorders>
                    <w:tl2br w:val="nil"/>
                    <w:tr2bl w:val="nil"/>
                  </w:tcBorders>
                  <w:vAlign w:val="center"/>
                </w:tcPr>
                <w:p w14:paraId="45510575">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val="en-US"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147.29 </w:t>
                  </w:r>
                </w:p>
              </w:tc>
              <w:tc>
                <w:tcPr>
                  <w:tcW w:w="677" w:type="dxa"/>
                  <w:tcBorders>
                    <w:tl2br w:val="nil"/>
                    <w:tr2bl w:val="nil"/>
                  </w:tcBorders>
                  <w:vAlign w:val="center"/>
                </w:tcPr>
                <w:p w14:paraId="0C1055B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single" w:color="auto"/>
                      <w:lang w:val="en-US" w:eastAsia="zh-CN"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0.95 </w:t>
                  </w:r>
                </w:p>
              </w:tc>
              <w:tc>
                <w:tcPr>
                  <w:tcW w:w="619" w:type="dxa"/>
                  <w:tcBorders>
                    <w:tl2br w:val="nil"/>
                    <w:tr2bl w:val="nil"/>
                  </w:tcBorders>
                  <w:vAlign w:val="center"/>
                </w:tcPr>
                <w:p w14:paraId="5A9957FE">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val="en-US" w:bidi="ar"/>
                    </w:rPr>
                  </w:pPr>
                  <w:r>
                    <w:rPr>
                      <w:rFonts w:hint="default" w:ascii="Times New Roman" w:hAnsi="Times New Roman" w:eastAsia="宋体" w:cs="Times New Roman"/>
                      <w:i w:val="0"/>
                      <w:iCs w:val="0"/>
                      <w:color w:val="auto"/>
                      <w:kern w:val="0"/>
                      <w:sz w:val="21"/>
                      <w:szCs w:val="21"/>
                      <w:u w:val="single" w:color="auto"/>
                      <w:lang w:val="en-US" w:eastAsia="zh-CN" w:bidi="ar"/>
                    </w:rPr>
                    <w:t>1.144</w:t>
                  </w:r>
                </w:p>
              </w:tc>
              <w:tc>
                <w:tcPr>
                  <w:tcW w:w="520" w:type="dxa"/>
                  <w:vMerge w:val="restart"/>
                  <w:tcBorders>
                    <w:tl2br w:val="nil"/>
                    <w:tr2bl w:val="nil"/>
                  </w:tcBorders>
                  <w:vAlign w:val="center"/>
                </w:tcPr>
                <w:p w14:paraId="726DE38C">
                  <w:pPr>
                    <w:widowControl/>
                    <w:jc w:val="center"/>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default" w:ascii="Times New Roman" w:hAnsi="Times New Roman" w:cs="Times New Roman"/>
                      <w:color w:val="auto"/>
                      <w:kern w:val="0"/>
                      <w:sz w:val="21"/>
                      <w:szCs w:val="21"/>
                      <w:highlight w:val="none"/>
                      <w:u w:val="single" w:color="auto"/>
                      <w:lang w:val="en-US" w:eastAsia="zh-CN" w:bidi="ar"/>
                    </w:rPr>
                    <w:t>1</w:t>
                  </w:r>
                  <w:r>
                    <w:rPr>
                      <w:rFonts w:hint="eastAsia" w:cs="Times New Roman"/>
                      <w:color w:val="auto"/>
                      <w:kern w:val="0"/>
                      <w:sz w:val="21"/>
                      <w:szCs w:val="21"/>
                      <w:highlight w:val="none"/>
                      <w:u w:val="single" w:color="auto"/>
                      <w:lang w:val="en-US" w:eastAsia="zh-CN" w:bidi="ar"/>
                    </w:rPr>
                    <w:t>200</w:t>
                  </w:r>
                </w:p>
              </w:tc>
              <w:tc>
                <w:tcPr>
                  <w:tcW w:w="669" w:type="dxa"/>
                  <w:tcBorders>
                    <w:tl2br w:val="nil"/>
                    <w:tr2bl w:val="nil"/>
                  </w:tcBorders>
                  <w:vAlign w:val="center"/>
                </w:tcPr>
                <w:p w14:paraId="474B0321">
                  <w:pPr>
                    <w:widowControl/>
                    <w:jc w:val="center"/>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default" w:ascii="Times New Roman" w:hAnsi="Times New Roman" w:cs="Times New Roman"/>
                      <w:color w:val="auto"/>
                      <w:kern w:val="0"/>
                      <w:sz w:val="21"/>
                      <w:szCs w:val="21"/>
                      <w:highlight w:val="none"/>
                      <w:u w:val="single" w:color="auto"/>
                      <w:lang w:val="en-US" w:eastAsia="zh-CN" w:bidi="ar"/>
                    </w:rPr>
                    <w:t>200</w:t>
                  </w:r>
                </w:p>
              </w:tc>
              <w:tc>
                <w:tcPr>
                  <w:tcW w:w="666" w:type="dxa"/>
                  <w:tcBorders>
                    <w:tl2br w:val="nil"/>
                    <w:tr2bl w:val="nil"/>
                  </w:tcBorders>
                  <w:vAlign w:val="center"/>
                </w:tcPr>
                <w:p w14:paraId="4FED6EC7">
                  <w:pPr>
                    <w:widowControl/>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eastAsia="zh-CN" w:bidi="ar"/>
                    </w:rPr>
                    <w:t>达标</w:t>
                  </w:r>
                </w:p>
              </w:tc>
            </w:tr>
            <w:tr w14:paraId="5FA3AE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48" w:type="dxa"/>
                  <w:vMerge w:val="continue"/>
                  <w:tcBorders>
                    <w:tl2br w:val="nil"/>
                    <w:tr2bl w:val="nil"/>
                  </w:tcBorders>
                  <w:vAlign w:val="center"/>
                </w:tcPr>
                <w:p w14:paraId="40F7B167">
                  <w:pPr>
                    <w:widowControl/>
                    <w:jc w:val="center"/>
                    <w:textAlignment w:val="center"/>
                    <w:rPr>
                      <w:color w:val="auto"/>
                      <w:kern w:val="0"/>
                      <w:szCs w:val="21"/>
                      <w:highlight w:val="none"/>
                      <w:u w:val="single" w:color="auto"/>
                      <w:lang w:bidi="ar"/>
                    </w:rPr>
                  </w:pPr>
                </w:p>
              </w:tc>
              <w:tc>
                <w:tcPr>
                  <w:tcW w:w="348" w:type="dxa"/>
                  <w:vMerge w:val="continue"/>
                  <w:tcBorders>
                    <w:tl2br w:val="nil"/>
                    <w:tr2bl w:val="nil"/>
                  </w:tcBorders>
                  <w:vAlign w:val="center"/>
                </w:tcPr>
                <w:p w14:paraId="54E985E6">
                  <w:pPr>
                    <w:widowControl/>
                    <w:jc w:val="center"/>
                    <w:textAlignment w:val="center"/>
                    <w:rPr>
                      <w:color w:val="auto"/>
                      <w:kern w:val="0"/>
                      <w:szCs w:val="21"/>
                      <w:highlight w:val="none"/>
                      <w:u w:val="single" w:color="auto"/>
                      <w:lang w:bidi="ar"/>
                    </w:rPr>
                  </w:pPr>
                </w:p>
              </w:tc>
              <w:tc>
                <w:tcPr>
                  <w:tcW w:w="606" w:type="dxa"/>
                  <w:vMerge w:val="continue"/>
                  <w:tcBorders>
                    <w:tl2br w:val="nil"/>
                    <w:tr2bl w:val="nil"/>
                  </w:tcBorders>
                  <w:vAlign w:val="center"/>
                </w:tcPr>
                <w:p w14:paraId="20A136A4">
                  <w:pPr>
                    <w:widowControl/>
                    <w:jc w:val="center"/>
                    <w:textAlignment w:val="center"/>
                    <w:rPr>
                      <w:color w:val="auto"/>
                      <w:kern w:val="0"/>
                      <w:szCs w:val="21"/>
                      <w:highlight w:val="none"/>
                      <w:u w:val="single" w:color="auto"/>
                      <w:lang w:bidi="ar"/>
                    </w:rPr>
                  </w:pPr>
                </w:p>
              </w:tc>
              <w:tc>
                <w:tcPr>
                  <w:tcW w:w="534" w:type="dxa"/>
                  <w:tcBorders>
                    <w:tl2br w:val="nil"/>
                    <w:tr2bl w:val="nil"/>
                  </w:tcBorders>
                  <w:vAlign w:val="center"/>
                </w:tcPr>
                <w:p w14:paraId="7516E1D6">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SO</w:t>
                  </w:r>
                  <w:r>
                    <w:rPr>
                      <w:color w:val="auto"/>
                      <w:kern w:val="0"/>
                      <w:szCs w:val="21"/>
                      <w:highlight w:val="none"/>
                      <w:u w:val="single" w:color="auto"/>
                      <w:vertAlign w:val="subscript"/>
                      <w:lang w:bidi="ar"/>
                    </w:rPr>
                    <w:t>2</w:t>
                  </w:r>
                </w:p>
              </w:tc>
              <w:tc>
                <w:tcPr>
                  <w:tcW w:w="814" w:type="dxa"/>
                  <w:tcBorders>
                    <w:tl2br w:val="nil"/>
                    <w:tr2bl w:val="nil"/>
                  </w:tcBorders>
                  <w:vAlign w:val="center"/>
                </w:tcPr>
                <w:p w14:paraId="31527C0A">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25.75 </w:t>
                  </w:r>
                </w:p>
              </w:tc>
              <w:tc>
                <w:tcPr>
                  <w:tcW w:w="660" w:type="dxa"/>
                  <w:tcBorders>
                    <w:tl2br w:val="nil"/>
                    <w:tr2bl w:val="nil"/>
                  </w:tcBorders>
                  <w:vAlign w:val="center"/>
                </w:tcPr>
                <w:p w14:paraId="212656A8">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0.2</w:t>
                  </w:r>
                </w:p>
              </w:tc>
              <w:tc>
                <w:tcPr>
                  <w:tcW w:w="771" w:type="dxa"/>
                  <w:vMerge w:val="continue"/>
                  <w:tcBorders>
                    <w:tl2br w:val="nil"/>
                    <w:tr2bl w:val="nil"/>
                  </w:tcBorders>
                  <w:vAlign w:val="center"/>
                </w:tcPr>
                <w:p w14:paraId="7982C18C">
                  <w:pPr>
                    <w:widowControl/>
                    <w:jc w:val="center"/>
                    <w:textAlignment w:val="center"/>
                    <w:rPr>
                      <w:rFonts w:hint="default" w:ascii="Times New Roman" w:hAnsi="Times New Roman" w:cs="Times New Roman"/>
                      <w:color w:val="auto"/>
                      <w:kern w:val="0"/>
                      <w:sz w:val="21"/>
                      <w:szCs w:val="21"/>
                      <w:highlight w:val="none"/>
                      <w:u w:val="single" w:color="auto"/>
                      <w:lang w:bidi="ar"/>
                    </w:rPr>
                  </w:pPr>
                </w:p>
              </w:tc>
              <w:tc>
                <w:tcPr>
                  <w:tcW w:w="643" w:type="dxa"/>
                  <w:tcBorders>
                    <w:tl2br w:val="nil"/>
                    <w:tr2bl w:val="nil"/>
                  </w:tcBorders>
                  <w:vAlign w:val="center"/>
                </w:tcPr>
                <w:p w14:paraId="7EBC758C">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25.75 </w:t>
                  </w:r>
                </w:p>
              </w:tc>
              <w:tc>
                <w:tcPr>
                  <w:tcW w:w="677" w:type="dxa"/>
                  <w:tcBorders>
                    <w:tl2br w:val="nil"/>
                    <w:tr2bl w:val="nil"/>
                  </w:tcBorders>
                  <w:vAlign w:val="center"/>
                </w:tcPr>
                <w:p w14:paraId="765600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single" w:color="auto"/>
                      <w:lang w:val="en-US" w:eastAsia="zh-CN"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0.17 </w:t>
                  </w:r>
                </w:p>
              </w:tc>
              <w:tc>
                <w:tcPr>
                  <w:tcW w:w="619" w:type="dxa"/>
                  <w:tcBorders>
                    <w:tl2br w:val="nil"/>
                    <w:tr2bl w:val="nil"/>
                  </w:tcBorders>
                  <w:vAlign w:val="center"/>
                </w:tcPr>
                <w:p w14:paraId="4ABD6A3B">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0.2</w:t>
                  </w:r>
                </w:p>
              </w:tc>
              <w:tc>
                <w:tcPr>
                  <w:tcW w:w="520" w:type="dxa"/>
                  <w:vMerge w:val="continue"/>
                  <w:tcBorders>
                    <w:tl2br w:val="nil"/>
                    <w:tr2bl w:val="nil"/>
                  </w:tcBorders>
                  <w:vAlign w:val="center"/>
                </w:tcPr>
                <w:p w14:paraId="68509875">
                  <w:pPr>
                    <w:widowControl/>
                    <w:jc w:val="center"/>
                    <w:textAlignment w:val="center"/>
                    <w:rPr>
                      <w:rFonts w:hint="default" w:ascii="Times New Roman" w:hAnsi="Times New Roman" w:cs="Times New Roman"/>
                      <w:color w:val="auto"/>
                      <w:kern w:val="0"/>
                      <w:sz w:val="21"/>
                      <w:szCs w:val="21"/>
                      <w:highlight w:val="none"/>
                      <w:u w:val="single" w:color="auto"/>
                      <w:lang w:bidi="ar"/>
                    </w:rPr>
                  </w:pPr>
                </w:p>
              </w:tc>
              <w:tc>
                <w:tcPr>
                  <w:tcW w:w="669" w:type="dxa"/>
                  <w:tcBorders>
                    <w:tl2br w:val="nil"/>
                    <w:tr2bl w:val="nil"/>
                  </w:tcBorders>
                  <w:vAlign w:val="center"/>
                </w:tcPr>
                <w:p w14:paraId="43235FAD">
                  <w:pPr>
                    <w:widowControl/>
                    <w:jc w:val="center"/>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default" w:ascii="Times New Roman" w:hAnsi="Times New Roman" w:cs="Times New Roman"/>
                      <w:color w:val="auto"/>
                      <w:kern w:val="0"/>
                      <w:sz w:val="21"/>
                      <w:szCs w:val="21"/>
                      <w:highlight w:val="none"/>
                      <w:u w:val="single" w:color="auto"/>
                      <w:lang w:val="en-US" w:eastAsia="zh-CN" w:bidi="ar"/>
                    </w:rPr>
                    <w:t>850</w:t>
                  </w:r>
                </w:p>
              </w:tc>
              <w:tc>
                <w:tcPr>
                  <w:tcW w:w="666" w:type="dxa"/>
                  <w:tcBorders>
                    <w:tl2br w:val="nil"/>
                    <w:tr2bl w:val="nil"/>
                  </w:tcBorders>
                  <w:vAlign w:val="center"/>
                </w:tcPr>
                <w:p w14:paraId="3BF7C086">
                  <w:pPr>
                    <w:widowControl/>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eastAsia="zh-CN" w:bidi="ar"/>
                    </w:rPr>
                    <w:t>达标</w:t>
                  </w:r>
                </w:p>
              </w:tc>
            </w:tr>
            <w:tr w14:paraId="6FE13D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348" w:type="dxa"/>
                  <w:vMerge w:val="continue"/>
                  <w:tcBorders>
                    <w:tl2br w:val="nil"/>
                    <w:tr2bl w:val="nil"/>
                  </w:tcBorders>
                  <w:vAlign w:val="center"/>
                </w:tcPr>
                <w:p w14:paraId="53CED875">
                  <w:pPr>
                    <w:widowControl/>
                    <w:jc w:val="center"/>
                    <w:textAlignment w:val="center"/>
                    <w:rPr>
                      <w:color w:val="auto"/>
                      <w:kern w:val="0"/>
                      <w:szCs w:val="21"/>
                      <w:highlight w:val="none"/>
                      <w:u w:val="single" w:color="auto"/>
                      <w:lang w:bidi="ar"/>
                    </w:rPr>
                  </w:pPr>
                </w:p>
              </w:tc>
              <w:tc>
                <w:tcPr>
                  <w:tcW w:w="348" w:type="dxa"/>
                  <w:vMerge w:val="continue"/>
                  <w:tcBorders>
                    <w:tl2br w:val="nil"/>
                    <w:tr2bl w:val="nil"/>
                  </w:tcBorders>
                  <w:vAlign w:val="center"/>
                </w:tcPr>
                <w:p w14:paraId="3B16DE39">
                  <w:pPr>
                    <w:widowControl/>
                    <w:jc w:val="center"/>
                    <w:textAlignment w:val="center"/>
                    <w:rPr>
                      <w:color w:val="auto"/>
                      <w:kern w:val="0"/>
                      <w:szCs w:val="21"/>
                      <w:highlight w:val="none"/>
                      <w:u w:val="single" w:color="auto"/>
                      <w:lang w:bidi="ar"/>
                    </w:rPr>
                  </w:pPr>
                </w:p>
              </w:tc>
              <w:tc>
                <w:tcPr>
                  <w:tcW w:w="606" w:type="dxa"/>
                  <w:vMerge w:val="continue"/>
                  <w:tcBorders>
                    <w:tl2br w:val="nil"/>
                    <w:tr2bl w:val="nil"/>
                  </w:tcBorders>
                  <w:vAlign w:val="center"/>
                </w:tcPr>
                <w:p w14:paraId="75846048">
                  <w:pPr>
                    <w:widowControl/>
                    <w:jc w:val="center"/>
                    <w:textAlignment w:val="center"/>
                    <w:rPr>
                      <w:color w:val="auto"/>
                      <w:kern w:val="0"/>
                      <w:szCs w:val="21"/>
                      <w:highlight w:val="none"/>
                      <w:u w:val="single" w:color="auto"/>
                      <w:lang w:bidi="ar"/>
                    </w:rPr>
                  </w:pPr>
                </w:p>
              </w:tc>
              <w:tc>
                <w:tcPr>
                  <w:tcW w:w="534" w:type="dxa"/>
                  <w:tcBorders>
                    <w:tl2br w:val="nil"/>
                    <w:tr2bl w:val="nil"/>
                  </w:tcBorders>
                  <w:vAlign w:val="center"/>
                </w:tcPr>
                <w:p w14:paraId="1BCE4414">
                  <w:pPr>
                    <w:widowControl/>
                    <w:jc w:val="center"/>
                    <w:textAlignment w:val="center"/>
                    <w:rPr>
                      <w:color w:val="auto"/>
                      <w:kern w:val="0"/>
                      <w:szCs w:val="21"/>
                      <w:highlight w:val="none"/>
                      <w:u w:val="single" w:color="auto"/>
                      <w:lang w:bidi="ar"/>
                    </w:rPr>
                  </w:pPr>
                  <w:r>
                    <w:rPr>
                      <w:color w:val="auto"/>
                      <w:kern w:val="0"/>
                      <w:szCs w:val="21"/>
                      <w:highlight w:val="none"/>
                      <w:u w:val="single" w:color="auto"/>
                      <w:lang w:bidi="ar"/>
                    </w:rPr>
                    <w:t>NOx</w:t>
                  </w:r>
                </w:p>
              </w:tc>
              <w:tc>
                <w:tcPr>
                  <w:tcW w:w="814" w:type="dxa"/>
                  <w:tcBorders>
                    <w:tl2br w:val="nil"/>
                    <w:tr2bl w:val="nil"/>
                  </w:tcBorders>
                  <w:vAlign w:val="center"/>
                </w:tcPr>
                <w:p w14:paraId="4BEC725B">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163.52 </w:t>
                  </w:r>
                </w:p>
              </w:tc>
              <w:tc>
                <w:tcPr>
                  <w:tcW w:w="660" w:type="dxa"/>
                  <w:tcBorders>
                    <w:tl2br w:val="nil"/>
                    <w:tr2bl w:val="nil"/>
                  </w:tcBorders>
                  <w:vAlign w:val="center"/>
                </w:tcPr>
                <w:p w14:paraId="13CC8917">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1.27</w:t>
                  </w:r>
                </w:p>
              </w:tc>
              <w:tc>
                <w:tcPr>
                  <w:tcW w:w="771" w:type="dxa"/>
                  <w:vMerge w:val="continue"/>
                  <w:tcBorders>
                    <w:tl2br w:val="nil"/>
                    <w:tr2bl w:val="nil"/>
                  </w:tcBorders>
                  <w:vAlign w:val="center"/>
                </w:tcPr>
                <w:p w14:paraId="37298AD3">
                  <w:pPr>
                    <w:widowControl/>
                    <w:jc w:val="center"/>
                    <w:textAlignment w:val="center"/>
                    <w:rPr>
                      <w:rFonts w:hint="default" w:ascii="Times New Roman" w:hAnsi="Times New Roman" w:cs="Times New Roman"/>
                      <w:color w:val="auto"/>
                      <w:kern w:val="0"/>
                      <w:sz w:val="21"/>
                      <w:szCs w:val="21"/>
                      <w:highlight w:val="none"/>
                      <w:u w:val="single" w:color="auto"/>
                      <w:lang w:bidi="ar"/>
                    </w:rPr>
                  </w:pPr>
                </w:p>
              </w:tc>
              <w:tc>
                <w:tcPr>
                  <w:tcW w:w="643" w:type="dxa"/>
                  <w:tcBorders>
                    <w:tl2br w:val="nil"/>
                    <w:tr2bl w:val="nil"/>
                  </w:tcBorders>
                  <w:vAlign w:val="center"/>
                </w:tcPr>
                <w:p w14:paraId="37487B80">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163.52 </w:t>
                  </w:r>
                </w:p>
              </w:tc>
              <w:tc>
                <w:tcPr>
                  <w:tcW w:w="677" w:type="dxa"/>
                  <w:tcBorders>
                    <w:tl2br w:val="nil"/>
                    <w:tr2bl w:val="nil"/>
                  </w:tcBorders>
                  <w:vAlign w:val="center"/>
                </w:tcPr>
                <w:p w14:paraId="1039AAD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single" w:color="auto"/>
                      <w:lang w:val="en-US" w:eastAsia="zh-CN" w:bidi="ar"/>
                    </w:rPr>
                  </w:pPr>
                  <w:r>
                    <w:rPr>
                      <w:rFonts w:hint="default" w:ascii="Times New Roman" w:hAnsi="Times New Roman" w:eastAsia="宋体" w:cs="Times New Roman"/>
                      <w:i w:val="0"/>
                      <w:iCs w:val="0"/>
                      <w:color w:val="auto"/>
                      <w:kern w:val="0"/>
                      <w:sz w:val="21"/>
                      <w:szCs w:val="21"/>
                      <w:u w:val="single" w:color="auto"/>
                      <w:lang w:val="en-US" w:eastAsia="zh-CN" w:bidi="ar"/>
                    </w:rPr>
                    <w:t xml:space="preserve">1.06 </w:t>
                  </w:r>
                </w:p>
              </w:tc>
              <w:tc>
                <w:tcPr>
                  <w:tcW w:w="619" w:type="dxa"/>
                  <w:tcBorders>
                    <w:tl2br w:val="nil"/>
                    <w:tr2bl w:val="nil"/>
                  </w:tcBorders>
                  <w:vAlign w:val="center"/>
                </w:tcPr>
                <w:p w14:paraId="3EEFC916">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bidi="ar"/>
                    </w:rPr>
                  </w:pPr>
                  <w:r>
                    <w:rPr>
                      <w:rFonts w:hint="default" w:ascii="Times New Roman" w:hAnsi="Times New Roman" w:eastAsia="宋体" w:cs="Times New Roman"/>
                      <w:i w:val="0"/>
                      <w:iCs w:val="0"/>
                      <w:color w:val="auto"/>
                      <w:kern w:val="0"/>
                      <w:sz w:val="21"/>
                      <w:szCs w:val="21"/>
                      <w:u w:val="single" w:color="auto"/>
                      <w:lang w:val="en-US" w:eastAsia="zh-CN" w:bidi="ar"/>
                    </w:rPr>
                    <w:t>1.27</w:t>
                  </w:r>
                </w:p>
              </w:tc>
              <w:tc>
                <w:tcPr>
                  <w:tcW w:w="520" w:type="dxa"/>
                  <w:vMerge w:val="continue"/>
                  <w:tcBorders>
                    <w:tl2br w:val="nil"/>
                    <w:tr2bl w:val="nil"/>
                  </w:tcBorders>
                  <w:vAlign w:val="center"/>
                </w:tcPr>
                <w:p w14:paraId="6A24908C">
                  <w:pPr>
                    <w:widowControl/>
                    <w:jc w:val="center"/>
                    <w:textAlignment w:val="center"/>
                    <w:rPr>
                      <w:rFonts w:hint="default" w:ascii="Times New Roman" w:hAnsi="Times New Roman" w:cs="Times New Roman"/>
                      <w:color w:val="auto"/>
                      <w:kern w:val="0"/>
                      <w:sz w:val="21"/>
                      <w:szCs w:val="21"/>
                      <w:highlight w:val="none"/>
                      <w:u w:val="single" w:color="auto"/>
                      <w:lang w:bidi="ar"/>
                    </w:rPr>
                  </w:pPr>
                </w:p>
              </w:tc>
              <w:tc>
                <w:tcPr>
                  <w:tcW w:w="669" w:type="dxa"/>
                  <w:tcBorders>
                    <w:tl2br w:val="nil"/>
                    <w:tr2bl w:val="nil"/>
                  </w:tcBorders>
                  <w:vAlign w:val="center"/>
                </w:tcPr>
                <w:p w14:paraId="639C8F5B">
                  <w:pPr>
                    <w:keepNext w:val="0"/>
                    <w:keepLines w:val="0"/>
                    <w:widowControl/>
                    <w:suppressLineNumbers w:val="0"/>
                    <w:jc w:val="center"/>
                    <w:textAlignment w:val="center"/>
                    <w:rPr>
                      <w:rFonts w:hint="eastAsia" w:ascii="Times New Roman" w:hAnsi="Times New Roman" w:cs="Times New Roman"/>
                      <w:color w:val="auto"/>
                      <w:highlight w:val="none"/>
                      <w:u w:val="single" w:color="auto"/>
                      <w:lang w:val="en-US" w:eastAsia="zh-CN"/>
                    </w:rPr>
                  </w:pPr>
                  <w:r>
                    <w:rPr>
                      <w:rFonts w:hint="default" w:ascii="Times New Roman" w:hAnsi="Times New Roman" w:cs="Times New Roman"/>
                      <w:color w:val="auto"/>
                      <w:highlight w:val="none"/>
                      <w:u w:val="single" w:color="auto"/>
                      <w:lang w:val="en-US" w:eastAsia="zh-CN"/>
                    </w:rPr>
                    <w:t>240</w:t>
                  </w:r>
                  <w:r>
                    <w:rPr>
                      <w:rFonts w:hint="eastAsia" w:ascii="Times New Roman" w:hAnsi="Times New Roman" w:cs="Times New Roman"/>
                      <w:color w:val="auto"/>
                      <w:highlight w:val="none"/>
                      <w:u w:val="single" w:color="auto"/>
                      <w:lang w:val="en-US" w:eastAsia="zh-CN"/>
                    </w:rPr>
                    <w:t>（18m</w:t>
                  </w:r>
                  <w:r>
                    <w:rPr>
                      <w:rFonts w:hint="eastAsia" w:cs="Times New Roman"/>
                      <w:color w:val="auto"/>
                      <w:highlight w:val="none"/>
                      <w:u w:val="single" w:color="auto"/>
                      <w:lang w:val="en-US" w:eastAsia="zh-CN"/>
                    </w:rPr>
                    <w:t>烟囱</w:t>
                  </w:r>
                  <w:r>
                    <w:rPr>
                      <w:rFonts w:hint="eastAsia" w:ascii="Times New Roman" w:hAnsi="Times New Roman" w:cs="Times New Roman"/>
                      <w:color w:val="auto"/>
                      <w:highlight w:val="none"/>
                      <w:u w:val="single" w:color="auto"/>
                      <w:lang w:val="en-US" w:eastAsia="zh-CN"/>
                    </w:rPr>
                    <w:t>速率限值1.088kg/</w:t>
                  </w:r>
                </w:p>
                <w:p w14:paraId="3639F74D">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u w:val="single" w:color="auto"/>
                      <w:lang w:val="en-US" w:eastAsia="zh-CN" w:bidi="ar"/>
                    </w:rPr>
                  </w:pPr>
                  <w:r>
                    <w:rPr>
                      <w:rFonts w:hint="eastAsia" w:ascii="Times New Roman" w:hAnsi="Times New Roman" w:cs="Times New Roman"/>
                      <w:color w:val="auto"/>
                      <w:highlight w:val="none"/>
                      <w:u w:val="single" w:color="auto"/>
                      <w:lang w:val="en-US" w:eastAsia="zh-CN"/>
                    </w:rPr>
                    <w:t>）</w:t>
                  </w:r>
                </w:p>
              </w:tc>
              <w:tc>
                <w:tcPr>
                  <w:tcW w:w="666" w:type="dxa"/>
                  <w:tcBorders>
                    <w:tl2br w:val="nil"/>
                    <w:tr2bl w:val="nil"/>
                  </w:tcBorders>
                  <w:vAlign w:val="center"/>
                </w:tcPr>
                <w:p w14:paraId="42EF70A6">
                  <w:pPr>
                    <w:widowControl/>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eastAsia="zh-CN" w:bidi="ar"/>
                    </w:rPr>
                    <w:t>达标</w:t>
                  </w:r>
                </w:p>
              </w:tc>
            </w:tr>
            <w:tr w14:paraId="6558EF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348" w:type="dxa"/>
                  <w:vMerge w:val="restart"/>
                  <w:tcBorders>
                    <w:tl2br w:val="nil"/>
                    <w:tr2bl w:val="nil"/>
                  </w:tcBorders>
                  <w:vAlign w:val="center"/>
                </w:tcPr>
                <w:p w14:paraId="12B792F6">
                  <w:pPr>
                    <w:widowControl/>
                    <w:adjustRightInd w:val="0"/>
                    <w:snapToGrid w:val="0"/>
                    <w:jc w:val="center"/>
                    <w:rPr>
                      <w:color w:val="auto"/>
                      <w:szCs w:val="21"/>
                      <w:highlight w:val="none"/>
                      <w:u w:val="single" w:color="auto"/>
                    </w:rPr>
                  </w:pPr>
                  <w:r>
                    <w:rPr>
                      <w:rFonts w:hint="eastAsia" w:ascii="宋体" w:hAnsi="宋体" w:cs="宋体"/>
                      <w:color w:val="auto"/>
                      <w:kern w:val="0"/>
                      <w:szCs w:val="21"/>
                      <w:highlight w:val="none"/>
                      <w:u w:val="single" w:color="auto"/>
                      <w:lang w:bidi="ar"/>
                    </w:rPr>
                    <w:t>无组织</w:t>
                  </w:r>
                </w:p>
              </w:tc>
              <w:tc>
                <w:tcPr>
                  <w:tcW w:w="348" w:type="dxa"/>
                  <w:tcBorders>
                    <w:tl2br w:val="nil"/>
                    <w:tr2bl w:val="nil"/>
                  </w:tcBorders>
                  <w:vAlign w:val="center"/>
                </w:tcPr>
                <w:p w14:paraId="48A1CDB6">
                  <w:pPr>
                    <w:widowControl/>
                    <w:ind w:left="-63" w:leftChars="-30" w:right="-63" w:rightChars="-30"/>
                    <w:jc w:val="center"/>
                    <w:textAlignment w:val="center"/>
                    <w:rPr>
                      <w:color w:val="auto"/>
                      <w:szCs w:val="21"/>
                      <w:highlight w:val="none"/>
                      <w:u w:val="single" w:color="auto"/>
                    </w:rPr>
                  </w:pPr>
                  <w:r>
                    <w:rPr>
                      <w:rFonts w:hint="eastAsia" w:ascii="宋体" w:hAnsi="宋体" w:cs="宋体"/>
                      <w:color w:val="auto"/>
                      <w:kern w:val="0"/>
                      <w:szCs w:val="21"/>
                      <w:highlight w:val="none"/>
                      <w:u w:val="single" w:color="auto"/>
                      <w:lang w:bidi="ar"/>
                    </w:rPr>
                    <w:t>装卸粉尘</w:t>
                  </w:r>
                </w:p>
              </w:tc>
              <w:tc>
                <w:tcPr>
                  <w:tcW w:w="606" w:type="dxa"/>
                  <w:tcBorders>
                    <w:tl2br w:val="nil"/>
                    <w:tr2bl w:val="nil"/>
                  </w:tcBorders>
                  <w:vAlign w:val="center"/>
                </w:tcPr>
                <w:p w14:paraId="4D765169">
                  <w:pPr>
                    <w:widowControl/>
                    <w:ind w:left="-63" w:leftChars="-30" w:right="-63" w:rightChars="-30"/>
                    <w:jc w:val="center"/>
                    <w:textAlignment w:val="center"/>
                    <w:rPr>
                      <w:color w:val="auto"/>
                      <w:szCs w:val="21"/>
                      <w:highlight w:val="none"/>
                      <w:u w:val="single" w:color="auto"/>
                    </w:rPr>
                  </w:pPr>
                  <w:r>
                    <w:rPr>
                      <w:color w:val="auto"/>
                      <w:kern w:val="0"/>
                      <w:szCs w:val="21"/>
                      <w:highlight w:val="none"/>
                      <w:u w:val="single" w:color="auto"/>
                      <w:lang w:bidi="ar"/>
                    </w:rPr>
                    <w:t>/</w:t>
                  </w:r>
                </w:p>
              </w:tc>
              <w:tc>
                <w:tcPr>
                  <w:tcW w:w="534" w:type="dxa"/>
                  <w:tcBorders>
                    <w:tl2br w:val="nil"/>
                    <w:tr2bl w:val="nil"/>
                  </w:tcBorders>
                  <w:vAlign w:val="center"/>
                </w:tcPr>
                <w:p w14:paraId="15D4DD0D">
                  <w:pPr>
                    <w:widowControl/>
                    <w:ind w:left="-63" w:leftChars="-30" w:right="-63" w:rightChars="-30"/>
                    <w:jc w:val="center"/>
                    <w:textAlignment w:val="center"/>
                    <w:rPr>
                      <w:color w:val="auto"/>
                      <w:szCs w:val="21"/>
                      <w:highlight w:val="none"/>
                      <w:u w:val="single" w:color="auto"/>
                    </w:rPr>
                  </w:pPr>
                  <w:r>
                    <w:rPr>
                      <w:rFonts w:hint="eastAsia" w:ascii="宋体" w:hAnsi="宋体" w:cs="宋体"/>
                      <w:color w:val="auto"/>
                      <w:kern w:val="0"/>
                      <w:szCs w:val="21"/>
                      <w:highlight w:val="none"/>
                      <w:u w:val="single" w:color="auto"/>
                      <w:lang w:bidi="ar"/>
                    </w:rPr>
                    <w:t>粉尘</w:t>
                  </w:r>
                </w:p>
              </w:tc>
              <w:tc>
                <w:tcPr>
                  <w:tcW w:w="814" w:type="dxa"/>
                  <w:tcBorders>
                    <w:tl2br w:val="nil"/>
                    <w:tr2bl w:val="nil"/>
                  </w:tcBorders>
                  <w:vAlign w:val="center"/>
                </w:tcPr>
                <w:p w14:paraId="41802C3D">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w:t>
                  </w:r>
                </w:p>
              </w:tc>
              <w:tc>
                <w:tcPr>
                  <w:tcW w:w="660" w:type="dxa"/>
                  <w:tcBorders>
                    <w:tl2br w:val="nil"/>
                    <w:tr2bl w:val="nil"/>
                  </w:tcBorders>
                  <w:vAlign w:val="center"/>
                </w:tcPr>
                <w:p w14:paraId="2088EEC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default" w:ascii="Times New Roman" w:hAnsi="Times New Roman" w:eastAsia="宋体" w:cs="Times New Roman"/>
                      <w:i w:val="0"/>
                      <w:iCs w:val="0"/>
                      <w:color w:val="auto"/>
                      <w:kern w:val="0"/>
                      <w:sz w:val="21"/>
                      <w:szCs w:val="21"/>
                      <w:u w:val="single" w:color="auto"/>
                      <w:lang w:val="en-US" w:eastAsia="zh-CN" w:bidi="ar"/>
                    </w:rPr>
                    <w:t>0.0</w:t>
                  </w:r>
                  <w:r>
                    <w:rPr>
                      <w:rFonts w:hint="eastAsia" w:cs="Times New Roman"/>
                      <w:i w:val="0"/>
                      <w:iCs w:val="0"/>
                      <w:color w:val="auto"/>
                      <w:kern w:val="0"/>
                      <w:sz w:val="21"/>
                      <w:szCs w:val="21"/>
                      <w:u w:val="single" w:color="auto"/>
                      <w:lang w:val="en-US" w:eastAsia="zh-CN" w:bidi="ar"/>
                    </w:rPr>
                    <w:t>3</w:t>
                  </w:r>
                </w:p>
              </w:tc>
              <w:tc>
                <w:tcPr>
                  <w:tcW w:w="771" w:type="dxa"/>
                  <w:tcBorders>
                    <w:tl2br w:val="nil"/>
                    <w:tr2bl w:val="nil"/>
                  </w:tcBorders>
                  <w:vAlign w:val="center"/>
                </w:tcPr>
                <w:p w14:paraId="041E70B9">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sz w:val="21"/>
                      <w:szCs w:val="21"/>
                      <w:highlight w:val="none"/>
                      <w:u w:val="single" w:color="auto"/>
                    </w:rPr>
                    <w:t>输送带</w:t>
                  </w:r>
                  <w:r>
                    <w:rPr>
                      <w:rFonts w:hint="eastAsia" w:cs="Times New Roman"/>
                      <w:color w:val="auto"/>
                      <w:sz w:val="21"/>
                      <w:szCs w:val="21"/>
                      <w:highlight w:val="none"/>
                      <w:u w:val="single" w:color="auto"/>
                      <w:lang w:eastAsia="zh-CN"/>
                    </w:rPr>
                    <w:t>、</w:t>
                  </w:r>
                  <w:r>
                    <w:rPr>
                      <w:rFonts w:hint="eastAsia" w:cs="Times New Roman"/>
                      <w:color w:val="auto"/>
                      <w:sz w:val="21"/>
                      <w:szCs w:val="21"/>
                      <w:highlight w:val="none"/>
                      <w:u w:val="single" w:color="auto"/>
                      <w:lang w:val="en-US" w:eastAsia="zh-CN"/>
                    </w:rPr>
                    <w:t>提升机</w:t>
                  </w:r>
                  <w:r>
                    <w:rPr>
                      <w:rFonts w:hint="default" w:ascii="Times New Roman" w:hAnsi="Times New Roman" w:cs="Times New Roman"/>
                      <w:color w:val="auto"/>
                      <w:sz w:val="21"/>
                      <w:szCs w:val="21"/>
                      <w:highlight w:val="none"/>
                      <w:u w:val="single" w:color="auto"/>
                    </w:rPr>
                    <w:t>密闭</w:t>
                  </w:r>
                </w:p>
              </w:tc>
              <w:tc>
                <w:tcPr>
                  <w:tcW w:w="643" w:type="dxa"/>
                  <w:tcBorders>
                    <w:tl2br w:val="nil"/>
                    <w:tr2bl w:val="nil"/>
                  </w:tcBorders>
                  <w:vAlign w:val="center"/>
                </w:tcPr>
                <w:p w14:paraId="6F336877">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w:t>
                  </w:r>
                </w:p>
              </w:tc>
              <w:tc>
                <w:tcPr>
                  <w:tcW w:w="677" w:type="dxa"/>
                  <w:tcBorders>
                    <w:tl2br w:val="nil"/>
                    <w:tr2bl w:val="nil"/>
                  </w:tcBorders>
                  <w:vAlign w:val="center"/>
                </w:tcPr>
                <w:p w14:paraId="546D12F0">
                  <w:pPr>
                    <w:widowControl/>
                    <w:ind w:left="-63" w:leftChars="-30" w:right="-63" w:rightChars="-30"/>
                    <w:jc w:val="center"/>
                    <w:textAlignment w:val="center"/>
                    <w:rPr>
                      <w:rFonts w:hint="default" w:ascii="Times New Roman" w:hAnsi="Times New Roman" w:cs="Times New Roman"/>
                      <w:color w:val="auto"/>
                      <w:kern w:val="0"/>
                      <w:sz w:val="21"/>
                      <w:szCs w:val="21"/>
                      <w:highlight w:val="none"/>
                      <w:u w:val="single" w:color="auto"/>
                      <w:lang w:bidi="ar"/>
                    </w:rPr>
                  </w:pPr>
                </w:p>
              </w:tc>
              <w:tc>
                <w:tcPr>
                  <w:tcW w:w="619" w:type="dxa"/>
                  <w:tcBorders>
                    <w:tl2br w:val="nil"/>
                    <w:tr2bl w:val="nil"/>
                  </w:tcBorders>
                  <w:vAlign w:val="center"/>
                </w:tcPr>
                <w:p w14:paraId="153F2D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single" w:color="auto"/>
                      <w:lang w:val="en-US" w:eastAsia="zh-CN" w:bidi="ar"/>
                    </w:rPr>
                  </w:pPr>
                  <w:r>
                    <w:rPr>
                      <w:rFonts w:hint="default" w:ascii="Times New Roman" w:hAnsi="Times New Roman" w:eastAsia="宋体" w:cs="Times New Roman"/>
                      <w:i w:val="0"/>
                      <w:iCs w:val="0"/>
                      <w:color w:val="auto"/>
                      <w:kern w:val="0"/>
                      <w:sz w:val="20"/>
                      <w:szCs w:val="20"/>
                      <w:u w:val="single" w:color="auto"/>
                      <w:lang w:val="en-US" w:eastAsia="zh-CN" w:bidi="ar"/>
                    </w:rPr>
                    <w:t>0.00</w:t>
                  </w:r>
                  <w:r>
                    <w:rPr>
                      <w:rFonts w:hint="eastAsia" w:cs="Times New Roman"/>
                      <w:i w:val="0"/>
                      <w:iCs w:val="0"/>
                      <w:color w:val="auto"/>
                      <w:kern w:val="0"/>
                      <w:sz w:val="20"/>
                      <w:szCs w:val="20"/>
                      <w:u w:val="single" w:color="auto"/>
                      <w:lang w:val="en-US" w:eastAsia="zh-CN" w:bidi="ar"/>
                    </w:rPr>
                    <w:t>6</w:t>
                  </w:r>
                </w:p>
              </w:tc>
              <w:tc>
                <w:tcPr>
                  <w:tcW w:w="520" w:type="dxa"/>
                  <w:tcBorders>
                    <w:tl2br w:val="nil"/>
                    <w:tr2bl w:val="nil"/>
                  </w:tcBorders>
                  <w:vAlign w:val="center"/>
                </w:tcPr>
                <w:p w14:paraId="362B6DFE">
                  <w:pPr>
                    <w:widowControl/>
                    <w:ind w:left="-63" w:leftChars="-30" w:right="-63" w:rightChars="-30"/>
                    <w:jc w:val="center"/>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cs="Times New Roman"/>
                      <w:color w:val="auto"/>
                      <w:kern w:val="0"/>
                      <w:sz w:val="21"/>
                      <w:szCs w:val="21"/>
                      <w:highlight w:val="none"/>
                      <w:u w:val="single" w:color="auto"/>
                      <w:lang w:val="en-US" w:eastAsia="zh-CN" w:bidi="ar"/>
                    </w:rPr>
                    <w:t>/</w:t>
                  </w:r>
                </w:p>
              </w:tc>
              <w:tc>
                <w:tcPr>
                  <w:tcW w:w="669" w:type="dxa"/>
                  <w:tcBorders>
                    <w:tl2br w:val="nil"/>
                    <w:tr2bl w:val="nil"/>
                  </w:tcBorders>
                  <w:vAlign w:val="center"/>
                </w:tcPr>
                <w:p w14:paraId="3D0E6E55">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1.0</w:t>
                  </w:r>
                </w:p>
              </w:tc>
              <w:tc>
                <w:tcPr>
                  <w:tcW w:w="666" w:type="dxa"/>
                  <w:tcBorders>
                    <w:tl2br w:val="nil"/>
                    <w:tr2bl w:val="nil"/>
                  </w:tcBorders>
                  <w:vAlign w:val="center"/>
                </w:tcPr>
                <w:p w14:paraId="3F07584D">
                  <w:pPr>
                    <w:widowControl/>
                    <w:ind w:left="-63" w:leftChars="-30" w:right="-63" w:rightChars="-30"/>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eastAsia="zh-CN" w:bidi="ar"/>
                    </w:rPr>
                    <w:t>达标</w:t>
                  </w:r>
                </w:p>
              </w:tc>
            </w:tr>
            <w:tr w14:paraId="04C5ED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348" w:type="dxa"/>
                  <w:vMerge w:val="continue"/>
                  <w:tcBorders>
                    <w:tl2br w:val="nil"/>
                    <w:tr2bl w:val="nil"/>
                  </w:tcBorders>
                  <w:vAlign w:val="center"/>
                </w:tcPr>
                <w:p w14:paraId="12E70D7D">
                  <w:pPr>
                    <w:widowControl/>
                    <w:adjustRightInd w:val="0"/>
                    <w:snapToGrid w:val="0"/>
                    <w:jc w:val="center"/>
                    <w:rPr>
                      <w:color w:val="auto"/>
                      <w:szCs w:val="21"/>
                      <w:highlight w:val="none"/>
                      <w:u w:val="single" w:color="auto"/>
                    </w:rPr>
                  </w:pPr>
                </w:p>
              </w:tc>
              <w:tc>
                <w:tcPr>
                  <w:tcW w:w="348" w:type="dxa"/>
                  <w:tcBorders>
                    <w:tl2br w:val="nil"/>
                    <w:tr2bl w:val="nil"/>
                  </w:tcBorders>
                  <w:vAlign w:val="center"/>
                </w:tcPr>
                <w:p w14:paraId="6CF4C4A4">
                  <w:pPr>
                    <w:widowControl/>
                    <w:ind w:left="-63" w:leftChars="-30" w:right="-63" w:rightChars="-30"/>
                    <w:jc w:val="center"/>
                    <w:textAlignment w:val="center"/>
                    <w:rPr>
                      <w:color w:val="auto"/>
                      <w:szCs w:val="21"/>
                      <w:highlight w:val="none"/>
                      <w:u w:val="single" w:color="auto"/>
                    </w:rPr>
                  </w:pPr>
                  <w:r>
                    <w:rPr>
                      <w:rFonts w:hint="eastAsia" w:ascii="宋体" w:hAnsi="宋体" w:cs="宋体"/>
                      <w:color w:val="auto"/>
                      <w:kern w:val="0"/>
                      <w:szCs w:val="21"/>
                      <w:highlight w:val="none"/>
                      <w:u w:val="single" w:color="auto"/>
                      <w:lang w:bidi="ar"/>
                    </w:rPr>
                    <w:t>筛分废气</w:t>
                  </w:r>
                </w:p>
              </w:tc>
              <w:tc>
                <w:tcPr>
                  <w:tcW w:w="606" w:type="dxa"/>
                  <w:tcBorders>
                    <w:tl2br w:val="nil"/>
                    <w:tr2bl w:val="nil"/>
                  </w:tcBorders>
                  <w:vAlign w:val="center"/>
                </w:tcPr>
                <w:p w14:paraId="2BD25EF0">
                  <w:pPr>
                    <w:widowControl/>
                    <w:ind w:left="-63" w:leftChars="-30" w:right="-63" w:rightChars="-30"/>
                    <w:jc w:val="center"/>
                    <w:textAlignment w:val="center"/>
                    <w:rPr>
                      <w:color w:val="auto"/>
                      <w:szCs w:val="21"/>
                      <w:highlight w:val="none"/>
                      <w:u w:val="single" w:color="auto"/>
                    </w:rPr>
                  </w:pPr>
                  <w:r>
                    <w:rPr>
                      <w:color w:val="auto"/>
                      <w:kern w:val="0"/>
                      <w:szCs w:val="21"/>
                      <w:highlight w:val="none"/>
                      <w:u w:val="single" w:color="auto"/>
                      <w:lang w:bidi="ar"/>
                    </w:rPr>
                    <w:t>/</w:t>
                  </w:r>
                </w:p>
              </w:tc>
              <w:tc>
                <w:tcPr>
                  <w:tcW w:w="534" w:type="dxa"/>
                  <w:tcBorders>
                    <w:tl2br w:val="nil"/>
                    <w:tr2bl w:val="nil"/>
                  </w:tcBorders>
                  <w:vAlign w:val="center"/>
                </w:tcPr>
                <w:p w14:paraId="051B2596">
                  <w:pPr>
                    <w:widowControl/>
                    <w:ind w:left="-63" w:leftChars="-30" w:right="-63" w:rightChars="-30"/>
                    <w:jc w:val="center"/>
                    <w:textAlignment w:val="center"/>
                    <w:rPr>
                      <w:color w:val="auto"/>
                      <w:szCs w:val="21"/>
                      <w:highlight w:val="none"/>
                      <w:u w:val="single" w:color="auto"/>
                    </w:rPr>
                  </w:pPr>
                  <w:r>
                    <w:rPr>
                      <w:rFonts w:hint="eastAsia" w:ascii="宋体" w:hAnsi="宋体" w:cs="宋体"/>
                      <w:color w:val="auto"/>
                      <w:kern w:val="0"/>
                      <w:szCs w:val="21"/>
                      <w:highlight w:val="none"/>
                      <w:u w:val="single" w:color="auto"/>
                      <w:lang w:bidi="ar"/>
                    </w:rPr>
                    <w:t>粉尘</w:t>
                  </w:r>
                </w:p>
              </w:tc>
              <w:tc>
                <w:tcPr>
                  <w:tcW w:w="814" w:type="dxa"/>
                  <w:tcBorders>
                    <w:tl2br w:val="nil"/>
                    <w:tr2bl w:val="nil"/>
                  </w:tcBorders>
                  <w:vAlign w:val="center"/>
                </w:tcPr>
                <w:p w14:paraId="48B84C4A">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w:t>
                  </w:r>
                </w:p>
              </w:tc>
              <w:tc>
                <w:tcPr>
                  <w:tcW w:w="660" w:type="dxa"/>
                  <w:tcBorders>
                    <w:tl2br w:val="nil"/>
                    <w:tr2bl w:val="nil"/>
                  </w:tcBorders>
                  <w:vAlign w:val="center"/>
                </w:tcPr>
                <w:p w14:paraId="540A45A8">
                  <w:pPr>
                    <w:widowControl/>
                    <w:ind w:left="-63" w:leftChars="-30" w:right="-63" w:rightChars="-30"/>
                    <w:jc w:val="center"/>
                    <w:textAlignment w:val="center"/>
                    <w:rPr>
                      <w:rFonts w:hint="default" w:eastAsia="宋体"/>
                      <w:color w:val="auto"/>
                      <w:szCs w:val="21"/>
                      <w:highlight w:val="none"/>
                      <w:u w:val="single" w:color="auto"/>
                      <w:lang w:val="en-US" w:eastAsia="zh-CN"/>
                    </w:rPr>
                  </w:pPr>
                  <w:r>
                    <w:rPr>
                      <w:rFonts w:hint="default" w:eastAsia="宋体"/>
                      <w:color w:val="auto"/>
                      <w:szCs w:val="21"/>
                      <w:highlight w:val="none"/>
                      <w:u w:val="single" w:color="auto"/>
                      <w:lang w:val="en-US" w:eastAsia="zh-CN"/>
                    </w:rPr>
                    <w:t>1.238</w:t>
                  </w:r>
                </w:p>
              </w:tc>
              <w:tc>
                <w:tcPr>
                  <w:tcW w:w="771" w:type="dxa"/>
                  <w:tcBorders>
                    <w:tl2br w:val="nil"/>
                    <w:tr2bl w:val="nil"/>
                  </w:tcBorders>
                  <w:vAlign w:val="center"/>
                </w:tcPr>
                <w:p w14:paraId="6DCC0EE7">
                  <w:pPr>
                    <w:widowControl/>
                    <w:ind w:left="-63" w:leftChars="-30" w:right="-63" w:rightChars="-30"/>
                    <w:jc w:val="center"/>
                    <w:textAlignment w:val="center"/>
                    <w:rPr>
                      <w:rFonts w:hint="default" w:eastAsia="宋体"/>
                      <w:color w:val="auto"/>
                      <w:szCs w:val="21"/>
                      <w:highlight w:val="none"/>
                      <w:u w:val="single" w:color="auto"/>
                      <w:lang w:val="en-US" w:eastAsia="zh-CN"/>
                    </w:rPr>
                  </w:pPr>
                  <w:r>
                    <w:rPr>
                      <w:rFonts w:hint="eastAsia" w:eastAsia="宋体"/>
                      <w:color w:val="auto"/>
                      <w:szCs w:val="21"/>
                      <w:highlight w:val="none"/>
                      <w:u w:val="single" w:color="auto"/>
                      <w:lang w:val="en-US" w:eastAsia="zh-CN"/>
                    </w:rPr>
                    <w:t>圆筒筛加装</w:t>
                  </w:r>
                  <w:r>
                    <w:rPr>
                      <w:rFonts w:hint="default" w:eastAsia="宋体"/>
                      <w:color w:val="auto"/>
                      <w:szCs w:val="21"/>
                      <w:highlight w:val="none"/>
                      <w:u w:val="single" w:color="auto"/>
                    </w:rPr>
                    <w:t>密封罩</w:t>
                  </w:r>
                </w:p>
              </w:tc>
              <w:tc>
                <w:tcPr>
                  <w:tcW w:w="643" w:type="dxa"/>
                  <w:tcBorders>
                    <w:tl2br w:val="nil"/>
                    <w:tr2bl w:val="nil"/>
                  </w:tcBorders>
                  <w:vAlign w:val="center"/>
                </w:tcPr>
                <w:p w14:paraId="6D17FD82">
                  <w:pPr>
                    <w:widowControl/>
                    <w:ind w:left="-63" w:leftChars="-30" w:right="-63" w:rightChars="-30"/>
                    <w:jc w:val="center"/>
                    <w:textAlignment w:val="center"/>
                    <w:rPr>
                      <w:rFonts w:hint="default" w:eastAsia="宋体"/>
                      <w:color w:val="auto"/>
                      <w:szCs w:val="21"/>
                      <w:highlight w:val="none"/>
                      <w:u w:val="single" w:color="auto"/>
                    </w:rPr>
                  </w:pPr>
                  <w:r>
                    <w:rPr>
                      <w:rFonts w:hint="default" w:eastAsia="宋体"/>
                      <w:color w:val="auto"/>
                      <w:szCs w:val="21"/>
                      <w:highlight w:val="none"/>
                      <w:u w:val="single" w:color="auto"/>
                    </w:rPr>
                    <w:t>/</w:t>
                  </w:r>
                </w:p>
              </w:tc>
              <w:tc>
                <w:tcPr>
                  <w:tcW w:w="677" w:type="dxa"/>
                  <w:tcBorders>
                    <w:tl2br w:val="nil"/>
                    <w:tr2bl w:val="nil"/>
                  </w:tcBorders>
                  <w:vAlign w:val="center"/>
                </w:tcPr>
                <w:p w14:paraId="68749415">
                  <w:pPr>
                    <w:widowControl/>
                    <w:ind w:left="-63" w:leftChars="-30" w:right="-63" w:rightChars="-30"/>
                    <w:jc w:val="center"/>
                    <w:textAlignment w:val="center"/>
                    <w:rPr>
                      <w:rFonts w:hint="default" w:eastAsia="宋体"/>
                      <w:color w:val="auto"/>
                      <w:szCs w:val="21"/>
                      <w:highlight w:val="none"/>
                      <w:u w:val="single" w:color="auto"/>
                    </w:rPr>
                  </w:pPr>
                </w:p>
              </w:tc>
              <w:tc>
                <w:tcPr>
                  <w:tcW w:w="619" w:type="dxa"/>
                  <w:tcBorders>
                    <w:tl2br w:val="nil"/>
                    <w:tr2bl w:val="nil"/>
                  </w:tcBorders>
                  <w:vAlign w:val="center"/>
                </w:tcPr>
                <w:p w14:paraId="2AF18840">
                  <w:pPr>
                    <w:widowControl/>
                    <w:ind w:left="-63" w:leftChars="-30" w:right="-63" w:rightChars="-30"/>
                    <w:jc w:val="center"/>
                    <w:textAlignment w:val="center"/>
                    <w:rPr>
                      <w:rFonts w:hint="default" w:eastAsia="宋体"/>
                      <w:color w:val="auto"/>
                      <w:szCs w:val="21"/>
                      <w:highlight w:val="none"/>
                      <w:u w:val="single" w:color="auto"/>
                      <w:lang w:val="en-US" w:eastAsia="zh-CN"/>
                    </w:rPr>
                  </w:pPr>
                  <w:r>
                    <w:rPr>
                      <w:rFonts w:hint="default" w:eastAsia="宋体"/>
                      <w:color w:val="auto"/>
                      <w:szCs w:val="21"/>
                      <w:highlight w:val="none"/>
                      <w:u w:val="single" w:color="auto"/>
                      <w:lang w:val="en-US" w:eastAsia="zh-CN"/>
                    </w:rPr>
                    <w:t>0.248</w:t>
                  </w:r>
                </w:p>
              </w:tc>
              <w:tc>
                <w:tcPr>
                  <w:tcW w:w="520" w:type="dxa"/>
                  <w:tcBorders>
                    <w:tl2br w:val="nil"/>
                    <w:tr2bl w:val="nil"/>
                  </w:tcBorders>
                  <w:vAlign w:val="center"/>
                </w:tcPr>
                <w:p w14:paraId="705B7BEE">
                  <w:pPr>
                    <w:widowControl/>
                    <w:ind w:left="-63" w:leftChars="-30" w:right="-63" w:rightChars="-30"/>
                    <w:jc w:val="center"/>
                    <w:textAlignment w:val="center"/>
                    <w:rPr>
                      <w:rFonts w:hint="default" w:ascii="Times New Roman" w:hAnsi="Times New Roman" w:eastAsia="宋体" w:cs="Times New Roman"/>
                      <w:color w:val="auto"/>
                      <w:sz w:val="21"/>
                      <w:szCs w:val="21"/>
                      <w:highlight w:val="none"/>
                      <w:u w:val="single" w:color="auto"/>
                      <w:lang w:eastAsia="zh-CN"/>
                    </w:rPr>
                  </w:pPr>
                  <w:r>
                    <w:rPr>
                      <w:rFonts w:hint="default" w:ascii="Times New Roman" w:hAnsi="Times New Roman" w:cs="Times New Roman"/>
                      <w:color w:val="auto"/>
                      <w:kern w:val="0"/>
                      <w:sz w:val="21"/>
                      <w:szCs w:val="21"/>
                      <w:highlight w:val="none"/>
                      <w:u w:val="single" w:color="auto"/>
                      <w:lang w:val="en-US" w:eastAsia="zh-CN" w:bidi="ar"/>
                    </w:rPr>
                    <w:t>/</w:t>
                  </w:r>
                </w:p>
              </w:tc>
              <w:tc>
                <w:tcPr>
                  <w:tcW w:w="669" w:type="dxa"/>
                  <w:tcBorders>
                    <w:tl2br w:val="nil"/>
                    <w:tr2bl w:val="nil"/>
                  </w:tcBorders>
                  <w:vAlign w:val="center"/>
                </w:tcPr>
                <w:p w14:paraId="33BF813E">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1.0</w:t>
                  </w:r>
                </w:p>
              </w:tc>
              <w:tc>
                <w:tcPr>
                  <w:tcW w:w="666" w:type="dxa"/>
                  <w:tcBorders>
                    <w:tl2br w:val="nil"/>
                    <w:tr2bl w:val="nil"/>
                  </w:tcBorders>
                  <w:vAlign w:val="center"/>
                </w:tcPr>
                <w:p w14:paraId="421F6BA3">
                  <w:pPr>
                    <w:widowControl/>
                    <w:ind w:left="-63" w:leftChars="-30" w:right="-63" w:rightChars="-30"/>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eastAsia="zh-CN" w:bidi="ar"/>
                    </w:rPr>
                    <w:t>达标</w:t>
                  </w:r>
                </w:p>
              </w:tc>
            </w:tr>
            <w:tr w14:paraId="5D00C8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348" w:type="dxa"/>
                  <w:vMerge w:val="continue"/>
                  <w:tcBorders>
                    <w:tl2br w:val="nil"/>
                    <w:tr2bl w:val="nil"/>
                  </w:tcBorders>
                  <w:vAlign w:val="center"/>
                </w:tcPr>
                <w:p w14:paraId="58976E1D">
                  <w:pPr>
                    <w:widowControl/>
                    <w:adjustRightInd w:val="0"/>
                    <w:snapToGrid w:val="0"/>
                    <w:jc w:val="center"/>
                    <w:rPr>
                      <w:color w:val="auto"/>
                      <w:szCs w:val="21"/>
                      <w:highlight w:val="none"/>
                      <w:u w:val="single" w:color="auto"/>
                    </w:rPr>
                  </w:pPr>
                </w:p>
              </w:tc>
              <w:tc>
                <w:tcPr>
                  <w:tcW w:w="348" w:type="dxa"/>
                  <w:tcBorders>
                    <w:tl2br w:val="nil"/>
                    <w:tr2bl w:val="nil"/>
                  </w:tcBorders>
                  <w:vAlign w:val="center"/>
                </w:tcPr>
                <w:p w14:paraId="3ADF5D71">
                  <w:pPr>
                    <w:widowControl/>
                    <w:ind w:left="-63" w:leftChars="-30" w:right="-63" w:rightChars="-30"/>
                    <w:jc w:val="center"/>
                    <w:textAlignment w:val="center"/>
                    <w:rPr>
                      <w:color w:val="auto"/>
                      <w:szCs w:val="21"/>
                      <w:highlight w:val="none"/>
                      <w:u w:val="single" w:color="auto"/>
                    </w:rPr>
                  </w:pPr>
                  <w:r>
                    <w:rPr>
                      <w:rFonts w:hint="eastAsia" w:ascii="宋体" w:hAnsi="宋体" w:cs="宋体"/>
                      <w:color w:val="auto"/>
                      <w:kern w:val="0"/>
                      <w:szCs w:val="21"/>
                      <w:highlight w:val="none"/>
                      <w:u w:val="single" w:color="auto"/>
                      <w:lang w:bidi="ar"/>
                    </w:rPr>
                    <w:t>烘干粉尘</w:t>
                  </w:r>
                </w:p>
              </w:tc>
              <w:tc>
                <w:tcPr>
                  <w:tcW w:w="606" w:type="dxa"/>
                  <w:tcBorders>
                    <w:tl2br w:val="nil"/>
                    <w:tr2bl w:val="nil"/>
                  </w:tcBorders>
                  <w:vAlign w:val="center"/>
                </w:tcPr>
                <w:p w14:paraId="0010F3E3">
                  <w:pPr>
                    <w:widowControl/>
                    <w:ind w:left="-63" w:leftChars="-30" w:right="-63" w:rightChars="-30"/>
                    <w:jc w:val="center"/>
                    <w:textAlignment w:val="center"/>
                    <w:rPr>
                      <w:color w:val="auto"/>
                      <w:szCs w:val="21"/>
                      <w:highlight w:val="none"/>
                      <w:u w:val="single" w:color="auto"/>
                    </w:rPr>
                  </w:pPr>
                  <w:r>
                    <w:rPr>
                      <w:color w:val="auto"/>
                      <w:kern w:val="0"/>
                      <w:szCs w:val="21"/>
                      <w:highlight w:val="none"/>
                      <w:u w:val="single" w:color="auto"/>
                      <w:lang w:bidi="ar"/>
                    </w:rPr>
                    <w:t>/</w:t>
                  </w:r>
                </w:p>
              </w:tc>
              <w:tc>
                <w:tcPr>
                  <w:tcW w:w="534" w:type="dxa"/>
                  <w:tcBorders>
                    <w:tl2br w:val="nil"/>
                    <w:tr2bl w:val="nil"/>
                  </w:tcBorders>
                  <w:vAlign w:val="center"/>
                </w:tcPr>
                <w:p w14:paraId="6FF47075">
                  <w:pPr>
                    <w:widowControl/>
                    <w:ind w:left="-63" w:leftChars="-30" w:right="-63" w:rightChars="-30"/>
                    <w:jc w:val="center"/>
                    <w:textAlignment w:val="center"/>
                    <w:rPr>
                      <w:color w:val="auto"/>
                      <w:szCs w:val="21"/>
                      <w:highlight w:val="none"/>
                      <w:u w:val="single" w:color="auto"/>
                    </w:rPr>
                  </w:pPr>
                  <w:r>
                    <w:rPr>
                      <w:rFonts w:hint="eastAsia" w:ascii="宋体" w:hAnsi="宋体" w:cs="宋体"/>
                      <w:color w:val="auto"/>
                      <w:kern w:val="0"/>
                      <w:szCs w:val="21"/>
                      <w:highlight w:val="none"/>
                      <w:u w:val="single" w:color="auto"/>
                      <w:lang w:bidi="ar"/>
                    </w:rPr>
                    <w:t>粉尘</w:t>
                  </w:r>
                </w:p>
              </w:tc>
              <w:tc>
                <w:tcPr>
                  <w:tcW w:w="814" w:type="dxa"/>
                  <w:tcBorders>
                    <w:tl2br w:val="nil"/>
                    <w:tr2bl w:val="nil"/>
                  </w:tcBorders>
                  <w:vAlign w:val="center"/>
                </w:tcPr>
                <w:p w14:paraId="1CC5EE7B">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w:t>
                  </w:r>
                </w:p>
              </w:tc>
              <w:tc>
                <w:tcPr>
                  <w:tcW w:w="660" w:type="dxa"/>
                  <w:tcBorders>
                    <w:tl2br w:val="nil"/>
                    <w:tr2bl w:val="nil"/>
                  </w:tcBorders>
                  <w:vAlign w:val="center"/>
                </w:tcPr>
                <w:p w14:paraId="2499E6FC">
                  <w:pPr>
                    <w:widowControl/>
                    <w:ind w:left="-63" w:leftChars="-30" w:right="-63" w:rightChars="-30"/>
                    <w:jc w:val="center"/>
                    <w:textAlignment w:val="center"/>
                    <w:rPr>
                      <w:rFonts w:hint="default" w:eastAsia="宋体"/>
                      <w:color w:val="auto"/>
                      <w:szCs w:val="21"/>
                      <w:highlight w:val="none"/>
                      <w:u w:val="single" w:color="auto"/>
                      <w:lang w:val="en-US" w:eastAsia="zh-CN"/>
                    </w:rPr>
                  </w:pPr>
                  <w:r>
                    <w:rPr>
                      <w:rFonts w:hint="default" w:eastAsia="宋体"/>
                      <w:color w:val="auto"/>
                      <w:szCs w:val="21"/>
                      <w:highlight w:val="none"/>
                      <w:u w:val="single" w:color="auto"/>
                      <w:lang w:val="en-US" w:eastAsia="zh-CN"/>
                    </w:rPr>
                    <w:t>3.096</w:t>
                  </w:r>
                </w:p>
              </w:tc>
              <w:tc>
                <w:tcPr>
                  <w:tcW w:w="771" w:type="dxa"/>
                  <w:tcBorders>
                    <w:tl2br w:val="nil"/>
                    <w:tr2bl w:val="nil"/>
                  </w:tcBorders>
                  <w:vAlign w:val="center"/>
                </w:tcPr>
                <w:p w14:paraId="4F7D211B">
                  <w:pPr>
                    <w:widowControl/>
                    <w:ind w:left="-63" w:leftChars="-30" w:right="-63" w:rightChars="-30"/>
                    <w:jc w:val="center"/>
                    <w:textAlignment w:val="center"/>
                    <w:rPr>
                      <w:rFonts w:hint="default" w:eastAsia="宋体"/>
                      <w:color w:val="auto"/>
                      <w:szCs w:val="21"/>
                      <w:highlight w:val="none"/>
                      <w:u w:val="single" w:color="auto"/>
                      <w:lang w:val="en-US" w:eastAsia="zh-CN"/>
                    </w:rPr>
                  </w:pPr>
                  <w:r>
                    <w:rPr>
                      <w:rFonts w:hint="eastAsia" w:eastAsia="宋体"/>
                      <w:color w:val="auto"/>
                      <w:szCs w:val="21"/>
                      <w:highlight w:val="none"/>
                      <w:u w:val="single" w:color="auto"/>
                      <w:lang w:val="en-US" w:eastAsia="zh-CN"/>
                    </w:rPr>
                    <w:t>设置</w:t>
                  </w:r>
                  <w:r>
                    <w:rPr>
                      <w:rFonts w:hint="default" w:eastAsia="宋体"/>
                      <w:color w:val="auto"/>
                      <w:szCs w:val="21"/>
                      <w:highlight w:val="none"/>
                      <w:u w:val="single" w:color="auto"/>
                      <w:lang w:eastAsia="zh-CN"/>
                    </w:rPr>
                    <w:t>加密</w:t>
                  </w:r>
                  <w:r>
                    <w:rPr>
                      <w:rFonts w:hint="default" w:eastAsia="宋体"/>
                      <w:color w:val="auto"/>
                      <w:szCs w:val="21"/>
                      <w:highlight w:val="none"/>
                      <w:u w:val="single" w:color="auto"/>
                    </w:rPr>
                    <w:t>除尘网</w:t>
                  </w:r>
                  <w:r>
                    <w:rPr>
                      <w:rFonts w:hint="eastAsia" w:eastAsia="宋体"/>
                      <w:color w:val="auto"/>
                      <w:szCs w:val="21"/>
                      <w:highlight w:val="none"/>
                      <w:u w:val="single" w:color="auto"/>
                      <w:lang w:eastAsia="zh-CN"/>
                    </w:rPr>
                    <w:t>、</w:t>
                  </w:r>
                  <w:r>
                    <w:rPr>
                      <w:rFonts w:hint="eastAsia" w:eastAsia="宋体"/>
                      <w:color w:val="auto"/>
                      <w:szCs w:val="21"/>
                      <w:highlight w:val="none"/>
                      <w:u w:val="single" w:color="auto"/>
                      <w:lang w:val="en-US" w:eastAsia="zh-CN"/>
                    </w:rPr>
                    <w:t>烘干塔外设置密闭罩</w:t>
                  </w:r>
                </w:p>
              </w:tc>
              <w:tc>
                <w:tcPr>
                  <w:tcW w:w="643" w:type="dxa"/>
                  <w:tcBorders>
                    <w:tl2br w:val="nil"/>
                    <w:tr2bl w:val="nil"/>
                  </w:tcBorders>
                  <w:vAlign w:val="center"/>
                </w:tcPr>
                <w:p w14:paraId="073E3BC8">
                  <w:pPr>
                    <w:widowControl/>
                    <w:ind w:left="-63" w:leftChars="-30" w:right="-63" w:rightChars="-30"/>
                    <w:jc w:val="center"/>
                    <w:textAlignment w:val="center"/>
                    <w:rPr>
                      <w:rFonts w:hint="default" w:eastAsia="宋体"/>
                      <w:color w:val="auto"/>
                      <w:szCs w:val="21"/>
                      <w:highlight w:val="none"/>
                      <w:u w:val="single" w:color="auto"/>
                    </w:rPr>
                  </w:pPr>
                  <w:r>
                    <w:rPr>
                      <w:rFonts w:hint="default" w:eastAsia="宋体"/>
                      <w:color w:val="auto"/>
                      <w:szCs w:val="21"/>
                      <w:highlight w:val="none"/>
                      <w:u w:val="single" w:color="auto"/>
                    </w:rPr>
                    <w:t>/</w:t>
                  </w:r>
                </w:p>
              </w:tc>
              <w:tc>
                <w:tcPr>
                  <w:tcW w:w="677" w:type="dxa"/>
                  <w:tcBorders>
                    <w:tl2br w:val="nil"/>
                    <w:tr2bl w:val="nil"/>
                  </w:tcBorders>
                  <w:vAlign w:val="center"/>
                </w:tcPr>
                <w:p w14:paraId="7D96DE0F">
                  <w:pPr>
                    <w:widowControl/>
                    <w:ind w:left="-63" w:leftChars="-30" w:right="-63" w:rightChars="-30"/>
                    <w:jc w:val="center"/>
                    <w:textAlignment w:val="center"/>
                    <w:rPr>
                      <w:rFonts w:hint="default" w:eastAsia="宋体"/>
                      <w:color w:val="auto"/>
                      <w:szCs w:val="21"/>
                      <w:highlight w:val="none"/>
                      <w:u w:val="single" w:color="auto"/>
                    </w:rPr>
                  </w:pPr>
                </w:p>
              </w:tc>
              <w:tc>
                <w:tcPr>
                  <w:tcW w:w="619" w:type="dxa"/>
                  <w:tcBorders>
                    <w:tl2br w:val="nil"/>
                    <w:tr2bl w:val="nil"/>
                  </w:tcBorders>
                  <w:vAlign w:val="center"/>
                </w:tcPr>
                <w:p w14:paraId="76D848A9">
                  <w:pPr>
                    <w:widowControl/>
                    <w:ind w:left="-63" w:leftChars="-30" w:right="-63" w:rightChars="-30"/>
                    <w:jc w:val="center"/>
                    <w:textAlignment w:val="center"/>
                    <w:rPr>
                      <w:rFonts w:hint="default" w:eastAsia="宋体"/>
                      <w:color w:val="auto"/>
                      <w:szCs w:val="21"/>
                      <w:highlight w:val="none"/>
                      <w:u w:val="single" w:color="auto"/>
                      <w:lang w:val="en-US" w:eastAsia="zh-CN"/>
                    </w:rPr>
                  </w:pPr>
                  <w:r>
                    <w:rPr>
                      <w:rFonts w:hint="default" w:eastAsia="宋体"/>
                      <w:color w:val="auto"/>
                      <w:szCs w:val="21"/>
                      <w:highlight w:val="none"/>
                      <w:u w:val="single" w:color="auto"/>
                      <w:lang w:val="en-US" w:eastAsia="zh-CN"/>
                    </w:rPr>
                    <w:t>0.619</w:t>
                  </w:r>
                </w:p>
              </w:tc>
              <w:tc>
                <w:tcPr>
                  <w:tcW w:w="520" w:type="dxa"/>
                  <w:tcBorders>
                    <w:tl2br w:val="nil"/>
                    <w:tr2bl w:val="nil"/>
                  </w:tcBorders>
                  <w:vAlign w:val="center"/>
                </w:tcPr>
                <w:p w14:paraId="214AE8FF">
                  <w:pPr>
                    <w:widowControl/>
                    <w:ind w:left="-63" w:leftChars="-30" w:right="-63" w:rightChars="-30"/>
                    <w:jc w:val="center"/>
                    <w:textAlignment w:val="center"/>
                    <w:rPr>
                      <w:rFonts w:hint="default" w:ascii="Times New Roman" w:hAnsi="Times New Roman" w:eastAsia="宋体" w:cs="Times New Roman"/>
                      <w:color w:val="auto"/>
                      <w:sz w:val="21"/>
                      <w:szCs w:val="21"/>
                      <w:highlight w:val="none"/>
                      <w:u w:val="single" w:color="auto"/>
                      <w:lang w:eastAsia="zh-CN"/>
                    </w:rPr>
                  </w:pPr>
                  <w:r>
                    <w:rPr>
                      <w:rFonts w:hint="default" w:ascii="Times New Roman" w:hAnsi="Times New Roman" w:cs="Times New Roman"/>
                      <w:color w:val="auto"/>
                      <w:kern w:val="0"/>
                      <w:sz w:val="21"/>
                      <w:szCs w:val="21"/>
                      <w:highlight w:val="none"/>
                      <w:u w:val="single" w:color="auto"/>
                      <w:lang w:val="en-US" w:eastAsia="zh-CN" w:bidi="ar"/>
                    </w:rPr>
                    <w:t>/</w:t>
                  </w:r>
                </w:p>
              </w:tc>
              <w:tc>
                <w:tcPr>
                  <w:tcW w:w="669" w:type="dxa"/>
                  <w:tcBorders>
                    <w:tl2br w:val="nil"/>
                    <w:tr2bl w:val="nil"/>
                  </w:tcBorders>
                  <w:vAlign w:val="center"/>
                </w:tcPr>
                <w:p w14:paraId="65DEEC41">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1.0</w:t>
                  </w:r>
                </w:p>
              </w:tc>
              <w:tc>
                <w:tcPr>
                  <w:tcW w:w="666" w:type="dxa"/>
                  <w:tcBorders>
                    <w:tl2br w:val="nil"/>
                    <w:tr2bl w:val="nil"/>
                  </w:tcBorders>
                  <w:vAlign w:val="center"/>
                </w:tcPr>
                <w:p w14:paraId="5F4ECB5F">
                  <w:pPr>
                    <w:widowControl/>
                    <w:ind w:left="-63" w:leftChars="-30" w:right="-63" w:rightChars="-30"/>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eastAsia="zh-CN" w:bidi="ar"/>
                    </w:rPr>
                    <w:t>达标</w:t>
                  </w:r>
                </w:p>
              </w:tc>
            </w:tr>
            <w:tr w14:paraId="33169B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348" w:type="dxa"/>
                  <w:vMerge w:val="continue"/>
                  <w:tcBorders>
                    <w:tl2br w:val="nil"/>
                    <w:tr2bl w:val="nil"/>
                  </w:tcBorders>
                  <w:vAlign w:val="center"/>
                </w:tcPr>
                <w:p w14:paraId="21459737">
                  <w:pPr>
                    <w:widowControl/>
                    <w:adjustRightInd w:val="0"/>
                    <w:snapToGrid w:val="0"/>
                    <w:jc w:val="center"/>
                    <w:rPr>
                      <w:color w:val="auto"/>
                      <w:szCs w:val="21"/>
                      <w:highlight w:val="none"/>
                      <w:u w:val="single" w:color="auto"/>
                    </w:rPr>
                  </w:pPr>
                </w:p>
              </w:tc>
              <w:tc>
                <w:tcPr>
                  <w:tcW w:w="348" w:type="dxa"/>
                  <w:tcBorders>
                    <w:tl2br w:val="nil"/>
                    <w:tr2bl w:val="nil"/>
                  </w:tcBorders>
                  <w:vAlign w:val="center"/>
                </w:tcPr>
                <w:p w14:paraId="1282505A">
                  <w:pPr>
                    <w:widowControl/>
                    <w:ind w:left="-63" w:leftChars="-30" w:right="-63" w:rightChars="-30"/>
                    <w:jc w:val="center"/>
                    <w:textAlignment w:val="center"/>
                    <w:rPr>
                      <w:color w:val="auto"/>
                      <w:szCs w:val="21"/>
                      <w:highlight w:val="none"/>
                      <w:u w:val="single" w:color="auto"/>
                    </w:rPr>
                  </w:pPr>
                  <w:r>
                    <w:rPr>
                      <w:rFonts w:hint="eastAsia" w:ascii="宋体" w:hAnsi="宋体" w:cs="宋体"/>
                      <w:color w:val="auto"/>
                      <w:kern w:val="0"/>
                      <w:szCs w:val="21"/>
                      <w:highlight w:val="none"/>
                      <w:u w:val="single" w:color="auto"/>
                      <w:lang w:bidi="ar"/>
                    </w:rPr>
                    <w:t>灰渣粉尘</w:t>
                  </w:r>
                </w:p>
              </w:tc>
              <w:tc>
                <w:tcPr>
                  <w:tcW w:w="606" w:type="dxa"/>
                  <w:tcBorders>
                    <w:tl2br w:val="nil"/>
                    <w:tr2bl w:val="nil"/>
                  </w:tcBorders>
                  <w:vAlign w:val="center"/>
                </w:tcPr>
                <w:p w14:paraId="16CC1F76">
                  <w:pPr>
                    <w:widowControl/>
                    <w:ind w:left="-63" w:leftChars="-30" w:right="-63" w:rightChars="-30"/>
                    <w:jc w:val="center"/>
                    <w:textAlignment w:val="center"/>
                    <w:rPr>
                      <w:color w:val="auto"/>
                      <w:szCs w:val="21"/>
                      <w:highlight w:val="none"/>
                      <w:u w:val="single" w:color="auto"/>
                    </w:rPr>
                  </w:pPr>
                  <w:r>
                    <w:rPr>
                      <w:color w:val="auto"/>
                      <w:kern w:val="0"/>
                      <w:szCs w:val="21"/>
                      <w:highlight w:val="none"/>
                      <w:u w:val="single" w:color="auto"/>
                      <w:lang w:bidi="ar"/>
                    </w:rPr>
                    <w:t>/</w:t>
                  </w:r>
                </w:p>
              </w:tc>
              <w:tc>
                <w:tcPr>
                  <w:tcW w:w="534" w:type="dxa"/>
                  <w:tcBorders>
                    <w:tl2br w:val="nil"/>
                    <w:tr2bl w:val="nil"/>
                  </w:tcBorders>
                  <w:vAlign w:val="center"/>
                </w:tcPr>
                <w:p w14:paraId="57CD67C1">
                  <w:pPr>
                    <w:widowControl/>
                    <w:ind w:left="-63" w:leftChars="-30" w:right="-63" w:rightChars="-30"/>
                    <w:jc w:val="center"/>
                    <w:textAlignment w:val="center"/>
                    <w:rPr>
                      <w:color w:val="auto"/>
                      <w:szCs w:val="21"/>
                      <w:highlight w:val="none"/>
                      <w:u w:val="single" w:color="auto"/>
                    </w:rPr>
                  </w:pPr>
                  <w:r>
                    <w:rPr>
                      <w:rFonts w:hint="eastAsia" w:ascii="宋体" w:hAnsi="宋体" w:cs="宋体"/>
                      <w:color w:val="auto"/>
                      <w:kern w:val="0"/>
                      <w:szCs w:val="21"/>
                      <w:highlight w:val="none"/>
                      <w:u w:val="single" w:color="auto"/>
                      <w:lang w:bidi="ar"/>
                    </w:rPr>
                    <w:t>粉尘</w:t>
                  </w:r>
                </w:p>
              </w:tc>
              <w:tc>
                <w:tcPr>
                  <w:tcW w:w="814" w:type="dxa"/>
                  <w:tcBorders>
                    <w:tl2br w:val="nil"/>
                    <w:tr2bl w:val="nil"/>
                  </w:tcBorders>
                  <w:vAlign w:val="center"/>
                </w:tcPr>
                <w:p w14:paraId="0CE64BB6">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w:t>
                  </w:r>
                </w:p>
              </w:tc>
              <w:tc>
                <w:tcPr>
                  <w:tcW w:w="660" w:type="dxa"/>
                  <w:tcBorders>
                    <w:tl2br w:val="nil"/>
                    <w:tr2bl w:val="nil"/>
                  </w:tcBorders>
                  <w:vAlign w:val="center"/>
                </w:tcPr>
                <w:p w14:paraId="3A8349AC">
                  <w:pPr>
                    <w:widowControl/>
                    <w:ind w:left="-63" w:leftChars="-30" w:right="-63" w:rightChars="-30"/>
                    <w:jc w:val="center"/>
                    <w:textAlignment w:val="center"/>
                    <w:rPr>
                      <w:rFonts w:hint="default" w:eastAsia="宋体"/>
                      <w:color w:val="auto"/>
                      <w:szCs w:val="21"/>
                      <w:highlight w:val="none"/>
                      <w:u w:val="single" w:color="auto"/>
                      <w:lang w:val="en-US" w:eastAsia="zh-CN"/>
                    </w:rPr>
                  </w:pPr>
                  <w:r>
                    <w:rPr>
                      <w:rFonts w:hint="default" w:eastAsia="宋体"/>
                      <w:color w:val="auto"/>
                      <w:szCs w:val="21"/>
                      <w:highlight w:val="yellow"/>
                      <w:u w:val="single" w:color="auto"/>
                      <w:lang w:val="en-US" w:eastAsia="zh-CN"/>
                    </w:rPr>
                    <w:t>0.002</w:t>
                  </w:r>
                  <w:r>
                    <w:rPr>
                      <w:rFonts w:hint="eastAsia"/>
                      <w:color w:val="auto"/>
                      <w:szCs w:val="21"/>
                      <w:highlight w:val="yellow"/>
                      <w:u w:val="single" w:color="auto"/>
                      <w:lang w:val="en-US" w:eastAsia="zh-CN"/>
                    </w:rPr>
                    <w:t>1</w:t>
                  </w:r>
                </w:p>
              </w:tc>
              <w:tc>
                <w:tcPr>
                  <w:tcW w:w="771" w:type="dxa"/>
                  <w:tcBorders>
                    <w:tl2br w:val="nil"/>
                    <w:tr2bl w:val="nil"/>
                  </w:tcBorders>
                  <w:vAlign w:val="center"/>
                </w:tcPr>
                <w:p w14:paraId="48764467">
                  <w:pPr>
                    <w:widowControl/>
                    <w:ind w:left="-63" w:leftChars="-30" w:right="-63" w:rightChars="-30"/>
                    <w:jc w:val="center"/>
                    <w:textAlignment w:val="center"/>
                    <w:rPr>
                      <w:rFonts w:hint="default" w:eastAsia="宋体"/>
                      <w:color w:val="auto"/>
                      <w:szCs w:val="21"/>
                      <w:highlight w:val="none"/>
                      <w:u w:val="single" w:color="auto"/>
                      <w:lang w:val="en-US" w:eastAsia="zh-CN"/>
                    </w:rPr>
                  </w:pPr>
                  <w:r>
                    <w:rPr>
                      <w:rFonts w:hint="eastAsia" w:eastAsia="宋体"/>
                      <w:color w:val="auto"/>
                      <w:szCs w:val="21"/>
                      <w:highlight w:val="none"/>
                      <w:u w:val="single" w:color="auto"/>
                      <w:lang w:eastAsia="zh-CN"/>
                    </w:rPr>
                    <w:t>湿式除渣</w:t>
                  </w:r>
                  <w:r>
                    <w:rPr>
                      <w:rFonts w:hint="default" w:eastAsia="宋体"/>
                      <w:color w:val="auto"/>
                      <w:szCs w:val="21"/>
                      <w:highlight w:val="none"/>
                      <w:u w:val="single" w:color="auto"/>
                      <w:lang w:val="en-US" w:eastAsia="zh-CN"/>
                    </w:rPr>
                    <w:t>+</w:t>
                  </w:r>
                  <w:r>
                    <w:rPr>
                      <w:rFonts w:hint="eastAsia" w:eastAsia="宋体"/>
                      <w:color w:val="auto"/>
                      <w:szCs w:val="21"/>
                      <w:highlight w:val="none"/>
                      <w:u w:val="single" w:color="auto"/>
                      <w:lang w:val="en-US" w:eastAsia="zh-CN"/>
                    </w:rPr>
                    <w:t>灰渣</w:t>
                  </w:r>
                  <w:r>
                    <w:rPr>
                      <w:rFonts w:hint="eastAsia" w:eastAsia="宋体"/>
                      <w:color w:val="auto"/>
                      <w:szCs w:val="21"/>
                      <w:highlight w:val="none"/>
                      <w:u w:val="single" w:color="auto"/>
                      <w:lang w:eastAsia="zh-CN"/>
                    </w:rPr>
                    <w:t>装袋</w:t>
                  </w:r>
                  <w:r>
                    <w:rPr>
                      <w:rFonts w:hint="default" w:eastAsia="宋体"/>
                      <w:color w:val="auto"/>
                      <w:szCs w:val="21"/>
                      <w:highlight w:val="none"/>
                      <w:u w:val="single" w:color="auto"/>
                    </w:rPr>
                    <w:t>储存</w:t>
                  </w:r>
                  <w:r>
                    <w:rPr>
                      <w:rFonts w:hint="eastAsia" w:eastAsia="宋体"/>
                      <w:color w:val="auto"/>
                      <w:szCs w:val="21"/>
                      <w:highlight w:val="none"/>
                      <w:u w:val="single" w:color="auto"/>
                      <w:lang w:val="en-US" w:eastAsia="zh-CN"/>
                    </w:rPr>
                    <w:t>于密闭仓库</w:t>
                  </w:r>
                </w:p>
              </w:tc>
              <w:tc>
                <w:tcPr>
                  <w:tcW w:w="643" w:type="dxa"/>
                  <w:tcBorders>
                    <w:tl2br w:val="nil"/>
                    <w:tr2bl w:val="nil"/>
                  </w:tcBorders>
                  <w:vAlign w:val="center"/>
                </w:tcPr>
                <w:p w14:paraId="0AB55388">
                  <w:pPr>
                    <w:widowControl/>
                    <w:ind w:left="-63" w:leftChars="-30" w:right="-63" w:rightChars="-30"/>
                    <w:jc w:val="center"/>
                    <w:textAlignment w:val="center"/>
                    <w:rPr>
                      <w:rFonts w:hint="default" w:eastAsia="宋体"/>
                      <w:color w:val="auto"/>
                      <w:szCs w:val="21"/>
                      <w:highlight w:val="none"/>
                      <w:u w:val="single" w:color="auto"/>
                    </w:rPr>
                  </w:pPr>
                  <w:r>
                    <w:rPr>
                      <w:rFonts w:hint="default" w:eastAsia="宋体"/>
                      <w:color w:val="auto"/>
                      <w:szCs w:val="21"/>
                      <w:highlight w:val="none"/>
                      <w:u w:val="single" w:color="auto"/>
                    </w:rPr>
                    <w:t>/</w:t>
                  </w:r>
                </w:p>
              </w:tc>
              <w:tc>
                <w:tcPr>
                  <w:tcW w:w="677" w:type="dxa"/>
                  <w:tcBorders>
                    <w:tl2br w:val="nil"/>
                    <w:tr2bl w:val="nil"/>
                  </w:tcBorders>
                  <w:vAlign w:val="center"/>
                </w:tcPr>
                <w:p w14:paraId="7E3F7C5F">
                  <w:pPr>
                    <w:widowControl/>
                    <w:ind w:left="-63" w:leftChars="-30" w:right="-63" w:rightChars="-30"/>
                    <w:jc w:val="center"/>
                    <w:textAlignment w:val="center"/>
                    <w:rPr>
                      <w:rFonts w:hint="default" w:eastAsia="宋体"/>
                      <w:color w:val="auto"/>
                      <w:szCs w:val="21"/>
                      <w:highlight w:val="none"/>
                      <w:u w:val="single" w:color="auto"/>
                    </w:rPr>
                  </w:pPr>
                </w:p>
              </w:tc>
              <w:tc>
                <w:tcPr>
                  <w:tcW w:w="619" w:type="dxa"/>
                  <w:tcBorders>
                    <w:tl2br w:val="nil"/>
                    <w:tr2bl w:val="nil"/>
                  </w:tcBorders>
                  <w:vAlign w:val="center"/>
                </w:tcPr>
                <w:p w14:paraId="49E3F586">
                  <w:pPr>
                    <w:widowControl/>
                    <w:ind w:left="-63" w:leftChars="-30" w:right="-63" w:rightChars="-30"/>
                    <w:jc w:val="center"/>
                    <w:textAlignment w:val="center"/>
                    <w:rPr>
                      <w:rFonts w:hint="default" w:eastAsia="宋体"/>
                      <w:color w:val="auto"/>
                      <w:szCs w:val="21"/>
                      <w:highlight w:val="yellow"/>
                      <w:u w:val="single" w:color="auto"/>
                      <w:lang w:val="en-US" w:eastAsia="zh-CN"/>
                    </w:rPr>
                  </w:pPr>
                  <w:r>
                    <w:rPr>
                      <w:rFonts w:hint="default" w:eastAsia="宋体"/>
                      <w:color w:val="auto"/>
                      <w:szCs w:val="21"/>
                      <w:highlight w:val="yellow"/>
                      <w:u w:val="single" w:color="auto"/>
                      <w:lang w:val="en-US" w:eastAsia="zh-CN"/>
                    </w:rPr>
                    <w:t>0.002</w:t>
                  </w:r>
                  <w:r>
                    <w:rPr>
                      <w:rFonts w:hint="eastAsia"/>
                      <w:color w:val="auto"/>
                      <w:szCs w:val="21"/>
                      <w:highlight w:val="yellow"/>
                      <w:u w:val="single" w:color="auto"/>
                      <w:lang w:val="en-US" w:eastAsia="zh-CN"/>
                    </w:rPr>
                    <w:t>1</w:t>
                  </w:r>
                </w:p>
              </w:tc>
              <w:tc>
                <w:tcPr>
                  <w:tcW w:w="520" w:type="dxa"/>
                  <w:tcBorders>
                    <w:tl2br w:val="nil"/>
                    <w:tr2bl w:val="nil"/>
                  </w:tcBorders>
                  <w:vAlign w:val="center"/>
                </w:tcPr>
                <w:p w14:paraId="5CA31FFD">
                  <w:pPr>
                    <w:widowControl/>
                    <w:ind w:left="-63" w:leftChars="-30" w:right="-63" w:rightChars="-30"/>
                    <w:jc w:val="center"/>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cs="Times New Roman"/>
                      <w:color w:val="auto"/>
                      <w:kern w:val="0"/>
                      <w:sz w:val="21"/>
                      <w:szCs w:val="21"/>
                      <w:highlight w:val="none"/>
                      <w:u w:val="single" w:color="auto"/>
                      <w:lang w:val="en-US" w:eastAsia="zh-CN" w:bidi="ar"/>
                    </w:rPr>
                    <w:t>/</w:t>
                  </w:r>
                </w:p>
              </w:tc>
              <w:tc>
                <w:tcPr>
                  <w:tcW w:w="669" w:type="dxa"/>
                  <w:tcBorders>
                    <w:tl2br w:val="nil"/>
                    <w:tr2bl w:val="nil"/>
                  </w:tcBorders>
                  <w:vAlign w:val="center"/>
                </w:tcPr>
                <w:p w14:paraId="17F568E2">
                  <w:pPr>
                    <w:widowControl/>
                    <w:ind w:left="-63" w:leftChars="-30" w:right="-63" w:rightChars="-30"/>
                    <w:jc w:val="center"/>
                    <w:textAlignment w:val="center"/>
                    <w:rPr>
                      <w:rFonts w:hint="default" w:ascii="Times New Roman" w:hAnsi="Times New Roman" w:cs="Times New Roman"/>
                      <w:color w:val="auto"/>
                      <w:sz w:val="21"/>
                      <w:szCs w:val="21"/>
                      <w:highlight w:val="none"/>
                      <w:u w:val="single" w:color="auto"/>
                    </w:rPr>
                  </w:pPr>
                  <w:r>
                    <w:rPr>
                      <w:rFonts w:hint="default" w:ascii="Times New Roman" w:hAnsi="Times New Roman" w:cs="Times New Roman"/>
                      <w:color w:val="auto"/>
                      <w:kern w:val="0"/>
                      <w:sz w:val="21"/>
                      <w:szCs w:val="21"/>
                      <w:highlight w:val="none"/>
                      <w:u w:val="single" w:color="auto"/>
                      <w:lang w:bidi="ar"/>
                    </w:rPr>
                    <w:t>1.0</w:t>
                  </w:r>
                </w:p>
              </w:tc>
              <w:tc>
                <w:tcPr>
                  <w:tcW w:w="666" w:type="dxa"/>
                  <w:tcBorders>
                    <w:tl2br w:val="nil"/>
                    <w:tr2bl w:val="nil"/>
                  </w:tcBorders>
                  <w:vAlign w:val="center"/>
                </w:tcPr>
                <w:p w14:paraId="5DFE8C3E">
                  <w:pPr>
                    <w:widowControl/>
                    <w:ind w:left="-63" w:leftChars="-30" w:right="-63" w:rightChars="-30"/>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eastAsia="zh-CN" w:bidi="ar"/>
                    </w:rPr>
                    <w:t>达标</w:t>
                  </w:r>
                </w:p>
              </w:tc>
            </w:tr>
          </w:tbl>
          <w:p w14:paraId="023DF1F3">
            <w:pPr>
              <w:adjustRightInd w:val="0"/>
              <w:snapToGrid w:val="0"/>
              <w:ind w:firstLine="482"/>
              <w:rPr>
                <w:rFonts w:hint="default" w:ascii="Times New Roman" w:hAnsi="Times New Roman" w:cs="Times New Roman"/>
                <w:b/>
                <w:bCs/>
                <w:color w:val="auto"/>
                <w:sz w:val="24"/>
                <w:highlight w:val="none"/>
                <w:u w:val="none" w:color="auto"/>
              </w:rPr>
            </w:pPr>
          </w:p>
          <w:p w14:paraId="6FA2903E">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4.6</w:t>
            </w:r>
            <w:r>
              <w:rPr>
                <w:rFonts w:hint="default" w:ascii="Times New Roman" w:hAnsi="Times New Roman" w:cs="Times New Roman"/>
                <w:color w:val="auto"/>
                <w:position w:val="15"/>
                <w:sz w:val="24"/>
                <w:highlight w:val="none"/>
                <w:u w:val="none" w:color="auto"/>
              </w:rPr>
              <w:t>.</w:t>
            </w:r>
            <w:r>
              <w:rPr>
                <w:rFonts w:hint="default" w:ascii="Times New Roman" w:hAnsi="Times New Roman" w:cs="Times New Roman"/>
                <w:color w:val="auto"/>
                <w:position w:val="15"/>
                <w:sz w:val="24"/>
                <w:highlight w:val="none"/>
                <w:u w:val="none" w:color="auto"/>
                <w:lang w:val="en-US" w:eastAsia="zh-CN"/>
              </w:rPr>
              <w:t>4</w:t>
            </w:r>
            <w:r>
              <w:rPr>
                <w:rFonts w:hint="default" w:ascii="Times New Roman" w:hAnsi="Times New Roman" w:cs="Times New Roman"/>
                <w:color w:val="auto"/>
                <w:position w:val="15"/>
                <w:sz w:val="24"/>
                <w:highlight w:val="none"/>
                <w:u w:val="none" w:color="auto"/>
              </w:rPr>
              <w:t>废气污染物防治措施可行性分析</w:t>
            </w:r>
          </w:p>
          <w:p w14:paraId="2E4615DC">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eastAsia="zh-CN"/>
              </w:rPr>
              <w:t>（</w:t>
            </w:r>
            <w:r>
              <w:rPr>
                <w:rFonts w:hint="eastAsia" w:cs="Times New Roman"/>
                <w:color w:val="auto"/>
                <w:position w:val="15"/>
                <w:sz w:val="24"/>
                <w:highlight w:val="none"/>
                <w:u w:val="none" w:color="auto"/>
                <w:lang w:val="en-US" w:eastAsia="zh-CN"/>
              </w:rPr>
              <w:t>1</w:t>
            </w:r>
            <w:r>
              <w:rPr>
                <w:rFonts w:hint="eastAsia" w:cs="Times New Roman"/>
                <w:color w:val="auto"/>
                <w:position w:val="15"/>
                <w:sz w:val="24"/>
                <w:highlight w:val="none"/>
                <w:u w:val="none" w:color="auto"/>
                <w:lang w:eastAsia="zh-CN"/>
              </w:rPr>
              <w:t>）</w:t>
            </w:r>
            <w:r>
              <w:rPr>
                <w:rFonts w:hint="default" w:ascii="Times New Roman" w:hAnsi="Times New Roman" w:cs="Times New Roman"/>
                <w:color w:val="auto"/>
                <w:position w:val="15"/>
                <w:sz w:val="24"/>
                <w:highlight w:val="none"/>
                <w:u w:val="none" w:color="auto"/>
              </w:rPr>
              <w:t>有组织废气</w:t>
            </w:r>
          </w:p>
          <w:p w14:paraId="57D7BE7B">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本项目热风炉废气采用布袋除尘器进行处理。</w:t>
            </w:r>
          </w:p>
          <w:p w14:paraId="3174D60A">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eastAsia="zh-CN"/>
              </w:rPr>
              <w:t>根据</w:t>
            </w:r>
            <w:r>
              <w:rPr>
                <w:rFonts w:hint="default" w:ascii="Times New Roman" w:hAnsi="Times New Roman" w:cs="Times New Roman"/>
                <w:color w:val="auto"/>
                <w:position w:val="15"/>
                <w:sz w:val="24"/>
                <w:highlight w:val="none"/>
                <w:u w:val="none" w:color="auto"/>
              </w:rPr>
              <w:t>《排污许可证申请与和核发技术规范 工业炉窑》（HJ1121-2020）附录 A（资料性附录）可行技术参考表，本项目采用的袋式除尘为可行技术。</w:t>
            </w:r>
          </w:p>
          <w:p w14:paraId="6F74B641">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b.无组织废气</w:t>
            </w:r>
          </w:p>
          <w:p w14:paraId="64EC2182">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single" w:color="auto"/>
                <w:lang w:eastAsia="zh-CN"/>
              </w:rPr>
            </w:pPr>
            <w:r>
              <w:rPr>
                <w:rFonts w:hint="default" w:ascii="Times New Roman" w:hAnsi="Times New Roman" w:cs="Times New Roman"/>
                <w:color w:val="auto"/>
                <w:position w:val="15"/>
                <w:sz w:val="24"/>
                <w:highlight w:val="none"/>
                <w:u w:val="single" w:color="auto"/>
              </w:rPr>
              <w:t>装卸粉尘</w:t>
            </w:r>
            <w:r>
              <w:rPr>
                <w:rFonts w:hint="eastAsia" w:cs="Times New Roman"/>
                <w:color w:val="auto"/>
                <w:position w:val="15"/>
                <w:sz w:val="24"/>
                <w:highlight w:val="none"/>
                <w:u w:val="single" w:color="auto"/>
                <w:lang w:eastAsia="zh-CN"/>
              </w:rPr>
              <w:t>：潮粮进厂后，暂存于晾晒场，表面苫盖苫布，卸料时尽量降低卸料高度，避免大风天气作业；</w:t>
            </w:r>
            <w:r>
              <w:rPr>
                <w:rFonts w:hint="default" w:ascii="Times New Roman" w:hAnsi="Times New Roman" w:cs="Times New Roman"/>
                <w:color w:val="auto"/>
                <w:position w:val="15"/>
                <w:sz w:val="24"/>
                <w:highlight w:val="none"/>
                <w:u w:val="single" w:color="auto"/>
              </w:rPr>
              <w:t>输送带</w:t>
            </w:r>
            <w:r>
              <w:rPr>
                <w:rFonts w:hint="eastAsia" w:ascii="Times New Roman" w:hAnsi="Times New Roman" w:cs="Times New Roman"/>
                <w:color w:val="auto"/>
                <w:position w:val="15"/>
                <w:sz w:val="24"/>
                <w:highlight w:val="none"/>
                <w:u w:val="single" w:color="auto"/>
                <w:lang w:eastAsia="zh-CN"/>
              </w:rPr>
              <w:t>、提升机</w:t>
            </w:r>
            <w:r>
              <w:rPr>
                <w:rFonts w:hint="default" w:ascii="Times New Roman" w:hAnsi="Times New Roman" w:cs="Times New Roman"/>
                <w:color w:val="auto"/>
                <w:position w:val="15"/>
                <w:sz w:val="24"/>
                <w:highlight w:val="none"/>
                <w:u w:val="single" w:color="auto"/>
              </w:rPr>
              <w:t>密闭，</w:t>
            </w:r>
            <w:r>
              <w:rPr>
                <w:rFonts w:hint="eastAsia" w:cs="Times New Roman"/>
                <w:color w:val="auto"/>
                <w:position w:val="15"/>
                <w:sz w:val="24"/>
                <w:highlight w:val="none"/>
                <w:u w:val="single" w:color="auto"/>
                <w:lang w:eastAsia="zh-CN"/>
              </w:rPr>
              <w:t>控制及减缓输送带速度</w:t>
            </w:r>
            <w:r>
              <w:rPr>
                <w:rFonts w:hint="default" w:ascii="Times New Roman" w:hAnsi="Times New Roman" w:cs="Times New Roman"/>
                <w:color w:val="auto"/>
                <w:position w:val="15"/>
                <w:sz w:val="24"/>
                <w:highlight w:val="none"/>
                <w:u w:val="single" w:color="auto"/>
              </w:rPr>
              <w:t>，</w:t>
            </w:r>
            <w:r>
              <w:rPr>
                <w:rFonts w:hint="eastAsia" w:cs="Times New Roman"/>
                <w:color w:val="auto"/>
                <w:position w:val="15"/>
                <w:sz w:val="24"/>
                <w:highlight w:val="none"/>
                <w:u w:val="single" w:color="auto"/>
                <w:lang w:eastAsia="zh-CN"/>
              </w:rPr>
              <w:t>减少装卸及输送粉</w:t>
            </w:r>
            <w:r>
              <w:rPr>
                <w:rFonts w:hint="eastAsia" w:ascii="Times New Roman" w:hAnsi="Times New Roman" w:eastAsia="宋体" w:cs="Times New Roman"/>
                <w:color w:val="auto"/>
                <w:position w:val="15"/>
                <w:sz w:val="24"/>
                <w:highlight w:val="none"/>
                <w:u w:val="single" w:color="auto"/>
                <w:lang w:eastAsia="zh-CN"/>
              </w:rPr>
              <w:t>尘产生</w:t>
            </w:r>
            <w:r>
              <w:rPr>
                <w:rFonts w:hint="default" w:ascii="Times New Roman" w:hAnsi="Times New Roman" w:eastAsia="宋体" w:cs="Times New Roman"/>
                <w:color w:val="auto"/>
                <w:position w:val="15"/>
                <w:sz w:val="24"/>
                <w:highlight w:val="none"/>
                <w:u w:val="single" w:color="auto"/>
                <w:lang w:eastAsia="zh-CN"/>
              </w:rPr>
              <w:t>，</w:t>
            </w:r>
            <w:r>
              <w:rPr>
                <w:rFonts w:hint="eastAsia" w:ascii="Times New Roman" w:hAnsi="Times New Roman" w:eastAsia="宋体" w:cs="Times New Roman"/>
                <w:color w:val="auto"/>
                <w:position w:val="15"/>
                <w:sz w:val="24"/>
                <w:highlight w:val="none"/>
                <w:u w:val="single" w:color="auto"/>
                <w:lang w:val="en-US" w:eastAsia="zh-CN"/>
              </w:rPr>
              <w:t>可有效抑制无组织粉尘产生</w:t>
            </w:r>
            <w:r>
              <w:rPr>
                <w:rFonts w:hint="eastAsia" w:ascii="Times New Roman" w:hAnsi="Times New Roman" w:eastAsia="宋体" w:cs="Times New Roman"/>
                <w:color w:val="auto"/>
                <w:position w:val="15"/>
                <w:sz w:val="24"/>
                <w:highlight w:val="none"/>
                <w:u w:val="single" w:color="auto"/>
                <w:lang w:eastAsia="zh-CN"/>
              </w:rPr>
              <w:t>。</w:t>
            </w:r>
          </w:p>
          <w:p w14:paraId="43C07FA7">
            <w:pPr>
              <w:adjustRightInd w:val="0"/>
              <w:snapToGrid w:val="0"/>
              <w:spacing w:line="360" w:lineRule="auto"/>
              <w:ind w:firstLine="480" w:firstLineChars="200"/>
              <w:rPr>
                <w:rFonts w:hint="eastAsia" w:cs="Times New Roman"/>
                <w:color w:val="auto"/>
                <w:position w:val="15"/>
                <w:sz w:val="24"/>
                <w:highlight w:val="none"/>
                <w:u w:val="none" w:color="auto"/>
                <w:lang w:eastAsia="zh-CN"/>
              </w:rPr>
            </w:pPr>
            <w:r>
              <w:rPr>
                <w:rFonts w:hint="default" w:ascii="Times New Roman" w:hAnsi="Times New Roman" w:cs="Times New Roman"/>
                <w:color w:val="auto"/>
                <w:position w:val="15"/>
                <w:sz w:val="24"/>
                <w:highlight w:val="none"/>
                <w:u w:val="none" w:color="auto"/>
              </w:rPr>
              <w:t>筛分粉尘：</w:t>
            </w:r>
            <w:r>
              <w:rPr>
                <w:rFonts w:hint="eastAsia" w:cs="Times New Roman"/>
                <w:color w:val="auto"/>
                <w:position w:val="15"/>
                <w:sz w:val="24"/>
                <w:highlight w:val="none"/>
                <w:u w:val="none" w:color="auto"/>
                <w:lang w:val="en-US" w:eastAsia="zh-CN"/>
              </w:rPr>
              <w:t>圆筒筛</w:t>
            </w:r>
            <w:r>
              <w:rPr>
                <w:rFonts w:hint="eastAsia" w:cs="Times New Roman"/>
                <w:color w:val="auto"/>
                <w:position w:val="15"/>
                <w:sz w:val="24"/>
                <w:highlight w:val="none"/>
                <w:u w:val="none" w:color="auto"/>
                <w:lang w:eastAsia="zh-CN"/>
              </w:rPr>
              <w:t>外部安装</w:t>
            </w:r>
            <w:r>
              <w:rPr>
                <w:rFonts w:hint="default" w:ascii="Times New Roman" w:hAnsi="Times New Roman" w:cs="Times New Roman"/>
                <w:color w:val="auto"/>
                <w:position w:val="15"/>
                <w:sz w:val="24"/>
                <w:highlight w:val="none"/>
                <w:u w:val="none" w:color="auto"/>
              </w:rPr>
              <w:t>密封罩，</w:t>
            </w:r>
            <w:r>
              <w:rPr>
                <w:rFonts w:hint="eastAsia" w:cs="Times New Roman"/>
                <w:color w:val="auto"/>
                <w:position w:val="15"/>
                <w:sz w:val="24"/>
                <w:highlight w:val="none"/>
                <w:u w:val="single" w:color="auto"/>
                <w:lang w:eastAsia="zh-CN"/>
              </w:rPr>
              <w:t>圆筒筛下方出尘口加装围挡，</w:t>
            </w:r>
            <w:r>
              <w:rPr>
                <w:rFonts w:hint="default" w:ascii="Times New Roman" w:hAnsi="Times New Roman" w:cs="Times New Roman"/>
                <w:color w:val="auto"/>
                <w:position w:val="15"/>
                <w:sz w:val="24"/>
                <w:highlight w:val="none"/>
                <w:u w:val="none" w:color="auto"/>
              </w:rPr>
              <w:t>可抑制</w:t>
            </w:r>
            <w:r>
              <w:rPr>
                <w:rFonts w:hint="eastAsia" w:cs="Times New Roman"/>
                <w:color w:val="auto"/>
                <w:position w:val="15"/>
                <w:sz w:val="24"/>
                <w:highlight w:val="none"/>
                <w:u w:val="none" w:color="auto"/>
                <w:lang w:val="en-US" w:eastAsia="zh-CN"/>
              </w:rPr>
              <w:t>80%</w:t>
            </w:r>
            <w:r>
              <w:rPr>
                <w:rFonts w:hint="default" w:ascii="Times New Roman" w:hAnsi="Times New Roman" w:cs="Times New Roman"/>
                <w:color w:val="auto"/>
                <w:position w:val="15"/>
                <w:sz w:val="24"/>
                <w:highlight w:val="none"/>
                <w:u w:val="none" w:color="auto"/>
              </w:rPr>
              <w:t>粉尘的排放</w:t>
            </w:r>
            <w:r>
              <w:rPr>
                <w:rFonts w:hint="eastAsia" w:cs="Times New Roman"/>
                <w:color w:val="auto"/>
                <w:position w:val="15"/>
                <w:sz w:val="24"/>
                <w:highlight w:val="none"/>
                <w:u w:val="none" w:color="auto"/>
                <w:lang w:eastAsia="zh-CN"/>
              </w:rPr>
              <w:t>。</w:t>
            </w:r>
          </w:p>
          <w:p w14:paraId="539A8FC0">
            <w:pPr>
              <w:adjustRightInd w:val="0"/>
              <w:snapToGrid w:val="0"/>
              <w:spacing w:line="360" w:lineRule="auto"/>
              <w:ind w:firstLine="480" w:firstLineChars="200"/>
              <w:rPr>
                <w:rFonts w:hint="eastAsia" w:cs="Times New Roman"/>
                <w:color w:val="auto"/>
                <w:position w:val="15"/>
                <w:sz w:val="24"/>
                <w:highlight w:val="none"/>
                <w:u w:val="none" w:color="auto"/>
                <w:lang w:eastAsia="zh-CN"/>
              </w:rPr>
            </w:pPr>
            <w:r>
              <w:rPr>
                <w:rFonts w:hint="default" w:ascii="Times New Roman" w:hAnsi="Times New Roman" w:cs="Times New Roman"/>
                <w:color w:val="auto"/>
                <w:position w:val="15"/>
                <w:sz w:val="24"/>
                <w:highlight w:val="none"/>
                <w:u w:val="none" w:color="auto"/>
              </w:rPr>
              <w:t>烘干粉尘：</w:t>
            </w:r>
            <w:r>
              <w:rPr>
                <w:rFonts w:hint="default" w:ascii="Times New Roman" w:hAnsi="Times New Roman" w:cs="Times New Roman"/>
                <w:color w:val="auto"/>
                <w:position w:val="15"/>
                <w:sz w:val="24"/>
                <w:highlight w:val="none"/>
                <w:u w:val="single" w:color="auto"/>
              </w:rPr>
              <w:t>采用</w:t>
            </w:r>
            <w:r>
              <w:rPr>
                <w:rFonts w:hint="eastAsia" w:cs="Times New Roman"/>
                <w:color w:val="auto"/>
                <w:position w:val="15"/>
                <w:sz w:val="24"/>
                <w:highlight w:val="none"/>
                <w:u w:val="single" w:color="auto"/>
                <w:lang w:eastAsia="zh-CN"/>
              </w:rPr>
              <w:t>烘干塔外设置密闭罩，排潮口处安装加密除尘网</w:t>
            </w:r>
            <w:r>
              <w:rPr>
                <w:rFonts w:hint="default" w:ascii="Times New Roman" w:hAnsi="Times New Roman" w:cs="Times New Roman"/>
                <w:color w:val="auto"/>
                <w:position w:val="15"/>
                <w:sz w:val="24"/>
                <w:highlight w:val="none"/>
                <w:u w:val="single" w:color="auto"/>
              </w:rPr>
              <w:t>，可有效抑制</w:t>
            </w:r>
            <w:r>
              <w:rPr>
                <w:rFonts w:hint="eastAsia" w:cs="Times New Roman"/>
                <w:color w:val="auto"/>
                <w:position w:val="15"/>
                <w:sz w:val="24"/>
                <w:highlight w:val="none"/>
                <w:u w:val="single" w:color="auto"/>
                <w:lang w:val="en-US" w:eastAsia="zh-CN"/>
              </w:rPr>
              <w:t>80</w:t>
            </w:r>
            <w:r>
              <w:rPr>
                <w:rFonts w:hint="default" w:ascii="Times New Roman" w:hAnsi="Times New Roman" w:cs="Times New Roman"/>
                <w:color w:val="auto"/>
                <w:position w:val="15"/>
                <w:sz w:val="24"/>
                <w:highlight w:val="none"/>
                <w:u w:val="single" w:color="auto"/>
              </w:rPr>
              <w:t>%粉尘</w:t>
            </w:r>
            <w:r>
              <w:rPr>
                <w:rFonts w:hint="eastAsia" w:cs="Times New Roman"/>
                <w:color w:val="auto"/>
                <w:position w:val="15"/>
                <w:sz w:val="24"/>
                <w:highlight w:val="none"/>
                <w:u w:val="single" w:color="auto"/>
                <w:lang w:val="en-US" w:eastAsia="zh-CN"/>
              </w:rPr>
              <w:t>排放，烘干截留粉尘通过塔底排出</w:t>
            </w:r>
            <w:r>
              <w:rPr>
                <w:rFonts w:hint="eastAsia" w:cs="Times New Roman"/>
                <w:color w:val="auto"/>
                <w:position w:val="15"/>
                <w:sz w:val="24"/>
                <w:highlight w:val="none"/>
                <w:u w:val="single" w:color="auto"/>
                <w:lang w:eastAsia="zh-CN"/>
              </w:rPr>
              <w:t>。</w:t>
            </w:r>
          </w:p>
          <w:p w14:paraId="5D971997">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lang w:val="en-US" w:eastAsia="zh-CN"/>
              </w:rPr>
            </w:pPr>
            <w:r>
              <w:rPr>
                <w:rFonts w:hint="default" w:ascii="Times New Roman" w:hAnsi="Times New Roman" w:cs="Times New Roman"/>
                <w:color w:val="auto"/>
                <w:position w:val="15"/>
                <w:sz w:val="24"/>
                <w:highlight w:val="none"/>
                <w:u w:val="none" w:color="auto"/>
              </w:rPr>
              <w:t>灰渣粉尘</w:t>
            </w:r>
            <w:r>
              <w:rPr>
                <w:rFonts w:hint="default" w:ascii="Times New Roman" w:hAnsi="Times New Roman" w:cs="Times New Roman"/>
                <w:color w:val="auto"/>
                <w:position w:val="15"/>
                <w:sz w:val="24"/>
                <w:highlight w:val="none"/>
                <w:u w:val="single" w:color="auto"/>
              </w:rPr>
              <w:t>：</w:t>
            </w:r>
            <w:r>
              <w:rPr>
                <w:rFonts w:hint="eastAsia" w:cs="Times New Roman"/>
                <w:color w:val="auto"/>
                <w:position w:val="15"/>
                <w:sz w:val="24"/>
                <w:highlight w:val="none"/>
                <w:u w:val="single" w:color="auto"/>
                <w:lang w:eastAsia="zh-CN"/>
              </w:rPr>
              <w:t>热风炉位于热风炉房内，除尘灰和生物质炉渣收集</w:t>
            </w:r>
            <w:r>
              <w:rPr>
                <w:rFonts w:hint="default" w:ascii="Times New Roman" w:hAnsi="Times New Roman" w:cs="Times New Roman"/>
                <w:color w:val="auto"/>
                <w:position w:val="15"/>
                <w:sz w:val="24"/>
                <w:highlight w:val="none"/>
                <w:u w:val="single" w:color="auto"/>
              </w:rPr>
              <w:t>时洒水拌湿、采用</w:t>
            </w:r>
            <w:r>
              <w:rPr>
                <w:rFonts w:hint="eastAsia" w:cs="Times New Roman"/>
                <w:color w:val="auto"/>
                <w:position w:val="15"/>
                <w:sz w:val="24"/>
                <w:highlight w:val="none"/>
                <w:u w:val="single" w:color="auto"/>
                <w:lang w:eastAsia="zh-CN"/>
              </w:rPr>
              <w:t>袋装</w:t>
            </w:r>
            <w:r>
              <w:rPr>
                <w:rFonts w:hint="default" w:ascii="Times New Roman" w:hAnsi="Times New Roman" w:cs="Times New Roman"/>
                <w:color w:val="auto"/>
                <w:position w:val="15"/>
                <w:sz w:val="24"/>
                <w:highlight w:val="none"/>
                <w:u w:val="single" w:color="auto"/>
              </w:rPr>
              <w:t>储存等方式抑制无组织粉尘产生</w:t>
            </w:r>
            <w:r>
              <w:rPr>
                <w:rFonts w:hint="eastAsia" w:cs="Times New Roman"/>
                <w:color w:val="auto"/>
                <w:position w:val="15"/>
                <w:sz w:val="24"/>
                <w:highlight w:val="none"/>
                <w:u w:val="none" w:color="auto"/>
                <w:lang w:val="en-US" w:eastAsia="zh-CN"/>
              </w:rPr>
              <w:t>。</w:t>
            </w:r>
          </w:p>
          <w:p w14:paraId="60851ECE">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采取上述措施处理后，厂界无组织颗粒物排放浓度可满足《大气污染物综合排放标准》（GB16297-1996）无组织排放浓度监控限值要求。</w:t>
            </w:r>
          </w:p>
          <w:p w14:paraId="3AE9E8F0">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综上，本项目所采取的废气治理措施技术可行，且可以达标排放，对周边环境影响可接受。</w:t>
            </w:r>
          </w:p>
          <w:p w14:paraId="10F7E599">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lang w:val="en-US" w:eastAsia="zh-CN"/>
              </w:rPr>
            </w:pPr>
            <w:r>
              <w:rPr>
                <w:rFonts w:hint="eastAsia" w:cs="Times New Roman"/>
                <w:color w:val="auto"/>
                <w:position w:val="15"/>
                <w:sz w:val="24"/>
                <w:highlight w:val="none"/>
                <w:u w:val="none" w:color="auto"/>
                <w:lang w:val="en-US" w:eastAsia="zh-CN"/>
              </w:rPr>
              <w:t xml:space="preserve">4.6.5 </w:t>
            </w:r>
            <w:r>
              <w:rPr>
                <w:rFonts w:hint="default" w:ascii="Times New Roman" w:hAnsi="Times New Roman" w:cs="Times New Roman"/>
                <w:color w:val="auto"/>
                <w:position w:val="15"/>
                <w:sz w:val="24"/>
                <w:highlight w:val="none"/>
                <w:u w:val="none" w:color="auto"/>
                <w:lang w:val="en-US" w:eastAsia="zh-CN"/>
              </w:rPr>
              <w:t>废气自行监测</w:t>
            </w:r>
          </w:p>
          <w:p w14:paraId="3EA3BB14">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u w:val="none" w:color="auto"/>
              </w:rPr>
            </w:pPr>
            <w:r>
              <w:rPr>
                <w:rFonts w:hint="default" w:ascii="Times New Roman" w:hAnsi="Times New Roman" w:eastAsia="宋体" w:cs="Times New Roman"/>
                <w:color w:val="auto"/>
                <w:sz w:val="24"/>
                <w:szCs w:val="24"/>
                <w:highlight w:val="none"/>
                <w:u w:val="none" w:color="auto"/>
              </w:rPr>
              <w:t>根据项目生产特征和污染物的排放特征，按照国家颁布的环境质量标准、污染物排放标准及地方环保部门的要求，依据</w:t>
            </w:r>
            <w:r>
              <w:rPr>
                <w:rFonts w:hint="eastAsia"/>
                <w:color w:val="auto"/>
                <w:sz w:val="24"/>
                <w:highlight w:val="none"/>
                <w:u w:val="none" w:color="auto"/>
              </w:rPr>
              <w:t>《排污许可证申请与核发技术规范 工业炉窑》（HJ1121-2020）</w:t>
            </w:r>
            <w:r>
              <w:rPr>
                <w:rFonts w:hint="default" w:ascii="Times New Roman" w:hAnsi="Times New Roman" w:eastAsia="宋体" w:cs="Times New Roman"/>
                <w:color w:val="auto"/>
                <w:sz w:val="24"/>
                <w:szCs w:val="24"/>
                <w:highlight w:val="none"/>
                <w:u w:val="none" w:color="auto"/>
              </w:rPr>
              <w:t>要求。确定环境监测的内容有主要废气监测的监测项目、频率、点位见下表</w:t>
            </w:r>
            <w:r>
              <w:rPr>
                <w:rFonts w:hint="default" w:ascii="Times New Roman" w:hAnsi="Times New Roman" w:eastAsia="宋体" w:cs="Times New Roman"/>
                <w:color w:val="auto"/>
                <w:sz w:val="24"/>
                <w:szCs w:val="24"/>
                <w:highlight w:val="none"/>
                <w:u w:val="none" w:color="auto"/>
                <w:lang w:val="en-US" w:eastAsia="zh-CN"/>
              </w:rPr>
              <w:t>4-</w:t>
            </w:r>
            <w:r>
              <w:rPr>
                <w:rFonts w:hint="eastAsia" w:cs="Times New Roman"/>
                <w:color w:val="auto"/>
                <w:sz w:val="24"/>
                <w:szCs w:val="24"/>
                <w:highlight w:val="none"/>
                <w:u w:val="none" w:color="auto"/>
                <w:lang w:val="en-US" w:eastAsia="zh-CN"/>
              </w:rPr>
              <w:t>8</w:t>
            </w:r>
            <w:r>
              <w:rPr>
                <w:rFonts w:hint="default" w:ascii="Times New Roman" w:hAnsi="Times New Roman" w:eastAsia="宋体" w:cs="Times New Roman"/>
                <w:color w:val="auto"/>
                <w:sz w:val="24"/>
                <w:szCs w:val="24"/>
                <w:highlight w:val="none"/>
                <w:u w:val="none" w:color="auto"/>
              </w:rPr>
              <w:t>。</w:t>
            </w:r>
          </w:p>
          <w:p w14:paraId="7A5A0282">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因此，本项目监测计划详见下表：</w:t>
            </w:r>
          </w:p>
          <w:p w14:paraId="43403338">
            <w:pPr>
              <w:adjustRightInd w:val="0"/>
              <w:snapToGrid w:val="0"/>
              <w:jc w:val="center"/>
              <w:rPr>
                <w:rFonts w:hint="default" w:ascii="Times New Roman" w:hAnsi="Times New Roman" w:cs="Times New Roman"/>
                <w:b/>
                <w:bCs/>
                <w:color w:val="auto"/>
                <w:spacing w:val="-2"/>
                <w:sz w:val="24"/>
                <w:highlight w:val="none"/>
                <w:u w:val="none" w:color="auto"/>
              </w:rPr>
            </w:pPr>
            <w:r>
              <w:rPr>
                <w:rFonts w:hint="default" w:ascii="Times New Roman" w:hAnsi="Times New Roman" w:cs="Times New Roman"/>
                <w:b/>
                <w:bCs/>
                <w:color w:val="auto"/>
                <w:spacing w:val="-2"/>
                <w:sz w:val="24"/>
                <w:highlight w:val="none"/>
                <w:u w:val="none" w:color="auto"/>
              </w:rPr>
              <w:t>表</w:t>
            </w:r>
            <w:r>
              <w:rPr>
                <w:rFonts w:hint="default" w:ascii="Times New Roman" w:hAnsi="Times New Roman" w:cs="Times New Roman"/>
                <w:b/>
                <w:bCs/>
                <w:color w:val="auto"/>
                <w:spacing w:val="-2"/>
                <w:sz w:val="24"/>
                <w:highlight w:val="none"/>
                <w:u w:val="none" w:color="auto"/>
                <w:lang w:val="en-US" w:eastAsia="zh-CN"/>
              </w:rPr>
              <w:t>4-</w:t>
            </w:r>
            <w:r>
              <w:rPr>
                <w:rFonts w:hint="eastAsia" w:cs="Times New Roman"/>
                <w:b/>
                <w:bCs/>
                <w:color w:val="auto"/>
                <w:spacing w:val="-2"/>
                <w:sz w:val="24"/>
                <w:highlight w:val="none"/>
                <w:u w:val="none" w:color="auto"/>
                <w:lang w:val="en-US" w:eastAsia="zh-CN"/>
              </w:rPr>
              <w:t>7废气</w:t>
            </w:r>
            <w:r>
              <w:rPr>
                <w:rFonts w:hint="default" w:ascii="Times New Roman" w:hAnsi="Times New Roman" w:cs="Times New Roman"/>
                <w:b/>
                <w:bCs/>
                <w:color w:val="auto"/>
                <w:spacing w:val="-2"/>
                <w:sz w:val="24"/>
                <w:highlight w:val="none"/>
                <w:u w:val="none" w:color="auto"/>
              </w:rPr>
              <w:t>监测计划一览表</w:t>
            </w:r>
          </w:p>
          <w:tbl>
            <w:tblPr>
              <w:tblStyle w:val="29"/>
              <w:tblW w:w="781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695"/>
              <w:gridCol w:w="1674"/>
              <w:gridCol w:w="1022"/>
              <w:gridCol w:w="2352"/>
            </w:tblGrid>
            <w:tr w14:paraId="292DF6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075" w:type="dxa"/>
                  <w:tcBorders>
                    <w:tl2br w:val="nil"/>
                    <w:tr2bl w:val="nil"/>
                  </w:tcBorders>
                  <w:vAlign w:val="center"/>
                </w:tcPr>
                <w:p w14:paraId="37B5EE92">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排放形式</w:t>
                  </w:r>
                </w:p>
              </w:tc>
              <w:tc>
                <w:tcPr>
                  <w:tcW w:w="1695" w:type="dxa"/>
                  <w:tcBorders>
                    <w:tl2br w:val="nil"/>
                    <w:tr2bl w:val="nil"/>
                  </w:tcBorders>
                  <w:vAlign w:val="center"/>
                </w:tcPr>
                <w:p w14:paraId="0D745A9F">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监测点位</w:t>
                  </w:r>
                </w:p>
              </w:tc>
              <w:tc>
                <w:tcPr>
                  <w:tcW w:w="1674" w:type="dxa"/>
                  <w:tcBorders>
                    <w:tl2br w:val="nil"/>
                    <w:tr2bl w:val="nil"/>
                  </w:tcBorders>
                  <w:vAlign w:val="center"/>
                </w:tcPr>
                <w:p w14:paraId="3EC94BEC">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监测指标</w:t>
                  </w:r>
                </w:p>
              </w:tc>
              <w:tc>
                <w:tcPr>
                  <w:tcW w:w="1022" w:type="dxa"/>
                  <w:tcBorders>
                    <w:tl2br w:val="nil"/>
                    <w:tr2bl w:val="nil"/>
                  </w:tcBorders>
                  <w:vAlign w:val="center"/>
                </w:tcPr>
                <w:p w14:paraId="02600341">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最低监测频次</w:t>
                  </w:r>
                </w:p>
              </w:tc>
              <w:tc>
                <w:tcPr>
                  <w:tcW w:w="2352" w:type="dxa"/>
                  <w:tcBorders>
                    <w:tl2br w:val="nil"/>
                    <w:tr2bl w:val="nil"/>
                  </w:tcBorders>
                  <w:vAlign w:val="center"/>
                </w:tcPr>
                <w:p w14:paraId="5991101A">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val="en-US" w:eastAsia="zh-CN"/>
                    </w:rPr>
                  </w:pPr>
                  <w:r>
                    <w:rPr>
                      <w:rFonts w:hint="default" w:ascii="Times New Roman" w:hAnsi="Times New Roman" w:cs="Times New Roman"/>
                      <w:snapToGrid w:val="0"/>
                      <w:color w:val="auto"/>
                      <w:sz w:val="21"/>
                      <w:szCs w:val="21"/>
                      <w:highlight w:val="none"/>
                      <w:u w:val="none" w:color="auto"/>
                      <w:lang w:val="en-US" w:eastAsia="zh-CN"/>
                    </w:rPr>
                    <w:t>执行标准</w:t>
                  </w:r>
                </w:p>
              </w:tc>
            </w:tr>
            <w:tr w14:paraId="221FDE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075" w:type="dxa"/>
                  <w:vMerge w:val="restart"/>
                  <w:tcBorders>
                    <w:tl2br w:val="nil"/>
                    <w:tr2bl w:val="nil"/>
                  </w:tcBorders>
                  <w:vAlign w:val="center"/>
                </w:tcPr>
                <w:p w14:paraId="5C717C3E">
                  <w:pPr>
                    <w:adjustRightInd w:val="0"/>
                    <w:snapToGrid w:val="0"/>
                    <w:spacing w:line="240" w:lineRule="auto"/>
                    <w:jc w:val="center"/>
                    <w:rPr>
                      <w:rFonts w:hint="eastAsia" w:ascii="Times New Roman" w:hAnsi="Times New Roman" w:eastAsia="宋体" w:cs="Times New Roman"/>
                      <w:snapToGrid w:val="0"/>
                      <w:color w:val="auto"/>
                      <w:sz w:val="21"/>
                      <w:szCs w:val="21"/>
                      <w:highlight w:val="none"/>
                      <w:u w:val="none" w:color="auto"/>
                      <w:lang w:val="en-US" w:eastAsia="zh-CN"/>
                    </w:rPr>
                  </w:pPr>
                  <w:r>
                    <w:rPr>
                      <w:rFonts w:hint="eastAsia" w:cs="Times New Roman"/>
                      <w:snapToGrid w:val="0"/>
                      <w:color w:val="auto"/>
                      <w:sz w:val="21"/>
                      <w:szCs w:val="21"/>
                      <w:highlight w:val="none"/>
                      <w:u w:val="none" w:color="auto"/>
                      <w:lang w:val="en-US" w:eastAsia="zh-CN"/>
                    </w:rPr>
                    <w:t>有组织</w:t>
                  </w:r>
                </w:p>
              </w:tc>
              <w:tc>
                <w:tcPr>
                  <w:tcW w:w="1695" w:type="dxa"/>
                  <w:vMerge w:val="restart"/>
                  <w:tcBorders>
                    <w:tl2br w:val="nil"/>
                    <w:tr2bl w:val="nil"/>
                  </w:tcBorders>
                  <w:vAlign w:val="center"/>
                </w:tcPr>
                <w:p w14:paraId="16B537EA">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eastAsia="zh-CN"/>
                    </w:rPr>
                  </w:pPr>
                  <w:r>
                    <w:rPr>
                      <w:rFonts w:hint="eastAsia" w:cs="Times New Roman"/>
                      <w:snapToGrid w:val="0"/>
                      <w:color w:val="auto"/>
                      <w:sz w:val="21"/>
                      <w:szCs w:val="21"/>
                      <w:highlight w:val="none"/>
                      <w:u w:val="none" w:color="auto"/>
                      <w:lang w:val="en-US" w:eastAsia="zh-CN"/>
                    </w:rPr>
                    <w:t>热风炉</w:t>
                  </w:r>
                  <w:r>
                    <w:rPr>
                      <w:rFonts w:hint="eastAsia" w:cs="Times New Roman"/>
                      <w:snapToGrid w:val="0"/>
                      <w:color w:val="auto"/>
                      <w:sz w:val="21"/>
                      <w:szCs w:val="21"/>
                      <w:highlight w:val="none"/>
                      <w:u w:val="none" w:color="auto"/>
                      <w:lang w:eastAsia="zh-CN"/>
                    </w:rPr>
                    <w:t>烟囱</w:t>
                  </w:r>
                  <w:r>
                    <w:rPr>
                      <w:rFonts w:hint="default" w:ascii="Times New Roman" w:hAnsi="Times New Roman" w:cs="Times New Roman"/>
                      <w:snapToGrid w:val="0"/>
                      <w:color w:val="auto"/>
                      <w:sz w:val="21"/>
                      <w:szCs w:val="21"/>
                      <w:highlight w:val="none"/>
                      <w:u w:val="none" w:color="auto"/>
                      <w:lang w:eastAsia="zh-CN"/>
                    </w:rPr>
                    <w:t>（</w:t>
                  </w:r>
                  <w:r>
                    <w:rPr>
                      <w:rFonts w:hint="default" w:ascii="Times New Roman" w:hAnsi="Times New Roman" w:cs="Times New Roman"/>
                      <w:snapToGrid w:val="0"/>
                      <w:color w:val="auto"/>
                      <w:sz w:val="21"/>
                      <w:szCs w:val="21"/>
                      <w:highlight w:val="none"/>
                      <w:u w:val="none" w:color="auto"/>
                    </w:rPr>
                    <w:t>DA00</w:t>
                  </w:r>
                  <w:r>
                    <w:rPr>
                      <w:rFonts w:hint="eastAsia" w:cs="Times New Roman"/>
                      <w:snapToGrid w:val="0"/>
                      <w:color w:val="auto"/>
                      <w:sz w:val="21"/>
                      <w:szCs w:val="21"/>
                      <w:highlight w:val="none"/>
                      <w:u w:val="none" w:color="auto"/>
                      <w:lang w:val="en-US" w:eastAsia="zh-CN"/>
                    </w:rPr>
                    <w:t>1</w:t>
                  </w:r>
                  <w:r>
                    <w:rPr>
                      <w:rFonts w:hint="default" w:ascii="Times New Roman" w:hAnsi="Times New Roman" w:cs="Times New Roman"/>
                      <w:snapToGrid w:val="0"/>
                      <w:color w:val="auto"/>
                      <w:sz w:val="21"/>
                      <w:szCs w:val="21"/>
                      <w:highlight w:val="none"/>
                      <w:u w:val="none" w:color="auto"/>
                      <w:lang w:eastAsia="zh-CN"/>
                    </w:rPr>
                    <w:t>）</w:t>
                  </w:r>
                </w:p>
              </w:tc>
              <w:tc>
                <w:tcPr>
                  <w:tcW w:w="1674" w:type="dxa"/>
                  <w:tcBorders>
                    <w:tl2br w:val="nil"/>
                    <w:tr2bl w:val="nil"/>
                  </w:tcBorders>
                  <w:vAlign w:val="center"/>
                </w:tcPr>
                <w:p w14:paraId="3022C442">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val="en-US" w:eastAsia="zh-CN"/>
                    </w:rPr>
                  </w:pPr>
                  <w:r>
                    <w:rPr>
                      <w:rFonts w:hint="default" w:ascii="Times New Roman" w:hAnsi="Times New Roman" w:cs="Times New Roman"/>
                      <w:snapToGrid w:val="0"/>
                      <w:color w:val="auto"/>
                      <w:sz w:val="21"/>
                      <w:szCs w:val="21"/>
                      <w:highlight w:val="none"/>
                      <w:u w:val="none" w:color="auto"/>
                    </w:rPr>
                    <w:t>颗粒物</w:t>
                  </w:r>
                  <w:r>
                    <w:rPr>
                      <w:rFonts w:hint="default" w:ascii="Times New Roman" w:hAnsi="Times New Roman" w:cs="Times New Roman"/>
                      <w:snapToGrid w:val="0"/>
                      <w:color w:val="auto"/>
                      <w:sz w:val="21"/>
                      <w:szCs w:val="21"/>
                      <w:highlight w:val="none"/>
                      <w:u w:val="none" w:color="auto"/>
                      <w:lang w:eastAsia="zh-CN"/>
                    </w:rPr>
                    <w:t>、</w:t>
                  </w:r>
                  <w:r>
                    <w:rPr>
                      <w:rFonts w:hint="default" w:ascii="Times New Roman" w:hAnsi="Times New Roman" w:cs="Times New Roman"/>
                      <w:snapToGrid w:val="0"/>
                      <w:color w:val="auto"/>
                      <w:sz w:val="21"/>
                      <w:szCs w:val="21"/>
                      <w:highlight w:val="none"/>
                      <w:u w:val="none" w:color="auto"/>
                      <w:lang w:val="en-US" w:eastAsia="zh-CN"/>
                    </w:rPr>
                    <w:t>二氧化硫、林格曼黑度</w:t>
                  </w:r>
                </w:p>
              </w:tc>
              <w:tc>
                <w:tcPr>
                  <w:tcW w:w="1022" w:type="dxa"/>
                  <w:tcBorders>
                    <w:tl2br w:val="nil"/>
                    <w:tr2bl w:val="nil"/>
                  </w:tcBorders>
                  <w:vAlign w:val="center"/>
                </w:tcPr>
                <w:p w14:paraId="0D5EAB75">
                  <w:pPr>
                    <w:adjustRightInd w:val="0"/>
                    <w:snapToGrid w:val="0"/>
                    <w:spacing w:line="240" w:lineRule="auto"/>
                    <w:jc w:val="center"/>
                    <w:rPr>
                      <w:rFonts w:hint="eastAsia" w:ascii="Times New Roman" w:hAnsi="Times New Roman" w:eastAsia="宋体" w:cs="Times New Roman"/>
                      <w:snapToGrid w:val="0"/>
                      <w:color w:val="auto"/>
                      <w:sz w:val="21"/>
                      <w:szCs w:val="21"/>
                      <w:highlight w:val="none"/>
                      <w:u w:val="none" w:color="auto"/>
                      <w:lang w:val="en-US" w:eastAsia="zh-CN"/>
                    </w:rPr>
                  </w:pPr>
                  <w:r>
                    <w:rPr>
                      <w:rFonts w:hint="default" w:ascii="Times New Roman" w:hAnsi="Times New Roman" w:cs="Times New Roman"/>
                      <w:snapToGrid w:val="0"/>
                      <w:color w:val="auto"/>
                      <w:sz w:val="21"/>
                      <w:szCs w:val="21"/>
                      <w:highlight w:val="none"/>
                      <w:u w:val="none" w:color="auto"/>
                    </w:rPr>
                    <w:t>1次/</w:t>
                  </w:r>
                  <w:r>
                    <w:rPr>
                      <w:rFonts w:hint="eastAsia" w:cs="Times New Roman"/>
                      <w:snapToGrid w:val="0"/>
                      <w:color w:val="auto"/>
                      <w:sz w:val="21"/>
                      <w:szCs w:val="21"/>
                      <w:highlight w:val="none"/>
                      <w:u w:val="none" w:color="auto"/>
                      <w:lang w:val="en-US" w:eastAsia="zh-CN"/>
                    </w:rPr>
                    <w:t>年</w:t>
                  </w:r>
                </w:p>
              </w:tc>
              <w:tc>
                <w:tcPr>
                  <w:tcW w:w="2352" w:type="dxa"/>
                  <w:tcBorders>
                    <w:tl2br w:val="nil"/>
                    <w:tr2bl w:val="nil"/>
                  </w:tcBorders>
                  <w:vAlign w:val="center"/>
                </w:tcPr>
                <w:p w14:paraId="5F3990A7">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《工业炉窑大气污染物排放标准》（GB9078-1996）</w:t>
                  </w:r>
                </w:p>
              </w:tc>
            </w:tr>
            <w:tr w14:paraId="32C7E8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075" w:type="dxa"/>
                  <w:vMerge w:val="continue"/>
                  <w:tcBorders>
                    <w:tl2br w:val="nil"/>
                    <w:tr2bl w:val="nil"/>
                  </w:tcBorders>
                  <w:vAlign w:val="center"/>
                </w:tcPr>
                <w:p w14:paraId="35456248">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p>
              </w:tc>
              <w:tc>
                <w:tcPr>
                  <w:tcW w:w="1695" w:type="dxa"/>
                  <w:vMerge w:val="continue"/>
                  <w:tcBorders>
                    <w:tl2br w:val="nil"/>
                    <w:tr2bl w:val="nil"/>
                  </w:tcBorders>
                  <w:vAlign w:val="center"/>
                </w:tcPr>
                <w:p w14:paraId="537FA7F7">
                  <w:pPr>
                    <w:adjustRightInd w:val="0"/>
                    <w:snapToGrid w:val="0"/>
                    <w:spacing w:line="240" w:lineRule="auto"/>
                    <w:jc w:val="center"/>
                    <w:rPr>
                      <w:rFonts w:hint="eastAsia" w:cs="Times New Roman"/>
                      <w:snapToGrid w:val="0"/>
                      <w:color w:val="auto"/>
                      <w:sz w:val="21"/>
                      <w:szCs w:val="21"/>
                      <w:highlight w:val="none"/>
                      <w:u w:val="none" w:color="auto"/>
                      <w:lang w:val="en-US" w:eastAsia="zh-CN"/>
                    </w:rPr>
                  </w:pPr>
                </w:p>
              </w:tc>
              <w:tc>
                <w:tcPr>
                  <w:tcW w:w="1674" w:type="dxa"/>
                  <w:tcBorders>
                    <w:tl2br w:val="nil"/>
                    <w:tr2bl w:val="nil"/>
                  </w:tcBorders>
                  <w:vAlign w:val="center"/>
                </w:tcPr>
                <w:p w14:paraId="09D1224B">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lang w:val="en-US" w:eastAsia="zh-CN"/>
                    </w:rPr>
                    <w:t>氮氧化物</w:t>
                  </w:r>
                </w:p>
              </w:tc>
              <w:tc>
                <w:tcPr>
                  <w:tcW w:w="1022" w:type="dxa"/>
                  <w:tcBorders>
                    <w:tl2br w:val="nil"/>
                    <w:tr2bl w:val="nil"/>
                  </w:tcBorders>
                  <w:vAlign w:val="center"/>
                </w:tcPr>
                <w:p w14:paraId="56B18ACE">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1次/</w:t>
                  </w:r>
                  <w:r>
                    <w:rPr>
                      <w:rFonts w:hint="eastAsia" w:cs="Times New Roman"/>
                      <w:snapToGrid w:val="0"/>
                      <w:color w:val="auto"/>
                      <w:sz w:val="21"/>
                      <w:szCs w:val="21"/>
                      <w:highlight w:val="none"/>
                      <w:u w:val="none" w:color="auto"/>
                      <w:lang w:val="en-US" w:eastAsia="zh-CN"/>
                    </w:rPr>
                    <w:t>年</w:t>
                  </w:r>
                </w:p>
              </w:tc>
              <w:tc>
                <w:tcPr>
                  <w:tcW w:w="2352" w:type="dxa"/>
                  <w:tcBorders>
                    <w:tl2br w:val="nil"/>
                    <w:tr2bl w:val="nil"/>
                  </w:tcBorders>
                  <w:vAlign w:val="center"/>
                </w:tcPr>
                <w:p w14:paraId="2F093486">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《大气污染物综合排放标准》（GB16297-1996）表2中二级排放限值</w:t>
                  </w:r>
                </w:p>
              </w:tc>
            </w:tr>
            <w:tr w14:paraId="4A1C3B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075" w:type="dxa"/>
                  <w:vMerge w:val="restart"/>
                  <w:tcBorders>
                    <w:tl2br w:val="nil"/>
                    <w:tr2bl w:val="nil"/>
                  </w:tcBorders>
                  <w:vAlign w:val="center"/>
                </w:tcPr>
                <w:p w14:paraId="72A42D3F">
                  <w:pPr>
                    <w:adjustRightInd w:val="0"/>
                    <w:snapToGrid w:val="0"/>
                    <w:spacing w:line="240" w:lineRule="auto"/>
                    <w:jc w:val="center"/>
                    <w:rPr>
                      <w:rFonts w:hint="eastAsia" w:ascii="Times New Roman" w:hAnsi="Times New Roman" w:eastAsia="宋体" w:cs="Times New Roman"/>
                      <w:snapToGrid w:val="0"/>
                      <w:color w:val="auto"/>
                      <w:sz w:val="21"/>
                      <w:szCs w:val="21"/>
                      <w:highlight w:val="none"/>
                      <w:u w:val="none" w:color="auto"/>
                      <w:lang w:val="en-US" w:eastAsia="zh-CN"/>
                    </w:rPr>
                  </w:pPr>
                  <w:r>
                    <w:rPr>
                      <w:rFonts w:hint="eastAsia" w:cs="Times New Roman"/>
                      <w:snapToGrid w:val="0"/>
                      <w:color w:val="auto"/>
                      <w:sz w:val="21"/>
                      <w:szCs w:val="21"/>
                      <w:highlight w:val="none"/>
                      <w:u w:val="none" w:color="auto"/>
                      <w:lang w:val="en-US" w:eastAsia="zh-CN"/>
                    </w:rPr>
                    <w:t>无组织</w:t>
                  </w:r>
                </w:p>
              </w:tc>
              <w:tc>
                <w:tcPr>
                  <w:tcW w:w="1695" w:type="dxa"/>
                  <w:tcBorders>
                    <w:tl2br w:val="nil"/>
                    <w:tr2bl w:val="nil"/>
                  </w:tcBorders>
                  <w:vAlign w:val="center"/>
                </w:tcPr>
                <w:p w14:paraId="70A2DA94">
                  <w:pPr>
                    <w:adjustRightInd w:val="0"/>
                    <w:snapToGrid w:val="0"/>
                    <w:spacing w:line="240" w:lineRule="auto"/>
                    <w:jc w:val="center"/>
                    <w:rPr>
                      <w:rFonts w:hint="default" w:cs="Times New Roman"/>
                      <w:snapToGrid w:val="0"/>
                      <w:color w:val="auto"/>
                      <w:sz w:val="21"/>
                      <w:szCs w:val="21"/>
                      <w:highlight w:val="none"/>
                      <w:u w:val="none" w:color="auto"/>
                      <w:lang w:val="en-US" w:eastAsia="zh-CN"/>
                    </w:rPr>
                  </w:pPr>
                  <w:r>
                    <w:rPr>
                      <w:rFonts w:hint="eastAsia" w:cs="Times New Roman"/>
                      <w:snapToGrid w:val="0"/>
                      <w:color w:val="auto"/>
                      <w:sz w:val="21"/>
                      <w:szCs w:val="21"/>
                      <w:highlight w:val="none"/>
                      <w:u w:val="none" w:color="auto"/>
                      <w:lang w:val="en-US" w:eastAsia="zh-CN"/>
                    </w:rPr>
                    <w:t>热风炉周边</w:t>
                  </w:r>
                </w:p>
              </w:tc>
              <w:tc>
                <w:tcPr>
                  <w:tcW w:w="1674" w:type="dxa"/>
                  <w:tcBorders>
                    <w:tl2br w:val="nil"/>
                    <w:tr2bl w:val="nil"/>
                  </w:tcBorders>
                  <w:vAlign w:val="center"/>
                </w:tcPr>
                <w:p w14:paraId="56A7DC01">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lang w:val="en-US" w:eastAsia="zh-CN"/>
                    </w:rPr>
                  </w:pPr>
                  <w:r>
                    <w:rPr>
                      <w:rFonts w:hint="eastAsia" w:ascii="Times New Roman" w:hAnsi="Times New Roman" w:cs="Times New Roman"/>
                      <w:snapToGrid w:val="0"/>
                      <w:color w:val="auto"/>
                      <w:sz w:val="21"/>
                      <w:szCs w:val="21"/>
                      <w:highlight w:val="none"/>
                      <w:u w:val="none" w:color="auto"/>
                      <w:lang w:val="en-US" w:eastAsia="zh-CN"/>
                    </w:rPr>
                    <w:t>颗粒物</w:t>
                  </w:r>
                </w:p>
              </w:tc>
              <w:tc>
                <w:tcPr>
                  <w:tcW w:w="1022" w:type="dxa"/>
                  <w:tcBorders>
                    <w:tl2br w:val="nil"/>
                    <w:tr2bl w:val="nil"/>
                  </w:tcBorders>
                  <w:vAlign w:val="center"/>
                </w:tcPr>
                <w:p w14:paraId="70D84E60">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1次/</w:t>
                  </w:r>
                  <w:r>
                    <w:rPr>
                      <w:rFonts w:hint="eastAsia" w:cs="Times New Roman"/>
                      <w:snapToGrid w:val="0"/>
                      <w:color w:val="auto"/>
                      <w:sz w:val="21"/>
                      <w:szCs w:val="21"/>
                      <w:highlight w:val="none"/>
                      <w:u w:val="none" w:color="auto"/>
                      <w:lang w:val="en-US" w:eastAsia="zh-CN"/>
                    </w:rPr>
                    <w:t>年</w:t>
                  </w:r>
                </w:p>
              </w:tc>
              <w:tc>
                <w:tcPr>
                  <w:tcW w:w="2352" w:type="dxa"/>
                  <w:tcBorders>
                    <w:tl2br w:val="nil"/>
                    <w:tr2bl w:val="nil"/>
                  </w:tcBorders>
                  <w:vAlign w:val="center"/>
                </w:tcPr>
                <w:p w14:paraId="4FD74E5C">
                  <w:pPr>
                    <w:spacing w:before="30" w:line="240" w:lineRule="auto"/>
                    <w:ind w:left="132"/>
                    <w:rPr>
                      <w:rFonts w:hint="default" w:ascii="Times New Roman" w:hAnsi="Times New Roman" w:cs="Times New Roman"/>
                      <w:snapToGrid w:val="0"/>
                      <w:color w:val="auto"/>
                      <w:sz w:val="21"/>
                      <w:szCs w:val="21"/>
                      <w:highlight w:val="none"/>
                      <w:u w:val="none" w:color="auto"/>
                    </w:rPr>
                  </w:pPr>
                  <w:r>
                    <w:rPr>
                      <w:rFonts w:ascii="宋体" w:hAnsi="宋体" w:eastAsia="宋体" w:cs="宋体"/>
                      <w:color w:val="auto"/>
                      <w:spacing w:val="8"/>
                      <w:sz w:val="21"/>
                      <w:szCs w:val="21"/>
                      <w:u w:val="none" w:color="auto"/>
                    </w:rPr>
                    <w:t>《工业炉窑大气污染</w:t>
                  </w:r>
                  <w:r>
                    <w:rPr>
                      <w:rFonts w:ascii="宋体" w:hAnsi="宋体" w:eastAsia="宋体" w:cs="宋体"/>
                      <w:color w:val="auto"/>
                      <w:spacing w:val="6"/>
                      <w:sz w:val="21"/>
                      <w:szCs w:val="21"/>
                      <w:u w:val="none" w:color="auto"/>
                    </w:rPr>
                    <w:t>物排放标准》</w:t>
                  </w:r>
                  <w:r>
                    <w:rPr>
                      <w:rFonts w:ascii="宋体" w:hAnsi="宋体" w:eastAsia="宋体" w:cs="宋体"/>
                      <w:color w:val="auto"/>
                      <w:spacing w:val="4"/>
                      <w:sz w:val="21"/>
                      <w:szCs w:val="21"/>
                      <w:u w:val="none" w:color="auto"/>
                    </w:rPr>
                    <w:t>（</w:t>
                  </w:r>
                  <w:r>
                    <w:rPr>
                      <w:rFonts w:ascii="Times New Roman" w:hAnsi="Times New Roman" w:eastAsia="Times New Roman" w:cs="Times New Roman"/>
                      <w:color w:val="auto"/>
                      <w:sz w:val="21"/>
                      <w:szCs w:val="21"/>
                      <w:u w:val="none" w:color="auto"/>
                    </w:rPr>
                    <w:t>GB</w:t>
                  </w:r>
                  <w:r>
                    <w:rPr>
                      <w:rFonts w:ascii="Times New Roman" w:hAnsi="Times New Roman" w:eastAsia="Times New Roman" w:cs="Times New Roman"/>
                      <w:color w:val="auto"/>
                      <w:spacing w:val="4"/>
                      <w:sz w:val="21"/>
                      <w:szCs w:val="21"/>
                      <w:u w:val="none" w:color="auto"/>
                    </w:rPr>
                    <w:t>9078-1996</w:t>
                  </w:r>
                  <w:r>
                    <w:rPr>
                      <w:rFonts w:ascii="宋体" w:hAnsi="宋体" w:eastAsia="宋体" w:cs="宋体"/>
                      <w:color w:val="auto"/>
                      <w:spacing w:val="4"/>
                      <w:sz w:val="21"/>
                      <w:szCs w:val="21"/>
                      <w:u w:val="none" w:color="auto"/>
                    </w:rPr>
                    <w:t>）</w:t>
                  </w:r>
                </w:p>
              </w:tc>
            </w:tr>
            <w:tr w14:paraId="4C0394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075" w:type="dxa"/>
                  <w:vMerge w:val="continue"/>
                  <w:tcBorders>
                    <w:tl2br w:val="nil"/>
                    <w:tr2bl w:val="nil"/>
                  </w:tcBorders>
                  <w:vAlign w:val="center"/>
                </w:tcPr>
                <w:p w14:paraId="7C723550">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p>
              </w:tc>
              <w:tc>
                <w:tcPr>
                  <w:tcW w:w="1695" w:type="dxa"/>
                  <w:tcBorders>
                    <w:tl2br w:val="nil"/>
                    <w:tr2bl w:val="nil"/>
                  </w:tcBorders>
                  <w:vAlign w:val="center"/>
                </w:tcPr>
                <w:p w14:paraId="43351BD7">
                  <w:pPr>
                    <w:adjustRightInd w:val="0"/>
                    <w:snapToGrid w:val="0"/>
                    <w:spacing w:line="240" w:lineRule="auto"/>
                    <w:jc w:val="center"/>
                    <w:rPr>
                      <w:rFonts w:hint="default" w:cs="Times New Roman"/>
                      <w:snapToGrid w:val="0"/>
                      <w:color w:val="auto"/>
                      <w:sz w:val="21"/>
                      <w:szCs w:val="21"/>
                      <w:highlight w:val="none"/>
                      <w:u w:val="none" w:color="auto"/>
                      <w:lang w:val="en-US" w:eastAsia="zh-CN"/>
                    </w:rPr>
                  </w:pPr>
                  <w:r>
                    <w:rPr>
                      <w:rFonts w:hint="eastAsia" w:cs="Times New Roman"/>
                      <w:snapToGrid w:val="0"/>
                      <w:color w:val="auto"/>
                      <w:sz w:val="21"/>
                      <w:szCs w:val="21"/>
                      <w:highlight w:val="none"/>
                      <w:u w:val="none" w:color="auto"/>
                      <w:lang w:val="en-US" w:eastAsia="zh-CN"/>
                    </w:rPr>
                    <w:t>厂界</w:t>
                  </w:r>
                </w:p>
              </w:tc>
              <w:tc>
                <w:tcPr>
                  <w:tcW w:w="1674" w:type="dxa"/>
                  <w:tcBorders>
                    <w:tl2br w:val="nil"/>
                    <w:tr2bl w:val="nil"/>
                  </w:tcBorders>
                  <w:vAlign w:val="center"/>
                </w:tcPr>
                <w:p w14:paraId="6534DEED">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lang w:val="en-US" w:eastAsia="zh-CN"/>
                    </w:rPr>
                  </w:pPr>
                  <w:r>
                    <w:rPr>
                      <w:rFonts w:hint="eastAsia" w:ascii="Times New Roman" w:hAnsi="Times New Roman" w:cs="Times New Roman"/>
                      <w:snapToGrid w:val="0"/>
                      <w:color w:val="auto"/>
                      <w:sz w:val="21"/>
                      <w:szCs w:val="21"/>
                      <w:highlight w:val="none"/>
                      <w:u w:val="none" w:color="auto"/>
                      <w:lang w:val="en-US" w:eastAsia="zh-CN"/>
                    </w:rPr>
                    <w:t>颗粒物</w:t>
                  </w:r>
                </w:p>
              </w:tc>
              <w:tc>
                <w:tcPr>
                  <w:tcW w:w="1022" w:type="dxa"/>
                  <w:tcBorders>
                    <w:tl2br w:val="nil"/>
                    <w:tr2bl w:val="nil"/>
                  </w:tcBorders>
                  <w:vAlign w:val="center"/>
                </w:tcPr>
                <w:p w14:paraId="4359BA89">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1次/</w:t>
                  </w:r>
                  <w:r>
                    <w:rPr>
                      <w:rFonts w:hint="eastAsia" w:cs="Times New Roman"/>
                      <w:snapToGrid w:val="0"/>
                      <w:color w:val="auto"/>
                      <w:sz w:val="21"/>
                      <w:szCs w:val="21"/>
                      <w:highlight w:val="none"/>
                      <w:u w:val="none" w:color="auto"/>
                      <w:lang w:val="en-US" w:eastAsia="zh-CN"/>
                    </w:rPr>
                    <w:t>年</w:t>
                  </w:r>
                </w:p>
              </w:tc>
              <w:tc>
                <w:tcPr>
                  <w:tcW w:w="2352" w:type="dxa"/>
                  <w:tcBorders>
                    <w:tl2br w:val="nil"/>
                    <w:tr2bl w:val="nil"/>
                  </w:tcBorders>
                  <w:vAlign w:val="center"/>
                </w:tcPr>
                <w:p w14:paraId="7EE5BE00">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《大气污染物综合排放标准》（GB16297-1996）表2无组织排放浓度监控限值</w:t>
                  </w:r>
                </w:p>
              </w:tc>
            </w:tr>
          </w:tbl>
          <w:p w14:paraId="06EF271C">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4.6</w:t>
            </w:r>
            <w:r>
              <w:rPr>
                <w:rFonts w:hint="default" w:ascii="Times New Roman" w:hAnsi="Times New Roman" w:cs="Times New Roman"/>
                <w:color w:val="auto"/>
                <w:position w:val="15"/>
                <w:sz w:val="24"/>
                <w:highlight w:val="none"/>
                <w:u w:val="none" w:color="auto"/>
              </w:rPr>
              <w:t>.</w:t>
            </w:r>
            <w:r>
              <w:rPr>
                <w:rFonts w:hint="default" w:ascii="Times New Roman" w:hAnsi="Times New Roman" w:cs="Times New Roman"/>
                <w:color w:val="auto"/>
                <w:position w:val="15"/>
                <w:sz w:val="24"/>
                <w:highlight w:val="none"/>
                <w:u w:val="none" w:color="auto"/>
                <w:lang w:val="en-US" w:eastAsia="zh-CN"/>
              </w:rPr>
              <w:t>7</w:t>
            </w:r>
            <w:r>
              <w:rPr>
                <w:rFonts w:hint="default" w:ascii="Times New Roman" w:hAnsi="Times New Roman" w:cs="Times New Roman"/>
                <w:color w:val="auto"/>
                <w:position w:val="15"/>
                <w:sz w:val="24"/>
                <w:highlight w:val="none"/>
                <w:u w:val="none" w:color="auto"/>
              </w:rPr>
              <w:t>非正常工况条件下污染物排放</w:t>
            </w:r>
          </w:p>
          <w:p w14:paraId="6BC9364A">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非正常及事故排放主要指装置在开、停车调试、检修及一般性事故时的“三废”排放，本项目主要体现在废气处理装置运行不正常出现的异常排放，开、停车调试，检修等非正常工况排放。</w:t>
            </w:r>
          </w:p>
          <w:p w14:paraId="7E0517A7">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本项目废气非正常排放主要体现在废气处理装置，即除尘器缺少日常监管维护，处理效率下降，除尘器综合处理效率下降至50%。非正常排放情况本项目污染物排放情况详见下表。</w:t>
            </w:r>
          </w:p>
          <w:p w14:paraId="354074C2">
            <w:pPr>
              <w:keepNext w:val="0"/>
              <w:keepLines w:val="0"/>
              <w:pageBreakBefore w:val="0"/>
              <w:widowControl w:val="0"/>
              <w:kinsoku/>
              <w:wordWrap/>
              <w:overflowPunct/>
              <w:topLinePunct w:val="0"/>
              <w:autoSpaceDE/>
              <w:autoSpaceDN/>
              <w:bidi w:val="0"/>
              <w:adjustRightInd/>
              <w:snapToGrid/>
              <w:spacing w:line="240" w:lineRule="auto"/>
              <w:ind w:firstLine="482" w:firstLineChars="200"/>
              <w:jc w:val="center"/>
              <w:textAlignment w:val="auto"/>
              <w:rPr>
                <w:color w:val="auto"/>
                <w:highlight w:val="none"/>
                <w:u w:val="none" w:color="auto"/>
              </w:rPr>
            </w:pPr>
            <w:r>
              <w:rPr>
                <w:rFonts w:hint="eastAsia"/>
                <w:b/>
                <w:bCs/>
                <w:color w:val="auto"/>
                <w:sz w:val="24"/>
                <w:szCs w:val="24"/>
                <w:highlight w:val="none"/>
                <w:u w:val="none" w:color="auto"/>
              </w:rPr>
              <w:t>表</w:t>
            </w:r>
            <w:r>
              <w:rPr>
                <w:rFonts w:hint="eastAsia"/>
                <w:b/>
                <w:bCs/>
                <w:color w:val="auto"/>
                <w:sz w:val="24"/>
                <w:szCs w:val="24"/>
                <w:highlight w:val="none"/>
                <w:u w:val="none" w:color="auto"/>
                <w:lang w:val="en-US" w:eastAsia="zh-CN"/>
              </w:rPr>
              <w:t>4-8</w:t>
            </w:r>
            <w:r>
              <w:rPr>
                <w:rFonts w:hint="eastAsia"/>
                <w:b/>
                <w:bCs/>
                <w:color w:val="auto"/>
                <w:sz w:val="24"/>
                <w:szCs w:val="24"/>
                <w:highlight w:val="none"/>
                <w:u w:val="none" w:color="auto"/>
              </w:rPr>
              <w:t xml:space="preserve">  热风炉烟气非正常排放情况一览表</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065"/>
              <w:gridCol w:w="1068"/>
              <w:gridCol w:w="1532"/>
              <w:gridCol w:w="1130"/>
              <w:gridCol w:w="1007"/>
              <w:gridCol w:w="1007"/>
            </w:tblGrid>
            <w:tr w14:paraId="6B188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5" w:type="pct"/>
                  <w:tcBorders>
                    <w:tl2br w:val="nil"/>
                    <w:tr2bl w:val="nil"/>
                  </w:tcBorders>
                  <w:vAlign w:val="center"/>
                </w:tcPr>
                <w:p w14:paraId="030F8DB4">
                  <w:pPr>
                    <w:widowControl/>
                    <w:ind w:left="-84" w:leftChars="-40" w:right="-84" w:rightChars="-40"/>
                    <w:jc w:val="center"/>
                    <w:textAlignment w:val="center"/>
                    <w:rPr>
                      <w:b/>
                      <w:bCs/>
                      <w:color w:val="auto"/>
                      <w:szCs w:val="21"/>
                      <w:highlight w:val="none"/>
                      <w:u w:val="single" w:color="auto"/>
                    </w:rPr>
                  </w:pPr>
                  <w:r>
                    <w:rPr>
                      <w:rFonts w:hint="eastAsia"/>
                      <w:color w:val="auto"/>
                      <w:kern w:val="0"/>
                      <w:szCs w:val="21"/>
                      <w:highlight w:val="none"/>
                      <w:u w:val="single" w:color="auto"/>
                      <w:lang w:bidi="ar"/>
                    </w:rPr>
                    <w:t>排放源</w:t>
                  </w:r>
                </w:p>
              </w:tc>
              <w:tc>
                <w:tcPr>
                  <w:tcW w:w="676" w:type="pct"/>
                  <w:tcBorders>
                    <w:tl2br w:val="nil"/>
                    <w:tr2bl w:val="nil"/>
                  </w:tcBorders>
                  <w:vAlign w:val="center"/>
                </w:tcPr>
                <w:p w14:paraId="40FC20CD">
                  <w:pPr>
                    <w:widowControl/>
                    <w:ind w:left="-84" w:leftChars="-40" w:right="-84" w:rightChars="-40"/>
                    <w:jc w:val="center"/>
                    <w:textAlignment w:val="center"/>
                    <w:rPr>
                      <w:b/>
                      <w:bCs/>
                      <w:color w:val="auto"/>
                      <w:szCs w:val="21"/>
                      <w:highlight w:val="none"/>
                      <w:u w:val="single" w:color="auto"/>
                    </w:rPr>
                  </w:pPr>
                  <w:r>
                    <w:rPr>
                      <w:rFonts w:hint="eastAsia"/>
                      <w:color w:val="auto"/>
                      <w:kern w:val="0"/>
                      <w:szCs w:val="21"/>
                      <w:highlight w:val="none"/>
                      <w:u w:val="single" w:color="auto"/>
                      <w:lang w:bidi="ar"/>
                    </w:rPr>
                    <w:t>污染物</w:t>
                  </w:r>
                </w:p>
              </w:tc>
              <w:tc>
                <w:tcPr>
                  <w:tcW w:w="678" w:type="pct"/>
                  <w:tcBorders>
                    <w:tl2br w:val="nil"/>
                    <w:tr2bl w:val="nil"/>
                  </w:tcBorders>
                  <w:vAlign w:val="center"/>
                </w:tcPr>
                <w:p w14:paraId="25FDADF8">
                  <w:pPr>
                    <w:widowControl/>
                    <w:ind w:left="-84" w:leftChars="-40" w:right="-84" w:rightChars="-40"/>
                    <w:jc w:val="center"/>
                    <w:textAlignment w:val="center"/>
                    <w:rPr>
                      <w:b/>
                      <w:bCs/>
                      <w:color w:val="auto"/>
                      <w:szCs w:val="21"/>
                      <w:highlight w:val="none"/>
                      <w:u w:val="single" w:color="auto"/>
                    </w:rPr>
                  </w:pPr>
                  <w:r>
                    <w:rPr>
                      <w:rFonts w:hint="eastAsia"/>
                      <w:color w:val="auto"/>
                      <w:kern w:val="0"/>
                      <w:szCs w:val="21"/>
                      <w:highlight w:val="none"/>
                      <w:u w:val="single" w:color="auto"/>
                      <w:lang w:bidi="ar"/>
                    </w:rPr>
                    <w:t>产生浓度</w:t>
                  </w:r>
                  <w:r>
                    <w:rPr>
                      <w:color w:val="auto"/>
                      <w:kern w:val="0"/>
                      <w:szCs w:val="21"/>
                      <w:highlight w:val="none"/>
                      <w:u w:val="single" w:color="auto"/>
                      <w:lang w:bidi="ar"/>
                    </w:rPr>
                    <w:t>mg/m</w:t>
                  </w:r>
                  <w:r>
                    <w:rPr>
                      <w:color w:val="auto"/>
                      <w:kern w:val="0"/>
                      <w:szCs w:val="21"/>
                      <w:highlight w:val="none"/>
                      <w:u w:val="single" w:color="auto"/>
                      <w:vertAlign w:val="superscript"/>
                      <w:lang w:bidi="ar"/>
                    </w:rPr>
                    <w:t>3</w:t>
                  </w:r>
                </w:p>
              </w:tc>
              <w:tc>
                <w:tcPr>
                  <w:tcW w:w="972" w:type="pct"/>
                  <w:tcBorders>
                    <w:tl2br w:val="nil"/>
                    <w:tr2bl w:val="nil"/>
                  </w:tcBorders>
                  <w:vAlign w:val="center"/>
                </w:tcPr>
                <w:p w14:paraId="61C8F0A5">
                  <w:pPr>
                    <w:widowControl/>
                    <w:ind w:left="-84" w:leftChars="-40" w:right="-84" w:rightChars="-40"/>
                    <w:jc w:val="center"/>
                    <w:textAlignment w:val="center"/>
                    <w:rPr>
                      <w:b/>
                      <w:bCs/>
                      <w:color w:val="auto"/>
                      <w:szCs w:val="21"/>
                      <w:highlight w:val="none"/>
                      <w:u w:val="single" w:color="auto"/>
                    </w:rPr>
                  </w:pPr>
                  <w:r>
                    <w:rPr>
                      <w:rFonts w:hint="eastAsia"/>
                      <w:color w:val="auto"/>
                      <w:kern w:val="0"/>
                      <w:szCs w:val="21"/>
                      <w:highlight w:val="none"/>
                      <w:u w:val="single" w:color="auto"/>
                      <w:lang w:bidi="ar"/>
                    </w:rPr>
                    <w:t>治理措施</w:t>
                  </w:r>
                </w:p>
              </w:tc>
              <w:tc>
                <w:tcPr>
                  <w:tcW w:w="717" w:type="pct"/>
                  <w:tcBorders>
                    <w:tl2br w:val="nil"/>
                    <w:tr2bl w:val="nil"/>
                  </w:tcBorders>
                  <w:vAlign w:val="center"/>
                </w:tcPr>
                <w:p w14:paraId="4978B8B4">
                  <w:pPr>
                    <w:widowControl/>
                    <w:ind w:left="-84" w:leftChars="-40" w:right="-84" w:rightChars="-40"/>
                    <w:jc w:val="center"/>
                    <w:textAlignment w:val="center"/>
                    <w:rPr>
                      <w:b/>
                      <w:bCs/>
                      <w:color w:val="auto"/>
                      <w:szCs w:val="21"/>
                      <w:highlight w:val="none"/>
                      <w:u w:val="single" w:color="auto"/>
                    </w:rPr>
                  </w:pPr>
                  <w:r>
                    <w:rPr>
                      <w:rFonts w:hint="eastAsia"/>
                      <w:color w:val="auto"/>
                      <w:kern w:val="0"/>
                      <w:szCs w:val="21"/>
                      <w:highlight w:val="none"/>
                      <w:u w:val="single" w:color="auto"/>
                      <w:lang w:bidi="ar"/>
                    </w:rPr>
                    <w:t>排放浓度</w:t>
                  </w:r>
                  <w:r>
                    <w:rPr>
                      <w:color w:val="auto"/>
                      <w:kern w:val="0"/>
                      <w:szCs w:val="21"/>
                      <w:highlight w:val="none"/>
                      <w:u w:val="single" w:color="auto"/>
                      <w:lang w:bidi="ar"/>
                    </w:rPr>
                    <w:t>mg/m</w:t>
                  </w:r>
                  <w:r>
                    <w:rPr>
                      <w:color w:val="auto"/>
                      <w:kern w:val="0"/>
                      <w:szCs w:val="21"/>
                      <w:highlight w:val="none"/>
                      <w:u w:val="single" w:color="auto"/>
                      <w:vertAlign w:val="superscript"/>
                      <w:lang w:bidi="ar"/>
                    </w:rPr>
                    <w:t>3</w:t>
                  </w:r>
                </w:p>
              </w:tc>
              <w:tc>
                <w:tcPr>
                  <w:tcW w:w="639" w:type="pct"/>
                  <w:tcBorders>
                    <w:tl2br w:val="nil"/>
                    <w:tr2bl w:val="nil"/>
                  </w:tcBorders>
                  <w:vAlign w:val="center"/>
                </w:tcPr>
                <w:p w14:paraId="198D4A84">
                  <w:pPr>
                    <w:widowControl/>
                    <w:ind w:left="-84" w:leftChars="-40" w:right="-84" w:rightChars="-40"/>
                    <w:jc w:val="center"/>
                    <w:textAlignment w:val="center"/>
                    <w:rPr>
                      <w:b/>
                      <w:bCs/>
                      <w:color w:val="auto"/>
                      <w:szCs w:val="21"/>
                      <w:highlight w:val="none"/>
                      <w:u w:val="single" w:color="auto"/>
                    </w:rPr>
                  </w:pPr>
                  <w:r>
                    <w:rPr>
                      <w:rFonts w:hint="eastAsia"/>
                      <w:color w:val="auto"/>
                      <w:kern w:val="0"/>
                      <w:szCs w:val="21"/>
                      <w:highlight w:val="none"/>
                      <w:u w:val="single" w:color="auto"/>
                      <w:lang w:bidi="ar"/>
                    </w:rPr>
                    <w:t>持续时间</w:t>
                  </w:r>
                  <w:r>
                    <w:rPr>
                      <w:color w:val="auto"/>
                      <w:kern w:val="0"/>
                      <w:szCs w:val="21"/>
                      <w:highlight w:val="none"/>
                      <w:u w:val="single" w:color="auto"/>
                      <w:lang w:bidi="ar"/>
                    </w:rPr>
                    <w:t>min</w:t>
                  </w:r>
                </w:p>
              </w:tc>
              <w:tc>
                <w:tcPr>
                  <w:tcW w:w="639" w:type="pct"/>
                  <w:tcBorders>
                    <w:tl2br w:val="nil"/>
                    <w:tr2bl w:val="nil"/>
                  </w:tcBorders>
                  <w:vAlign w:val="center"/>
                </w:tcPr>
                <w:p w14:paraId="69BE5CC7">
                  <w:pPr>
                    <w:widowControl/>
                    <w:ind w:left="-84" w:leftChars="-40" w:right="-84" w:rightChars="-40"/>
                    <w:jc w:val="center"/>
                    <w:textAlignment w:val="center"/>
                    <w:rPr>
                      <w:rFonts w:hint="eastAsia"/>
                      <w:color w:val="auto"/>
                      <w:kern w:val="0"/>
                      <w:szCs w:val="21"/>
                      <w:highlight w:val="none"/>
                      <w:u w:val="single" w:color="auto"/>
                      <w:lang w:bidi="ar"/>
                    </w:rPr>
                  </w:pPr>
                  <w:r>
                    <w:rPr>
                      <w:rFonts w:hint="eastAsia"/>
                      <w:color w:val="auto"/>
                      <w:kern w:val="0"/>
                      <w:szCs w:val="21"/>
                      <w:highlight w:val="none"/>
                      <w:u w:val="single" w:color="auto"/>
                      <w:lang w:bidi="ar"/>
                    </w:rPr>
                    <w:t>排放量</w:t>
                  </w:r>
                  <w:r>
                    <w:rPr>
                      <w:color w:val="auto"/>
                      <w:kern w:val="0"/>
                      <w:szCs w:val="21"/>
                      <w:highlight w:val="none"/>
                      <w:u w:val="single" w:color="auto"/>
                      <w:lang w:bidi="ar"/>
                    </w:rPr>
                    <w:t>kg</w:t>
                  </w:r>
                </w:p>
              </w:tc>
            </w:tr>
            <w:tr w14:paraId="5A633F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675" w:type="pct"/>
                  <w:tcBorders>
                    <w:tl2br w:val="nil"/>
                    <w:tr2bl w:val="nil"/>
                  </w:tcBorders>
                  <w:vAlign w:val="center"/>
                </w:tcPr>
                <w:p w14:paraId="30312175">
                  <w:pPr>
                    <w:jc w:val="center"/>
                    <w:rPr>
                      <w:color w:val="auto"/>
                      <w:kern w:val="0"/>
                      <w:szCs w:val="21"/>
                      <w:highlight w:val="none"/>
                      <w:u w:val="single" w:color="auto"/>
                      <w:lang w:bidi="ar"/>
                    </w:rPr>
                  </w:pPr>
                  <w:r>
                    <w:rPr>
                      <w:rFonts w:hint="eastAsia"/>
                      <w:color w:val="auto"/>
                      <w:kern w:val="0"/>
                      <w:szCs w:val="21"/>
                      <w:highlight w:val="none"/>
                      <w:u w:val="single" w:color="auto"/>
                      <w:lang w:bidi="ar"/>
                    </w:rPr>
                    <w:t>热风炉</w:t>
                  </w:r>
                </w:p>
                <w:p w14:paraId="52B330A8">
                  <w:pPr>
                    <w:jc w:val="center"/>
                    <w:rPr>
                      <w:b/>
                      <w:bCs/>
                      <w:color w:val="auto"/>
                      <w:szCs w:val="21"/>
                      <w:highlight w:val="none"/>
                      <w:u w:val="single" w:color="auto"/>
                    </w:rPr>
                  </w:pPr>
                  <w:r>
                    <w:rPr>
                      <w:rFonts w:hint="eastAsia"/>
                      <w:color w:val="auto"/>
                      <w:kern w:val="0"/>
                      <w:szCs w:val="21"/>
                      <w:highlight w:val="none"/>
                      <w:u w:val="single" w:color="auto"/>
                      <w:lang w:bidi="ar"/>
                    </w:rPr>
                    <w:t>废气</w:t>
                  </w:r>
                </w:p>
              </w:tc>
              <w:tc>
                <w:tcPr>
                  <w:tcW w:w="676" w:type="pct"/>
                  <w:tcBorders>
                    <w:tl2br w:val="nil"/>
                    <w:tr2bl w:val="nil"/>
                  </w:tcBorders>
                  <w:vAlign w:val="center"/>
                </w:tcPr>
                <w:p w14:paraId="2382C1E8">
                  <w:pPr>
                    <w:widowControl/>
                    <w:ind w:left="-84" w:leftChars="-40" w:right="-84" w:rightChars="-40"/>
                    <w:jc w:val="center"/>
                    <w:textAlignment w:val="center"/>
                    <w:rPr>
                      <w:b/>
                      <w:bCs/>
                      <w:color w:val="auto"/>
                      <w:szCs w:val="21"/>
                      <w:highlight w:val="none"/>
                      <w:u w:val="single" w:color="auto"/>
                    </w:rPr>
                  </w:pPr>
                  <w:r>
                    <w:rPr>
                      <w:rFonts w:hint="eastAsia"/>
                      <w:color w:val="auto"/>
                      <w:kern w:val="0"/>
                      <w:szCs w:val="21"/>
                      <w:highlight w:val="none"/>
                      <w:u w:val="single" w:color="auto"/>
                      <w:lang w:bidi="ar"/>
                    </w:rPr>
                    <w:t>颗粒物</w:t>
                  </w:r>
                </w:p>
              </w:tc>
              <w:tc>
                <w:tcPr>
                  <w:tcW w:w="678" w:type="pct"/>
                  <w:tcBorders>
                    <w:tl2br w:val="nil"/>
                    <w:tr2bl w:val="nil"/>
                  </w:tcBorders>
                  <w:shd w:val="clear" w:color="auto" w:fill="auto"/>
                  <w:vAlign w:val="center"/>
                </w:tcPr>
                <w:p w14:paraId="7A19F7DD">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single" w:color="auto"/>
                      <w:lang w:val="en-US" w:eastAsia="zh-CN" w:bidi="ar-SA"/>
                    </w:rPr>
                  </w:pPr>
                  <w:r>
                    <w:rPr>
                      <w:rFonts w:hint="default" w:ascii="Times New Roman" w:hAnsi="Times New Roman" w:eastAsia="宋体" w:cs="Times New Roman"/>
                      <w:i w:val="0"/>
                      <w:iCs w:val="0"/>
                      <w:color w:val="auto"/>
                      <w:kern w:val="0"/>
                      <w:sz w:val="21"/>
                      <w:szCs w:val="21"/>
                      <w:u w:val="single" w:color="auto"/>
                      <w:lang w:val="en-US" w:eastAsia="zh-CN" w:bidi="ar"/>
                    </w:rPr>
                    <w:t xml:space="preserve">14729.35 </w:t>
                  </w:r>
                </w:p>
              </w:tc>
              <w:tc>
                <w:tcPr>
                  <w:tcW w:w="972" w:type="pct"/>
                  <w:tcBorders>
                    <w:tl2br w:val="nil"/>
                    <w:tr2bl w:val="nil"/>
                  </w:tcBorders>
                  <w:vAlign w:val="center"/>
                </w:tcPr>
                <w:p w14:paraId="3D686EA7">
                  <w:pPr>
                    <w:widowControl/>
                    <w:jc w:val="center"/>
                    <w:textAlignment w:val="center"/>
                    <w:rPr>
                      <w:b/>
                      <w:bCs/>
                      <w:color w:val="auto"/>
                      <w:szCs w:val="21"/>
                      <w:highlight w:val="none"/>
                      <w:u w:val="single" w:color="auto"/>
                    </w:rPr>
                  </w:pPr>
                  <w:r>
                    <w:rPr>
                      <w:rFonts w:hint="eastAsia" w:ascii="宋体" w:hAnsi="宋体" w:cs="宋体"/>
                      <w:color w:val="auto"/>
                      <w:kern w:val="0"/>
                      <w:szCs w:val="21"/>
                      <w:highlight w:val="none"/>
                      <w:u w:val="single" w:color="auto"/>
                      <w:lang w:bidi="ar"/>
                    </w:rPr>
                    <w:t>除尘器处理效率</w:t>
                  </w:r>
                  <w:r>
                    <w:rPr>
                      <w:color w:val="auto"/>
                      <w:kern w:val="0"/>
                      <w:szCs w:val="21"/>
                      <w:highlight w:val="none"/>
                      <w:u w:val="single" w:color="auto"/>
                      <w:lang w:bidi="ar"/>
                    </w:rPr>
                    <w:t>50%</w:t>
                  </w:r>
                </w:p>
              </w:tc>
              <w:tc>
                <w:tcPr>
                  <w:tcW w:w="717" w:type="pct"/>
                  <w:tcBorders>
                    <w:tl2br w:val="nil"/>
                    <w:tr2bl w:val="nil"/>
                  </w:tcBorders>
                  <w:shd w:val="clear" w:color="auto" w:fill="auto"/>
                  <w:vAlign w:val="center"/>
                </w:tcPr>
                <w:p w14:paraId="1140509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single" w:color="auto"/>
                      <w:lang w:val="en-US" w:eastAsia="zh-CN" w:bidi="ar"/>
                    </w:rPr>
                  </w:pPr>
                  <w:r>
                    <w:rPr>
                      <w:rFonts w:hint="eastAsia" w:cs="Times New Roman"/>
                      <w:i w:val="0"/>
                      <w:iCs w:val="0"/>
                      <w:color w:val="auto"/>
                      <w:kern w:val="0"/>
                      <w:sz w:val="21"/>
                      <w:szCs w:val="21"/>
                      <w:u w:val="single" w:color="auto"/>
                      <w:lang w:val="en-US" w:eastAsia="zh-CN" w:bidi="ar"/>
                    </w:rPr>
                    <w:t>7364.675</w:t>
                  </w:r>
                </w:p>
              </w:tc>
              <w:tc>
                <w:tcPr>
                  <w:tcW w:w="639" w:type="pct"/>
                  <w:tcBorders>
                    <w:tl2br w:val="nil"/>
                    <w:tr2bl w:val="nil"/>
                  </w:tcBorders>
                  <w:vAlign w:val="center"/>
                </w:tcPr>
                <w:p w14:paraId="71F4D7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single" w:color="auto"/>
                      <w:lang w:val="en-US" w:eastAsia="zh-CN" w:bidi="ar"/>
                    </w:rPr>
                  </w:pPr>
                  <w:r>
                    <w:rPr>
                      <w:rFonts w:hint="default" w:ascii="Times New Roman" w:hAnsi="Times New Roman" w:eastAsia="宋体" w:cs="Times New Roman"/>
                      <w:i w:val="0"/>
                      <w:iCs w:val="0"/>
                      <w:color w:val="auto"/>
                      <w:kern w:val="0"/>
                      <w:sz w:val="21"/>
                      <w:szCs w:val="21"/>
                      <w:u w:val="single" w:color="auto"/>
                      <w:lang w:val="en-US" w:eastAsia="zh-CN" w:bidi="ar"/>
                    </w:rPr>
                    <w:t>30</w:t>
                  </w:r>
                </w:p>
              </w:tc>
              <w:tc>
                <w:tcPr>
                  <w:tcW w:w="639" w:type="pct"/>
                  <w:tcBorders>
                    <w:tl2br w:val="nil"/>
                    <w:tr2bl w:val="nil"/>
                  </w:tcBorders>
                  <w:vAlign w:val="center"/>
                </w:tcPr>
                <w:p w14:paraId="0A36C3F6">
                  <w:pPr>
                    <w:widowControl/>
                    <w:jc w:val="center"/>
                    <w:textAlignment w:val="center"/>
                    <w:rPr>
                      <w:rFonts w:hint="default" w:eastAsia="宋体"/>
                      <w:color w:val="auto"/>
                      <w:kern w:val="0"/>
                      <w:szCs w:val="21"/>
                      <w:highlight w:val="none"/>
                      <w:u w:val="single" w:color="auto"/>
                      <w:lang w:val="en-US" w:eastAsia="zh-CN" w:bidi="ar"/>
                    </w:rPr>
                  </w:pPr>
                  <w:r>
                    <w:rPr>
                      <w:rFonts w:hint="eastAsia"/>
                      <w:color w:val="auto"/>
                      <w:kern w:val="0"/>
                      <w:szCs w:val="21"/>
                      <w:highlight w:val="none"/>
                      <w:u w:val="single" w:color="auto"/>
                      <w:lang w:val="en-US" w:eastAsia="zh-CN" w:bidi="ar"/>
                    </w:rPr>
                    <w:t>23.83</w:t>
                  </w:r>
                </w:p>
              </w:tc>
            </w:tr>
          </w:tbl>
          <w:p w14:paraId="0DC96CDE">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rPr>
            </w:pPr>
            <w:r>
              <w:rPr>
                <w:rFonts w:hint="eastAsia" w:ascii="Times New Roman" w:hAnsi="Times New Roman" w:eastAsia="宋体" w:cs="Times New Roman"/>
                <w:color w:val="auto"/>
                <w:position w:val="15"/>
                <w:sz w:val="24"/>
                <w:highlight w:val="none"/>
                <w:u w:val="none" w:color="auto"/>
              </w:rPr>
              <w:t>由上表可知，在非正常工况下，</w:t>
            </w:r>
            <w:r>
              <w:rPr>
                <w:rFonts w:hint="eastAsia" w:cs="Times New Roman"/>
                <w:color w:val="auto"/>
                <w:position w:val="15"/>
                <w:sz w:val="24"/>
                <w:highlight w:val="none"/>
                <w:u w:val="none" w:color="auto"/>
                <w:lang w:eastAsia="zh-CN"/>
              </w:rPr>
              <w:t>烟囱</w:t>
            </w:r>
            <w:r>
              <w:rPr>
                <w:rFonts w:hint="eastAsia" w:ascii="Times New Roman" w:hAnsi="Times New Roman" w:eastAsia="宋体" w:cs="Times New Roman"/>
                <w:color w:val="auto"/>
                <w:position w:val="15"/>
                <w:sz w:val="24"/>
                <w:highlight w:val="none"/>
                <w:u w:val="none" w:color="auto"/>
              </w:rPr>
              <w:t>排放的颗粒物排放浓度增大。烟尘不能达标排放。为防止生产废气非正常工况下超标排放，企业应加强废气污染治理设施的管理，定期检修，确保废气治理设施正常运行，在废气处理设备停止运行或出现故障时，产生废气的各工序也应相应停止生产。为杜绝废气非正常情况下超标排放，应采取以下措施确保废气达标排放：</w:t>
            </w:r>
          </w:p>
          <w:p w14:paraId="7A1EE7D7">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rPr>
            </w:pPr>
            <w:r>
              <w:rPr>
                <w:rFonts w:hint="eastAsia" w:ascii="Times New Roman" w:hAnsi="Times New Roman" w:eastAsia="宋体" w:cs="Times New Roman"/>
                <w:color w:val="auto"/>
                <w:position w:val="15"/>
                <w:sz w:val="24"/>
                <w:highlight w:val="none"/>
                <w:u w:val="none" w:color="auto"/>
              </w:rPr>
              <w:t>①安排专人负责环保设备的日常维护和管理，</w:t>
            </w:r>
            <w:r>
              <w:rPr>
                <w:rFonts w:hint="eastAsia" w:cs="Times New Roman"/>
                <w:color w:val="auto"/>
                <w:position w:val="15"/>
                <w:sz w:val="24"/>
                <w:highlight w:val="none"/>
                <w:u w:val="none" w:color="auto"/>
                <w:lang w:eastAsia="zh-CN"/>
              </w:rPr>
              <w:t>每隔</w:t>
            </w:r>
            <w:r>
              <w:rPr>
                <w:rFonts w:hint="eastAsia" w:ascii="Times New Roman" w:hAnsi="Times New Roman" w:eastAsia="宋体" w:cs="Times New Roman"/>
                <w:color w:val="auto"/>
                <w:position w:val="15"/>
                <w:sz w:val="24"/>
                <w:highlight w:val="none"/>
                <w:u w:val="none" w:color="auto"/>
              </w:rPr>
              <w:t>固定时间检查、汇报情况，及时发现废气处理设备的隐患，确保废气处理系统正常运行；</w:t>
            </w:r>
          </w:p>
          <w:p w14:paraId="66626891">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rPr>
            </w:pPr>
            <w:r>
              <w:rPr>
                <w:rFonts w:hint="eastAsia" w:ascii="Times New Roman" w:hAnsi="Times New Roman" w:eastAsia="宋体" w:cs="Times New Roman"/>
                <w:color w:val="auto"/>
                <w:position w:val="15"/>
                <w:sz w:val="24"/>
                <w:highlight w:val="none"/>
                <w:u w:val="none" w:color="auto"/>
              </w:rPr>
              <w:t>②做好布袋更换记录，定期更换滤袋，检修更换前做好主生产线的停车准备等工作；</w:t>
            </w:r>
          </w:p>
          <w:p w14:paraId="1E6ACCC2">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rPr>
            </w:pPr>
            <w:r>
              <w:rPr>
                <w:rFonts w:hint="eastAsia" w:ascii="Times New Roman" w:hAnsi="Times New Roman" w:eastAsia="宋体" w:cs="Times New Roman"/>
                <w:color w:val="auto"/>
                <w:position w:val="15"/>
                <w:sz w:val="24"/>
                <w:highlight w:val="none"/>
                <w:u w:val="none" w:color="auto"/>
              </w:rPr>
              <w:t>③建立健全的环保管理机构，对环保管理人员和技术人员进行岗位培训，委托具有专业资质的环境检测单位对项目排放的各类污染物进行定期检测；</w:t>
            </w:r>
          </w:p>
          <w:p w14:paraId="230E119F">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rPr>
            </w:pPr>
            <w:r>
              <w:rPr>
                <w:rFonts w:hint="eastAsia" w:ascii="Times New Roman" w:hAnsi="Times New Roman" w:eastAsia="宋体" w:cs="Times New Roman"/>
                <w:color w:val="auto"/>
                <w:position w:val="15"/>
                <w:sz w:val="24"/>
                <w:highlight w:val="none"/>
                <w:u w:val="none" w:color="auto"/>
              </w:rPr>
              <w:t>④应定期维护、检修废气净化装置，以保持废气处理装置的净化能力，避免治理措施发生故障导致的异常排放。</w:t>
            </w:r>
          </w:p>
          <w:p w14:paraId="144392EA">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none" w:color="auto"/>
                <w:lang w:eastAsia="zh-CN"/>
              </w:rPr>
            </w:pPr>
            <w:r>
              <w:rPr>
                <w:rFonts w:hint="eastAsia" w:ascii="Times New Roman" w:hAnsi="Times New Roman" w:eastAsia="宋体" w:cs="Times New Roman"/>
                <w:color w:val="auto"/>
                <w:position w:val="15"/>
                <w:sz w:val="24"/>
                <w:highlight w:val="none"/>
                <w:u w:val="none" w:color="auto"/>
              </w:rPr>
              <w:t>⑤如临时污染防治设施故障，要立即抢修，应及时停止生产，避免事故状态下废气超标排放影响大气环境</w:t>
            </w:r>
            <w:r>
              <w:rPr>
                <w:rFonts w:hint="eastAsia" w:ascii="Times New Roman" w:hAnsi="Times New Roman" w:eastAsia="宋体" w:cs="Times New Roman"/>
                <w:color w:val="auto"/>
                <w:position w:val="15"/>
                <w:sz w:val="24"/>
                <w:highlight w:val="none"/>
                <w:u w:val="none" w:color="auto"/>
                <w:lang w:eastAsia="zh-CN"/>
              </w:rPr>
              <w:t>。</w:t>
            </w:r>
          </w:p>
          <w:p w14:paraId="14D8CD11">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4.7</w:t>
            </w:r>
            <w:r>
              <w:rPr>
                <w:rFonts w:hint="default" w:ascii="Times New Roman" w:hAnsi="Times New Roman" w:cs="Times New Roman"/>
                <w:color w:val="auto"/>
                <w:position w:val="15"/>
                <w:sz w:val="24"/>
                <w:highlight w:val="none"/>
                <w:u w:val="none" w:color="auto"/>
              </w:rPr>
              <w:t>废水</w:t>
            </w:r>
          </w:p>
          <w:p w14:paraId="6062B8D5">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lang w:eastAsia="zh-CN"/>
              </w:rPr>
            </w:pPr>
            <w:r>
              <w:rPr>
                <w:rFonts w:hint="eastAsia" w:cs="Times New Roman"/>
                <w:color w:val="auto"/>
                <w:position w:val="15"/>
                <w:sz w:val="24"/>
                <w:highlight w:val="none"/>
                <w:u w:val="none" w:color="auto"/>
                <w:lang w:val="en-US" w:eastAsia="zh-CN"/>
              </w:rPr>
              <w:t>4.7</w:t>
            </w:r>
            <w:r>
              <w:rPr>
                <w:rFonts w:hint="default" w:ascii="Times New Roman" w:hAnsi="Times New Roman" w:cs="Times New Roman"/>
                <w:color w:val="auto"/>
                <w:position w:val="15"/>
                <w:sz w:val="24"/>
                <w:highlight w:val="none"/>
                <w:u w:val="none" w:color="auto"/>
              </w:rPr>
              <w:t>.1</w:t>
            </w:r>
            <w:r>
              <w:rPr>
                <w:rFonts w:hint="default" w:ascii="Times New Roman" w:hAnsi="Times New Roman" w:cs="Times New Roman"/>
                <w:color w:val="auto"/>
                <w:position w:val="15"/>
                <w:sz w:val="24"/>
                <w:highlight w:val="none"/>
                <w:u w:val="none" w:color="auto"/>
                <w:lang w:eastAsia="zh-CN"/>
              </w:rPr>
              <w:t>生活</w:t>
            </w:r>
            <w:r>
              <w:rPr>
                <w:rFonts w:hint="eastAsia" w:cs="Times New Roman"/>
                <w:color w:val="auto"/>
                <w:position w:val="15"/>
                <w:sz w:val="24"/>
                <w:highlight w:val="none"/>
                <w:u w:val="none" w:color="auto"/>
                <w:lang w:eastAsia="zh-CN"/>
              </w:rPr>
              <w:t>污</w:t>
            </w:r>
            <w:r>
              <w:rPr>
                <w:rFonts w:hint="default" w:ascii="Times New Roman" w:hAnsi="Times New Roman" w:cs="Times New Roman"/>
                <w:color w:val="auto"/>
                <w:position w:val="15"/>
                <w:sz w:val="24"/>
                <w:highlight w:val="none"/>
                <w:u w:val="none" w:color="auto"/>
                <w:lang w:eastAsia="zh-CN"/>
              </w:rPr>
              <w:t>水</w:t>
            </w:r>
          </w:p>
          <w:p w14:paraId="3920CC01">
            <w:pPr>
              <w:pStyle w:val="48"/>
              <w:widowControl w:val="0"/>
              <w:overflowPunct w:val="0"/>
              <w:spacing w:line="360" w:lineRule="auto"/>
              <w:ind w:firstLine="504"/>
              <w:jc w:val="both"/>
              <w:rPr>
                <w:rFonts w:hint="eastAsia" w:ascii="Times New Roman" w:hAnsi="Times New Roman" w:eastAsia="宋体" w:cs="Times New Roman"/>
                <w:color w:val="auto"/>
                <w:szCs w:val="22"/>
                <w:highlight w:val="none"/>
                <w:u w:val="single" w:color="auto"/>
                <w:lang w:val="en-US" w:eastAsia="zh-CN"/>
              </w:rPr>
            </w:pPr>
            <w:r>
              <w:rPr>
                <w:rFonts w:hint="default" w:ascii="Times New Roman" w:hAnsi="Times New Roman" w:eastAsia="宋体" w:cs="Times New Roman"/>
                <w:color w:val="auto"/>
                <w:szCs w:val="22"/>
                <w:highlight w:val="none"/>
                <w:u w:val="single" w:color="auto"/>
                <w:lang w:val="en-US" w:eastAsia="zh-CN"/>
              </w:rPr>
              <w:t>本项目运营期劳动定员</w:t>
            </w:r>
            <w:r>
              <w:rPr>
                <w:rFonts w:hint="eastAsia" w:ascii="Times New Roman" w:hAnsi="Times New Roman" w:eastAsia="宋体" w:cs="Times New Roman"/>
                <w:color w:val="auto"/>
                <w:szCs w:val="22"/>
                <w:highlight w:val="none"/>
                <w:u w:val="single" w:color="auto"/>
                <w:lang w:val="en-US" w:eastAsia="zh-CN"/>
              </w:rPr>
              <w:t>10</w:t>
            </w:r>
            <w:r>
              <w:rPr>
                <w:rFonts w:hint="default" w:ascii="Times New Roman" w:hAnsi="Times New Roman" w:eastAsia="宋体" w:cs="Times New Roman"/>
                <w:color w:val="auto"/>
                <w:szCs w:val="22"/>
                <w:highlight w:val="none"/>
                <w:u w:val="single" w:color="auto"/>
                <w:lang w:val="en-US" w:eastAsia="zh-CN"/>
              </w:rPr>
              <w:t>人，均不在厂内食宿，</w:t>
            </w:r>
            <w:r>
              <w:rPr>
                <w:rFonts w:hint="eastAsia" w:ascii="Times New Roman" w:hAnsi="Times New Roman" w:eastAsia="宋体" w:cs="Times New Roman"/>
                <w:color w:val="auto"/>
                <w:szCs w:val="22"/>
                <w:highlight w:val="none"/>
                <w:u w:val="single" w:color="auto"/>
                <w:lang w:val="en-US" w:eastAsia="zh-CN"/>
              </w:rPr>
              <w:t>根</w:t>
            </w:r>
            <w:r>
              <w:rPr>
                <w:rFonts w:hint="eastAsia" w:ascii="Times New Roman" w:hAnsi="Times New Roman" w:cs="Times New Roman"/>
                <w:color w:val="auto"/>
                <w:szCs w:val="22"/>
                <w:highlight w:val="none"/>
                <w:u w:val="single" w:color="auto"/>
                <w:lang w:val="en-US" w:eastAsia="zh-CN"/>
              </w:rPr>
              <w:t>据吉林省地方标准《用水定额》（DB22/T389.2-2025）第四部分居民生活，表1居民生活用水定额表确定员工生活用水</w:t>
            </w:r>
            <w:r>
              <w:rPr>
                <w:rFonts w:hint="eastAsia" w:ascii="Times New Roman" w:hAnsi="Times New Roman" w:eastAsia="宋体" w:cs="Times New Roman"/>
                <w:color w:val="auto"/>
                <w:szCs w:val="22"/>
                <w:highlight w:val="none"/>
                <w:u w:val="single" w:color="auto"/>
                <w:lang w:val="en-US" w:eastAsia="zh-CN"/>
              </w:rPr>
              <w:t>按</w:t>
            </w:r>
            <w:r>
              <w:rPr>
                <w:rFonts w:hint="eastAsia" w:ascii="Times New Roman" w:hAnsi="Times New Roman" w:cs="Times New Roman"/>
                <w:color w:val="auto"/>
                <w:szCs w:val="22"/>
                <w:highlight w:val="none"/>
                <w:u w:val="single" w:color="auto"/>
                <w:lang w:val="en-US" w:eastAsia="zh-CN"/>
              </w:rPr>
              <w:t>6</w:t>
            </w:r>
            <w:r>
              <w:rPr>
                <w:rFonts w:hint="eastAsia" w:ascii="Times New Roman" w:hAnsi="Times New Roman" w:eastAsia="宋体" w:cs="Times New Roman"/>
                <w:color w:val="auto"/>
                <w:szCs w:val="22"/>
                <w:highlight w:val="none"/>
                <w:u w:val="single" w:color="auto"/>
                <w:lang w:val="en-US" w:eastAsia="zh-CN"/>
              </w:rPr>
              <w:t>0L/人•d计算，企业年生产时间</w:t>
            </w:r>
            <w:r>
              <w:rPr>
                <w:rFonts w:hint="eastAsia" w:ascii="Times New Roman" w:hAnsi="Times New Roman" w:cs="Times New Roman"/>
                <w:color w:val="auto"/>
                <w:szCs w:val="22"/>
                <w:highlight w:val="none"/>
                <w:u w:val="single" w:color="auto"/>
                <w:lang w:val="en-US" w:eastAsia="zh-CN"/>
              </w:rPr>
              <w:t>50</w:t>
            </w:r>
            <w:r>
              <w:rPr>
                <w:rFonts w:hint="eastAsia" w:ascii="Times New Roman" w:hAnsi="Times New Roman" w:eastAsia="宋体" w:cs="Times New Roman"/>
                <w:color w:val="auto"/>
                <w:szCs w:val="22"/>
                <w:highlight w:val="none"/>
                <w:u w:val="single" w:color="auto"/>
                <w:lang w:val="en-US" w:eastAsia="zh-CN"/>
              </w:rPr>
              <w:t>天，生活用水量为</w:t>
            </w:r>
            <w:r>
              <w:rPr>
                <w:rFonts w:hint="eastAsia" w:ascii="Times New Roman" w:hAnsi="Times New Roman" w:cs="Times New Roman"/>
                <w:color w:val="auto"/>
                <w:szCs w:val="22"/>
                <w:highlight w:val="none"/>
                <w:u w:val="single" w:color="auto"/>
                <w:lang w:val="en-US" w:eastAsia="zh-CN"/>
              </w:rPr>
              <w:t>30m</w:t>
            </w:r>
            <w:r>
              <w:rPr>
                <w:rFonts w:hint="eastAsia" w:ascii="Times New Roman" w:hAnsi="Times New Roman" w:eastAsia="宋体" w:cs="Times New Roman"/>
                <w:color w:val="auto"/>
                <w:szCs w:val="22"/>
                <w:highlight w:val="none"/>
                <w:u w:val="single" w:color="auto"/>
                <w:vertAlign w:val="superscript"/>
                <w:lang w:val="en-US" w:eastAsia="zh-CN"/>
              </w:rPr>
              <w:t>3</w:t>
            </w:r>
            <w:r>
              <w:rPr>
                <w:rFonts w:hint="eastAsia" w:ascii="Times New Roman" w:hAnsi="Times New Roman" w:eastAsia="宋体" w:cs="Times New Roman"/>
                <w:color w:val="auto"/>
                <w:szCs w:val="22"/>
                <w:highlight w:val="none"/>
                <w:u w:val="single" w:color="auto"/>
                <w:lang w:val="en-US" w:eastAsia="zh-CN"/>
              </w:rPr>
              <w:t>/a（</w:t>
            </w:r>
            <w:r>
              <w:rPr>
                <w:rFonts w:hint="eastAsia" w:ascii="Times New Roman" w:hAnsi="Times New Roman" w:cs="Times New Roman"/>
                <w:color w:val="auto"/>
                <w:szCs w:val="22"/>
                <w:highlight w:val="none"/>
                <w:u w:val="single" w:color="auto"/>
                <w:lang w:val="en-US" w:eastAsia="zh-CN"/>
              </w:rPr>
              <w:t>0.6</w:t>
            </w:r>
            <w:r>
              <w:rPr>
                <w:rFonts w:hint="eastAsia" w:ascii="Times New Roman" w:hAnsi="Times New Roman" w:eastAsia="宋体" w:cs="Times New Roman"/>
                <w:color w:val="auto"/>
                <w:szCs w:val="22"/>
                <w:highlight w:val="none"/>
                <w:u w:val="single" w:color="auto"/>
                <w:lang w:val="en-US" w:eastAsia="zh-CN"/>
              </w:rPr>
              <w:t>m</w:t>
            </w:r>
            <w:r>
              <w:rPr>
                <w:rFonts w:hint="eastAsia" w:ascii="Times New Roman" w:hAnsi="Times New Roman" w:eastAsia="宋体" w:cs="Times New Roman"/>
                <w:color w:val="auto"/>
                <w:szCs w:val="22"/>
                <w:highlight w:val="none"/>
                <w:u w:val="single" w:color="auto"/>
                <w:vertAlign w:val="superscript"/>
                <w:lang w:val="en-US" w:eastAsia="zh-CN"/>
              </w:rPr>
              <w:t>3</w:t>
            </w:r>
            <w:r>
              <w:rPr>
                <w:rFonts w:hint="eastAsia" w:ascii="Times New Roman" w:hAnsi="Times New Roman" w:eastAsia="宋体" w:cs="Times New Roman"/>
                <w:color w:val="auto"/>
                <w:szCs w:val="22"/>
                <w:highlight w:val="none"/>
                <w:u w:val="single" w:color="auto"/>
                <w:lang w:val="en-US" w:eastAsia="zh-CN"/>
              </w:rPr>
              <w:t>/d）</w:t>
            </w:r>
            <w:r>
              <w:rPr>
                <w:rFonts w:hint="eastAsia" w:ascii="Times New Roman" w:hAnsi="Times New Roman" w:cs="Times New Roman"/>
                <w:color w:val="auto"/>
                <w:szCs w:val="22"/>
                <w:highlight w:val="none"/>
                <w:u w:val="single" w:color="auto"/>
                <w:lang w:val="en-US" w:eastAsia="zh-CN"/>
              </w:rPr>
              <w:t>。</w:t>
            </w:r>
            <w:r>
              <w:rPr>
                <w:rFonts w:hint="default" w:ascii="Times New Roman" w:hAnsi="Times New Roman" w:eastAsia="宋体" w:cs="Times New Roman"/>
                <w:color w:val="auto"/>
                <w:szCs w:val="22"/>
                <w:highlight w:val="none"/>
                <w:u w:val="single" w:color="auto"/>
                <w:lang w:val="en-US" w:eastAsia="zh-CN"/>
              </w:rPr>
              <w:t>产污系数取0.8，生活污水产生量为</w:t>
            </w:r>
            <w:r>
              <w:rPr>
                <w:rFonts w:hint="eastAsia" w:ascii="Times New Roman" w:hAnsi="Times New Roman" w:eastAsia="宋体" w:cs="Times New Roman"/>
                <w:color w:val="auto"/>
                <w:szCs w:val="22"/>
                <w:highlight w:val="none"/>
                <w:u w:val="single" w:color="auto"/>
                <w:lang w:val="en-US" w:eastAsia="zh-CN"/>
              </w:rPr>
              <w:t>24</w:t>
            </w:r>
            <w:r>
              <w:rPr>
                <w:rFonts w:hint="default" w:ascii="Times New Roman" w:hAnsi="Times New Roman" w:eastAsia="宋体" w:cs="Times New Roman"/>
                <w:color w:val="auto"/>
                <w:szCs w:val="22"/>
                <w:highlight w:val="none"/>
                <w:u w:val="single" w:color="auto"/>
                <w:lang w:val="en-US" w:eastAsia="zh-CN"/>
              </w:rPr>
              <w:t>m</w:t>
            </w:r>
            <w:r>
              <w:rPr>
                <w:rFonts w:hint="default" w:ascii="Times New Roman" w:hAnsi="Times New Roman" w:eastAsia="宋体" w:cs="Times New Roman"/>
                <w:color w:val="auto"/>
                <w:szCs w:val="22"/>
                <w:highlight w:val="none"/>
                <w:u w:val="single" w:color="auto"/>
                <w:vertAlign w:val="superscript"/>
                <w:lang w:val="en-US" w:eastAsia="zh-CN"/>
              </w:rPr>
              <w:t>3</w:t>
            </w:r>
            <w:r>
              <w:rPr>
                <w:rFonts w:hint="default" w:ascii="Times New Roman" w:hAnsi="Times New Roman" w:eastAsia="宋体" w:cs="Times New Roman"/>
                <w:color w:val="auto"/>
                <w:szCs w:val="22"/>
                <w:highlight w:val="none"/>
                <w:u w:val="single" w:color="auto"/>
                <w:lang w:val="en-US" w:eastAsia="zh-CN"/>
              </w:rPr>
              <w:t>/a（</w:t>
            </w:r>
            <w:r>
              <w:rPr>
                <w:rFonts w:hint="eastAsia" w:ascii="Times New Roman" w:hAnsi="Times New Roman" w:eastAsia="宋体" w:cs="Times New Roman"/>
                <w:color w:val="auto"/>
                <w:szCs w:val="22"/>
                <w:highlight w:val="none"/>
                <w:u w:val="single" w:color="auto"/>
                <w:lang w:val="en-US" w:eastAsia="zh-CN"/>
              </w:rPr>
              <w:t>0.48</w:t>
            </w:r>
            <w:r>
              <w:rPr>
                <w:rFonts w:hint="default" w:ascii="Times New Roman" w:hAnsi="Times New Roman" w:eastAsia="宋体" w:cs="Times New Roman"/>
                <w:color w:val="auto"/>
                <w:szCs w:val="22"/>
                <w:highlight w:val="none"/>
                <w:u w:val="single" w:color="auto"/>
                <w:lang w:val="en-US" w:eastAsia="zh-CN"/>
              </w:rPr>
              <w:t>m</w:t>
            </w:r>
            <w:r>
              <w:rPr>
                <w:rFonts w:hint="default" w:ascii="Times New Roman" w:hAnsi="Times New Roman" w:eastAsia="宋体" w:cs="Times New Roman"/>
                <w:color w:val="auto"/>
                <w:szCs w:val="22"/>
                <w:highlight w:val="none"/>
                <w:u w:val="single" w:color="auto"/>
                <w:vertAlign w:val="superscript"/>
                <w:lang w:val="en-US" w:eastAsia="zh-CN"/>
              </w:rPr>
              <w:t>3</w:t>
            </w:r>
            <w:r>
              <w:rPr>
                <w:rFonts w:hint="default" w:ascii="Times New Roman" w:hAnsi="Times New Roman" w:eastAsia="宋体" w:cs="Times New Roman"/>
                <w:color w:val="auto"/>
                <w:szCs w:val="22"/>
                <w:highlight w:val="none"/>
                <w:u w:val="single" w:color="auto"/>
                <w:lang w:val="en-US" w:eastAsia="zh-CN"/>
              </w:rPr>
              <w:t>/d），</w:t>
            </w:r>
            <w:r>
              <w:rPr>
                <w:rFonts w:hint="eastAsia" w:ascii="Times New Roman" w:hAnsi="Times New Roman" w:cs="Times New Roman"/>
                <w:color w:val="auto"/>
                <w:szCs w:val="22"/>
                <w:highlight w:val="none"/>
                <w:u w:val="single" w:color="auto"/>
                <w:lang w:val="en-US" w:eastAsia="zh-CN"/>
              </w:rPr>
              <w:t>排入</w:t>
            </w:r>
            <w:r>
              <w:rPr>
                <w:rFonts w:hint="eastAsia" w:ascii="Times New Roman" w:hAnsi="Times New Roman" w:eastAsia="宋体" w:cs="Times New Roman"/>
                <w:color w:val="auto"/>
                <w:szCs w:val="22"/>
                <w:highlight w:val="none"/>
                <w:u w:val="single" w:color="auto"/>
                <w:lang w:val="en-US" w:eastAsia="zh-CN"/>
              </w:rPr>
              <w:t>防渗旱厕，定期清掏还田</w:t>
            </w:r>
            <w:r>
              <w:rPr>
                <w:rFonts w:hint="default" w:ascii="Times New Roman" w:hAnsi="Times New Roman" w:eastAsia="宋体" w:cs="Times New Roman"/>
                <w:color w:val="auto"/>
                <w:szCs w:val="22"/>
                <w:highlight w:val="none"/>
                <w:u w:val="single" w:color="auto"/>
                <w:lang w:val="en-US" w:eastAsia="zh-CN"/>
              </w:rPr>
              <w:t>。</w:t>
            </w:r>
          </w:p>
          <w:p w14:paraId="086ED773">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none" w:color="auto"/>
                <w:lang w:eastAsia="zh-CN"/>
              </w:rPr>
            </w:pPr>
            <w:r>
              <w:rPr>
                <w:rFonts w:hint="eastAsia" w:cs="Times New Roman"/>
                <w:color w:val="auto"/>
                <w:position w:val="15"/>
                <w:sz w:val="24"/>
                <w:highlight w:val="none"/>
                <w:u w:val="none" w:color="auto"/>
                <w:lang w:val="en-US" w:eastAsia="zh-CN"/>
              </w:rPr>
              <w:t>4.7</w:t>
            </w:r>
            <w:r>
              <w:rPr>
                <w:rFonts w:hint="default" w:ascii="Times New Roman" w:hAnsi="Times New Roman" w:cs="Times New Roman"/>
                <w:color w:val="auto"/>
                <w:position w:val="15"/>
                <w:sz w:val="24"/>
                <w:highlight w:val="none"/>
                <w:u w:val="none" w:color="auto"/>
                <w:lang w:val="en-US" w:eastAsia="zh-CN"/>
              </w:rPr>
              <w:t>.2</w:t>
            </w:r>
            <w:r>
              <w:rPr>
                <w:rFonts w:hint="default" w:ascii="Times New Roman" w:hAnsi="Times New Roman" w:cs="Times New Roman"/>
                <w:color w:val="auto"/>
                <w:position w:val="15"/>
                <w:sz w:val="24"/>
                <w:highlight w:val="none"/>
                <w:u w:val="none" w:color="auto"/>
              </w:rPr>
              <w:t>生产用水</w:t>
            </w:r>
          </w:p>
          <w:p w14:paraId="5826BF63">
            <w:pPr>
              <w:numPr>
                <w:ilvl w:val="0"/>
                <w:numId w:val="0"/>
              </w:num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none" w:color="auto"/>
                <w:vertAlign w:val="baseline"/>
                <w:lang w:val="en-US" w:eastAsia="zh-CN"/>
              </w:rPr>
            </w:pPr>
            <w:r>
              <w:rPr>
                <w:rFonts w:hint="eastAsia" w:ascii="Times New Roman" w:hAnsi="Times New Roman" w:cs="Times New Roman"/>
                <w:color w:val="auto"/>
                <w:position w:val="15"/>
                <w:sz w:val="24"/>
                <w:highlight w:val="none"/>
                <w:u w:val="none" w:color="auto"/>
                <w:lang w:val="en-US" w:eastAsia="zh-CN"/>
              </w:rPr>
              <w:t>浇渣用水量</w:t>
            </w:r>
            <w:r>
              <w:rPr>
                <w:rFonts w:hint="default" w:ascii="Times New Roman" w:hAnsi="Times New Roman" w:eastAsia="宋体" w:cs="Times New Roman"/>
                <w:color w:val="auto"/>
                <w:position w:val="15"/>
                <w:sz w:val="24"/>
                <w:highlight w:val="none"/>
                <w:u w:val="none" w:color="auto"/>
                <w:lang w:val="en-US" w:eastAsia="zh-CN"/>
              </w:rPr>
              <w:t>参</w:t>
            </w:r>
            <w:r>
              <w:rPr>
                <w:rFonts w:hint="default" w:ascii="Times New Roman" w:hAnsi="Times New Roman" w:eastAsia="宋体" w:cs="Times New Roman"/>
                <w:color w:val="auto"/>
                <w:position w:val="15"/>
                <w:sz w:val="24"/>
                <w:highlight w:val="none"/>
                <w:u w:val="single" w:color="auto"/>
                <w:lang w:val="en-US" w:eastAsia="zh-CN"/>
              </w:rPr>
              <w:t>考《工业锅炉房设计手册》</w:t>
            </w:r>
            <w:r>
              <w:rPr>
                <w:rFonts w:hint="eastAsia" w:ascii="Times New Roman" w:hAnsi="Times New Roman" w:cs="Times New Roman"/>
                <w:color w:val="auto"/>
                <w:position w:val="15"/>
                <w:sz w:val="24"/>
                <w:highlight w:val="none"/>
                <w:u w:val="single" w:color="auto"/>
                <w:lang w:val="en-US" w:eastAsia="zh-CN"/>
              </w:rPr>
              <w:t>，</w:t>
            </w:r>
            <w:r>
              <w:rPr>
                <w:rFonts w:hint="default" w:ascii="Times New Roman" w:hAnsi="Times New Roman" w:eastAsia="宋体" w:cs="Times New Roman"/>
                <w:color w:val="auto"/>
                <w:position w:val="15"/>
                <w:sz w:val="24"/>
                <w:highlight w:val="none"/>
                <w:u w:val="single" w:color="auto"/>
                <w:lang w:val="en-US" w:eastAsia="zh-CN"/>
              </w:rPr>
              <w:t>冲渣用水量为0.2-0.5m</w:t>
            </w:r>
            <w:r>
              <w:rPr>
                <w:rFonts w:hint="default" w:ascii="Times New Roman" w:hAnsi="Times New Roman" w:eastAsia="宋体" w:cs="Times New Roman"/>
                <w:color w:val="auto"/>
                <w:position w:val="15"/>
                <w:sz w:val="24"/>
                <w:highlight w:val="none"/>
                <w:u w:val="single" w:color="auto"/>
                <w:vertAlign w:val="superscript"/>
                <w:lang w:val="en-US" w:eastAsia="zh-CN"/>
              </w:rPr>
              <w:t>3</w:t>
            </w:r>
            <w:r>
              <w:rPr>
                <w:rFonts w:hint="default" w:ascii="Times New Roman" w:hAnsi="Times New Roman" w:eastAsia="宋体" w:cs="Times New Roman"/>
                <w:color w:val="auto"/>
                <w:position w:val="15"/>
                <w:sz w:val="24"/>
                <w:highlight w:val="none"/>
                <w:u w:val="single" w:color="auto"/>
                <w:lang w:val="en-US" w:eastAsia="zh-CN"/>
              </w:rPr>
              <w:t>/t灰渣，浇渣用水量按0.5m</w:t>
            </w:r>
            <w:r>
              <w:rPr>
                <w:rFonts w:hint="default" w:ascii="Times New Roman" w:hAnsi="Times New Roman" w:eastAsia="宋体" w:cs="Times New Roman"/>
                <w:color w:val="auto"/>
                <w:position w:val="15"/>
                <w:sz w:val="24"/>
                <w:highlight w:val="none"/>
                <w:u w:val="single" w:color="auto"/>
                <w:vertAlign w:val="superscript"/>
                <w:lang w:val="en-US" w:eastAsia="zh-CN"/>
              </w:rPr>
              <w:t>3</w:t>
            </w:r>
            <w:r>
              <w:rPr>
                <w:rFonts w:hint="default" w:ascii="Times New Roman" w:hAnsi="Times New Roman" w:eastAsia="宋体" w:cs="Times New Roman"/>
                <w:color w:val="auto"/>
                <w:position w:val="15"/>
                <w:sz w:val="24"/>
                <w:highlight w:val="none"/>
                <w:u w:val="single" w:color="auto"/>
                <w:lang w:val="en-US" w:eastAsia="zh-CN"/>
              </w:rPr>
              <w:t>/t灰渣计算</w:t>
            </w:r>
            <w:r>
              <w:rPr>
                <w:rFonts w:hint="eastAsia" w:ascii="Times New Roman" w:hAnsi="Times New Roman" w:cs="Times New Roman"/>
                <w:color w:val="auto"/>
                <w:position w:val="15"/>
                <w:sz w:val="24"/>
                <w:highlight w:val="none"/>
                <w:u w:val="single" w:color="auto"/>
                <w:lang w:val="en-US" w:eastAsia="zh-CN"/>
              </w:rPr>
              <w:t>（</w:t>
            </w:r>
            <w:r>
              <w:rPr>
                <w:rFonts w:hint="eastAsia" w:ascii="Times New Roman" w:hAnsi="Times New Roman" w:cs="Times New Roman"/>
                <w:color w:val="auto"/>
                <w:position w:val="15"/>
                <w:sz w:val="24"/>
                <w:highlight w:val="yellow"/>
                <w:u w:val="single" w:color="auto"/>
                <w:lang w:val="en-US" w:eastAsia="zh-CN"/>
              </w:rPr>
              <w:t>灰渣产生量</w:t>
            </w:r>
            <w:r>
              <w:rPr>
                <w:rFonts w:hint="eastAsia" w:cs="Times New Roman"/>
                <w:color w:val="auto"/>
                <w:position w:val="15"/>
                <w:sz w:val="24"/>
                <w:highlight w:val="yellow"/>
                <w:u w:val="single" w:color="auto"/>
                <w:lang w:val="en-US" w:eastAsia="zh-CN"/>
              </w:rPr>
              <w:t>209.36</w:t>
            </w:r>
            <w:r>
              <w:rPr>
                <w:rFonts w:hint="default" w:ascii="Times New Roman" w:hAnsi="Times New Roman" w:eastAsia="宋体" w:cs="Times New Roman"/>
                <w:color w:val="auto"/>
                <w:position w:val="15"/>
                <w:sz w:val="24"/>
                <w:highlight w:val="yellow"/>
                <w:u w:val="single" w:color="auto"/>
                <w:lang w:val="en-US" w:eastAsia="zh-CN"/>
              </w:rPr>
              <w:t>m</w:t>
            </w:r>
            <w:r>
              <w:rPr>
                <w:rFonts w:hint="default" w:ascii="Times New Roman" w:hAnsi="Times New Roman" w:eastAsia="宋体" w:cs="Times New Roman"/>
                <w:color w:val="auto"/>
                <w:position w:val="15"/>
                <w:sz w:val="24"/>
                <w:highlight w:val="yellow"/>
                <w:u w:val="single" w:color="auto"/>
                <w:vertAlign w:val="superscript"/>
                <w:lang w:val="en-US" w:eastAsia="zh-CN"/>
              </w:rPr>
              <w:t>3</w:t>
            </w:r>
            <w:r>
              <w:rPr>
                <w:rFonts w:hint="eastAsia" w:ascii="Times New Roman" w:hAnsi="Times New Roman" w:cs="Times New Roman"/>
                <w:color w:val="auto"/>
                <w:position w:val="15"/>
                <w:sz w:val="24"/>
                <w:highlight w:val="yellow"/>
                <w:u w:val="single" w:color="auto"/>
                <w:lang w:val="en-US" w:eastAsia="zh-CN"/>
              </w:rPr>
              <w:t>/a</w:t>
            </w:r>
            <w:r>
              <w:rPr>
                <w:rFonts w:hint="eastAsia" w:ascii="Times New Roman" w:hAnsi="Times New Roman" w:cs="Times New Roman"/>
                <w:color w:val="auto"/>
                <w:position w:val="15"/>
                <w:sz w:val="24"/>
                <w:highlight w:val="none"/>
                <w:u w:val="single" w:color="auto"/>
                <w:lang w:val="en-US" w:eastAsia="zh-CN"/>
              </w:rPr>
              <w:t>）</w:t>
            </w:r>
            <w:r>
              <w:rPr>
                <w:rFonts w:hint="default" w:ascii="Times New Roman" w:hAnsi="Times New Roman" w:eastAsia="宋体" w:cs="Times New Roman"/>
                <w:color w:val="auto"/>
                <w:position w:val="15"/>
                <w:sz w:val="24"/>
                <w:highlight w:val="none"/>
                <w:u w:val="single" w:color="auto"/>
                <w:lang w:val="en-US" w:eastAsia="zh-CN"/>
              </w:rPr>
              <w:t>，</w:t>
            </w:r>
            <w:r>
              <w:rPr>
                <w:rFonts w:hint="eastAsia" w:ascii="Times New Roman" w:hAnsi="Times New Roman" w:eastAsia="宋体" w:cs="Times New Roman"/>
                <w:color w:val="auto"/>
                <w:position w:val="15"/>
                <w:sz w:val="24"/>
                <w:highlight w:val="none"/>
                <w:u w:val="single" w:color="auto"/>
                <w:lang w:val="en-US" w:eastAsia="zh-CN"/>
              </w:rPr>
              <w:t>则年</w:t>
            </w:r>
            <w:r>
              <w:rPr>
                <w:rFonts w:hint="eastAsia" w:ascii="Times New Roman" w:hAnsi="Times New Roman" w:cs="Times New Roman"/>
                <w:color w:val="auto"/>
                <w:position w:val="15"/>
                <w:sz w:val="24"/>
                <w:highlight w:val="none"/>
                <w:u w:val="single" w:color="auto"/>
                <w:lang w:val="en-US" w:eastAsia="zh-CN"/>
              </w:rPr>
              <w:t>热风炉</w:t>
            </w:r>
            <w:r>
              <w:rPr>
                <w:rFonts w:hint="eastAsia" w:ascii="Times New Roman" w:hAnsi="Times New Roman" w:eastAsia="宋体" w:cs="Times New Roman"/>
                <w:color w:val="auto"/>
                <w:position w:val="15"/>
                <w:sz w:val="24"/>
                <w:highlight w:val="none"/>
                <w:u w:val="single" w:color="auto"/>
                <w:lang w:val="en-US" w:eastAsia="zh-CN"/>
              </w:rPr>
              <w:t>灰渣降尘用水</w:t>
            </w:r>
            <w:r>
              <w:rPr>
                <w:rFonts w:hint="eastAsia" w:ascii="Times New Roman" w:hAnsi="Times New Roman" w:cs="Times New Roman"/>
                <w:color w:val="auto"/>
                <w:position w:val="15"/>
                <w:sz w:val="24"/>
                <w:highlight w:val="yellow"/>
                <w:u w:val="single" w:color="auto"/>
                <w:lang w:val="en-US" w:eastAsia="zh-CN"/>
              </w:rPr>
              <w:t>108.97</w:t>
            </w:r>
            <w:r>
              <w:rPr>
                <w:rFonts w:hint="eastAsia" w:ascii="Times New Roman" w:hAnsi="Times New Roman" w:eastAsia="宋体" w:cs="Times New Roman"/>
                <w:color w:val="auto"/>
                <w:position w:val="15"/>
                <w:sz w:val="24"/>
                <w:highlight w:val="none"/>
                <w:u w:val="single" w:color="auto"/>
                <w:lang w:val="en-US" w:eastAsia="zh-CN"/>
              </w:rPr>
              <w:t>m</w:t>
            </w:r>
            <w:r>
              <w:rPr>
                <w:rFonts w:hint="eastAsia" w:ascii="Times New Roman" w:hAnsi="Times New Roman" w:eastAsia="宋体" w:cs="Times New Roman"/>
                <w:color w:val="auto"/>
                <w:position w:val="15"/>
                <w:sz w:val="24"/>
                <w:highlight w:val="none"/>
                <w:u w:val="single" w:color="auto"/>
                <w:vertAlign w:val="superscript"/>
                <w:lang w:val="en-US" w:eastAsia="zh-CN"/>
              </w:rPr>
              <w:t>3</w:t>
            </w:r>
            <w:r>
              <w:rPr>
                <w:rFonts w:hint="eastAsia" w:ascii="Times New Roman" w:hAnsi="Times New Roman" w:eastAsia="宋体" w:cs="Times New Roman"/>
                <w:color w:val="auto"/>
                <w:position w:val="15"/>
                <w:sz w:val="24"/>
                <w:highlight w:val="none"/>
                <w:u w:val="single" w:color="auto"/>
                <w:vertAlign w:val="baseline"/>
                <w:lang w:val="en-US" w:eastAsia="zh-CN"/>
              </w:rPr>
              <w:t>/a。全部损耗不外排。</w:t>
            </w:r>
          </w:p>
          <w:p w14:paraId="2953B92F">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lang w:val="en-US" w:eastAsia="zh-CN"/>
              </w:rPr>
            </w:pPr>
            <w:r>
              <w:rPr>
                <w:rFonts w:hint="eastAsia" w:cs="Times New Roman"/>
                <w:color w:val="auto"/>
                <w:position w:val="15"/>
                <w:sz w:val="24"/>
                <w:highlight w:val="none"/>
                <w:u w:val="none" w:color="auto"/>
                <w:lang w:val="en-US" w:eastAsia="zh-CN"/>
              </w:rPr>
              <w:t>4.7</w:t>
            </w:r>
            <w:r>
              <w:rPr>
                <w:rFonts w:hint="eastAsia" w:ascii="Times New Roman" w:hAnsi="Times New Roman" w:eastAsia="宋体" w:cs="Times New Roman"/>
                <w:color w:val="auto"/>
                <w:position w:val="15"/>
                <w:sz w:val="24"/>
                <w:highlight w:val="none"/>
                <w:u w:val="none" w:color="auto"/>
                <w:lang w:val="en-US" w:eastAsia="zh-CN"/>
              </w:rPr>
              <w:t>.3废水源强分析</w:t>
            </w:r>
          </w:p>
          <w:p w14:paraId="71480B1F">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lang w:val="en-US" w:eastAsia="zh-CN"/>
              </w:rPr>
            </w:pPr>
            <w:r>
              <w:rPr>
                <w:rFonts w:hint="default" w:ascii="Times New Roman" w:hAnsi="Times New Roman" w:eastAsia="宋体" w:cs="Times New Roman"/>
                <w:color w:val="auto"/>
                <w:position w:val="15"/>
                <w:sz w:val="24"/>
                <w:highlight w:val="none"/>
                <w:u w:val="none" w:color="auto"/>
              </w:rPr>
              <w:t>生活污水中污染物及其产生浓度参照《给水排水设计手册》中生活污水主要污染物浓度：COD：300mg/L、BOD</w:t>
            </w:r>
            <w:r>
              <w:rPr>
                <w:rFonts w:hint="default" w:ascii="Times New Roman" w:hAnsi="Times New Roman" w:eastAsia="宋体" w:cs="Times New Roman"/>
                <w:color w:val="auto"/>
                <w:position w:val="15"/>
                <w:sz w:val="24"/>
                <w:highlight w:val="none"/>
                <w:u w:val="none" w:color="auto"/>
                <w:vertAlign w:val="subscript"/>
              </w:rPr>
              <w:t>5</w:t>
            </w:r>
            <w:r>
              <w:rPr>
                <w:rFonts w:hint="default" w:ascii="Times New Roman" w:hAnsi="Times New Roman" w:eastAsia="宋体" w:cs="Times New Roman"/>
                <w:color w:val="auto"/>
                <w:position w:val="15"/>
                <w:sz w:val="24"/>
                <w:highlight w:val="none"/>
                <w:u w:val="none" w:color="auto"/>
              </w:rPr>
              <w:t>：150mg/L、SS：200mg/L、氨氮：30mg/L。</w:t>
            </w:r>
          </w:p>
          <w:p w14:paraId="142E06A6">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none" w:color="auto"/>
                <w:lang w:eastAsia="zh-CN"/>
              </w:rPr>
            </w:pPr>
            <w:r>
              <w:rPr>
                <w:rFonts w:hint="eastAsia" w:ascii="Times New Roman" w:hAnsi="Times New Roman" w:eastAsia="宋体" w:cs="Times New Roman"/>
                <w:color w:val="auto"/>
                <w:position w:val="15"/>
                <w:sz w:val="24"/>
                <w:highlight w:val="none"/>
                <w:u w:val="none" w:color="auto"/>
                <w:lang w:eastAsia="zh-CN"/>
              </w:rPr>
              <w:t>本项目废水及主要污染物产生、排放情况见下表。</w:t>
            </w:r>
          </w:p>
          <w:p w14:paraId="6E60C5C8">
            <w:pPr>
              <w:adjustRightInd w:val="0"/>
              <w:snapToGrid w:val="0"/>
              <w:jc w:val="center"/>
              <w:rPr>
                <w:rFonts w:hint="eastAsia" w:ascii="Times New Roman" w:hAnsi="Times New Roman" w:cs="Times New Roman"/>
                <w:b/>
                <w:bCs/>
                <w:color w:val="auto"/>
                <w:spacing w:val="-2"/>
                <w:sz w:val="24"/>
                <w:highlight w:val="none"/>
                <w:u w:val="none" w:color="auto"/>
                <w:lang w:eastAsia="zh-CN"/>
              </w:rPr>
            </w:pPr>
            <w:r>
              <w:rPr>
                <w:rFonts w:hint="default" w:ascii="Times New Roman" w:hAnsi="Times New Roman" w:cs="Times New Roman"/>
                <w:b/>
                <w:bCs/>
                <w:color w:val="auto"/>
                <w:spacing w:val="-2"/>
                <w:sz w:val="24"/>
                <w:highlight w:val="none"/>
                <w:u w:val="none" w:color="auto"/>
              </w:rPr>
              <w:t>表</w:t>
            </w:r>
            <w:r>
              <w:rPr>
                <w:rFonts w:hint="eastAsia" w:cs="Times New Roman"/>
                <w:b/>
                <w:bCs/>
                <w:color w:val="auto"/>
                <w:spacing w:val="-2"/>
                <w:sz w:val="24"/>
                <w:highlight w:val="none"/>
                <w:u w:val="none" w:color="auto"/>
                <w:lang w:val="en-US" w:eastAsia="zh-CN"/>
              </w:rPr>
              <w:t xml:space="preserve">4-9  </w:t>
            </w:r>
            <w:r>
              <w:rPr>
                <w:rFonts w:hint="eastAsia" w:ascii="Times New Roman" w:hAnsi="Times New Roman" w:cs="Times New Roman"/>
                <w:b/>
                <w:bCs/>
                <w:color w:val="auto"/>
                <w:spacing w:val="-2"/>
                <w:sz w:val="24"/>
                <w:highlight w:val="none"/>
                <w:u w:val="none" w:color="auto"/>
                <w:lang w:eastAsia="zh-CN"/>
              </w:rPr>
              <w:t>项目废水情况一览表</w:t>
            </w:r>
          </w:p>
          <w:tbl>
            <w:tblPr>
              <w:tblStyle w:val="29"/>
              <w:tblW w:w="777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6"/>
              <w:gridCol w:w="966"/>
              <w:gridCol w:w="966"/>
              <w:gridCol w:w="1345"/>
              <w:gridCol w:w="1120"/>
              <w:gridCol w:w="2413"/>
            </w:tblGrid>
            <w:tr w14:paraId="16ADC8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966" w:type="dxa"/>
                  <w:vMerge w:val="restart"/>
                  <w:tcBorders>
                    <w:tl2br w:val="nil"/>
                    <w:tr2bl w:val="nil"/>
                  </w:tcBorders>
                  <w:vAlign w:val="center"/>
                </w:tcPr>
                <w:p w14:paraId="2CCDB9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r>
                    <w:rPr>
                      <w:rFonts w:hint="eastAsia" w:ascii="Times New Roman" w:hAnsi="Times New Roman" w:eastAsia="宋体" w:cs="Times New Roman"/>
                      <w:snapToGrid w:val="0"/>
                      <w:color w:val="auto"/>
                      <w:sz w:val="21"/>
                      <w:szCs w:val="21"/>
                      <w:highlight w:val="none"/>
                      <w:u w:val="single" w:color="auto"/>
                      <w:lang w:val="en-US" w:eastAsia="zh-CN"/>
                    </w:rPr>
                    <w:t>废水种类</w:t>
                  </w:r>
                </w:p>
              </w:tc>
              <w:tc>
                <w:tcPr>
                  <w:tcW w:w="966" w:type="dxa"/>
                  <w:vMerge w:val="restart"/>
                  <w:tcBorders>
                    <w:tl2br w:val="nil"/>
                    <w:tr2bl w:val="nil"/>
                  </w:tcBorders>
                  <w:vAlign w:val="center"/>
                </w:tcPr>
                <w:p w14:paraId="6A753B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r>
                    <w:rPr>
                      <w:rFonts w:hint="eastAsia" w:ascii="Times New Roman" w:hAnsi="Times New Roman" w:eastAsia="宋体" w:cs="Times New Roman"/>
                      <w:snapToGrid w:val="0"/>
                      <w:color w:val="auto"/>
                      <w:sz w:val="21"/>
                      <w:szCs w:val="21"/>
                      <w:highlight w:val="none"/>
                      <w:u w:val="single" w:color="auto"/>
                      <w:lang w:val="en-US" w:eastAsia="zh-CN"/>
                    </w:rPr>
                    <w:t>排放量（m</w:t>
                  </w:r>
                  <w:r>
                    <w:rPr>
                      <w:rFonts w:hint="eastAsia" w:ascii="Times New Roman" w:hAnsi="Times New Roman" w:eastAsia="宋体" w:cs="Times New Roman"/>
                      <w:snapToGrid w:val="0"/>
                      <w:color w:val="auto"/>
                      <w:sz w:val="21"/>
                      <w:szCs w:val="21"/>
                      <w:highlight w:val="none"/>
                      <w:u w:val="single" w:color="auto"/>
                      <w:vertAlign w:val="superscript"/>
                      <w:lang w:val="en-US" w:eastAsia="zh-CN"/>
                    </w:rPr>
                    <w:t>3</w:t>
                  </w:r>
                  <w:r>
                    <w:rPr>
                      <w:rFonts w:hint="eastAsia" w:ascii="Times New Roman" w:hAnsi="Times New Roman" w:eastAsia="宋体" w:cs="Times New Roman"/>
                      <w:snapToGrid w:val="0"/>
                      <w:color w:val="auto"/>
                      <w:sz w:val="21"/>
                      <w:szCs w:val="21"/>
                      <w:highlight w:val="none"/>
                      <w:u w:val="single" w:color="auto"/>
                      <w:lang w:val="en-US" w:eastAsia="zh-CN"/>
                    </w:rPr>
                    <w:t>/a）</w:t>
                  </w:r>
                </w:p>
              </w:tc>
              <w:tc>
                <w:tcPr>
                  <w:tcW w:w="966" w:type="dxa"/>
                  <w:vMerge w:val="restart"/>
                  <w:tcBorders>
                    <w:tl2br w:val="nil"/>
                    <w:tr2bl w:val="nil"/>
                  </w:tcBorders>
                  <w:vAlign w:val="center"/>
                </w:tcPr>
                <w:p w14:paraId="700668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r>
                    <w:rPr>
                      <w:rFonts w:hint="eastAsia" w:ascii="Times New Roman" w:hAnsi="Times New Roman" w:eastAsia="宋体" w:cs="Times New Roman"/>
                      <w:snapToGrid w:val="0"/>
                      <w:color w:val="auto"/>
                      <w:sz w:val="21"/>
                      <w:szCs w:val="21"/>
                      <w:highlight w:val="none"/>
                      <w:u w:val="single" w:color="auto"/>
                      <w:lang w:val="en-US" w:eastAsia="zh-CN"/>
                    </w:rPr>
                    <w:t>污染物</w:t>
                  </w:r>
                </w:p>
              </w:tc>
              <w:tc>
                <w:tcPr>
                  <w:tcW w:w="2465" w:type="dxa"/>
                  <w:gridSpan w:val="2"/>
                  <w:tcBorders>
                    <w:tl2br w:val="nil"/>
                    <w:tr2bl w:val="nil"/>
                  </w:tcBorders>
                  <w:vAlign w:val="center"/>
                </w:tcPr>
                <w:p w14:paraId="102C15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r>
                    <w:rPr>
                      <w:rFonts w:hint="eastAsia" w:ascii="Times New Roman" w:hAnsi="Times New Roman" w:eastAsia="宋体" w:cs="Times New Roman"/>
                      <w:snapToGrid w:val="0"/>
                      <w:color w:val="auto"/>
                      <w:sz w:val="21"/>
                      <w:szCs w:val="21"/>
                      <w:highlight w:val="none"/>
                      <w:u w:val="single" w:color="auto"/>
                      <w:lang w:val="en-US" w:eastAsia="zh-CN"/>
                    </w:rPr>
                    <w:t>产生情况</w:t>
                  </w:r>
                </w:p>
              </w:tc>
              <w:tc>
                <w:tcPr>
                  <w:tcW w:w="2413" w:type="dxa"/>
                  <w:tcBorders>
                    <w:tl2br w:val="nil"/>
                    <w:tr2bl w:val="nil"/>
                  </w:tcBorders>
                  <w:vAlign w:val="center"/>
                </w:tcPr>
                <w:p w14:paraId="072B24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r>
                    <w:rPr>
                      <w:rFonts w:hint="eastAsia" w:ascii="Times New Roman" w:hAnsi="Times New Roman" w:eastAsia="宋体" w:cs="Times New Roman"/>
                      <w:snapToGrid w:val="0"/>
                      <w:color w:val="auto"/>
                      <w:sz w:val="21"/>
                      <w:szCs w:val="21"/>
                      <w:highlight w:val="none"/>
                      <w:u w:val="single" w:color="auto"/>
                      <w:lang w:val="en-US" w:eastAsia="zh-CN"/>
                    </w:rPr>
                    <w:t>排放情况</w:t>
                  </w:r>
                </w:p>
              </w:tc>
            </w:tr>
            <w:tr w14:paraId="075186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966" w:type="dxa"/>
                  <w:vMerge w:val="continue"/>
                  <w:tcBorders>
                    <w:tl2br w:val="nil"/>
                    <w:tr2bl w:val="nil"/>
                  </w:tcBorders>
                  <w:vAlign w:val="center"/>
                </w:tcPr>
                <w:p w14:paraId="428405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p>
              </w:tc>
              <w:tc>
                <w:tcPr>
                  <w:tcW w:w="966" w:type="dxa"/>
                  <w:vMerge w:val="continue"/>
                  <w:tcBorders>
                    <w:tl2br w:val="nil"/>
                    <w:tr2bl w:val="nil"/>
                  </w:tcBorders>
                  <w:vAlign w:val="center"/>
                </w:tcPr>
                <w:p w14:paraId="6549BD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p>
              </w:tc>
              <w:tc>
                <w:tcPr>
                  <w:tcW w:w="966" w:type="dxa"/>
                  <w:vMerge w:val="continue"/>
                  <w:tcBorders>
                    <w:tl2br w:val="nil"/>
                    <w:tr2bl w:val="nil"/>
                  </w:tcBorders>
                  <w:vAlign w:val="center"/>
                </w:tcPr>
                <w:p w14:paraId="4DE5A1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p>
              </w:tc>
              <w:tc>
                <w:tcPr>
                  <w:tcW w:w="1345" w:type="dxa"/>
                  <w:tcBorders>
                    <w:tl2br w:val="nil"/>
                    <w:tr2bl w:val="nil"/>
                  </w:tcBorders>
                  <w:vAlign w:val="center"/>
                </w:tcPr>
                <w:p w14:paraId="566956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sz w:val="21"/>
                      <w:szCs w:val="21"/>
                      <w:highlight w:val="none"/>
                      <w:u w:val="single" w:color="auto"/>
                      <w:lang w:val="en-US" w:eastAsia="zh-CN"/>
                    </w:rPr>
                  </w:pPr>
                  <w:r>
                    <w:rPr>
                      <w:rFonts w:hint="eastAsia" w:ascii="Times New Roman" w:hAnsi="Times New Roman" w:eastAsia="宋体" w:cs="Times New Roman"/>
                      <w:snapToGrid w:val="0"/>
                      <w:color w:val="auto"/>
                      <w:sz w:val="21"/>
                      <w:szCs w:val="21"/>
                      <w:highlight w:val="none"/>
                      <w:u w:val="single" w:color="auto"/>
                      <w:lang w:val="en-US" w:eastAsia="zh-CN"/>
                    </w:rPr>
                    <w:t>排放浓度（mg/L）</w:t>
                  </w:r>
                </w:p>
              </w:tc>
              <w:tc>
                <w:tcPr>
                  <w:tcW w:w="1120" w:type="dxa"/>
                  <w:tcBorders>
                    <w:tl2br w:val="nil"/>
                    <w:tr2bl w:val="nil"/>
                  </w:tcBorders>
                  <w:vAlign w:val="center"/>
                </w:tcPr>
                <w:p w14:paraId="2295FB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r>
                    <w:rPr>
                      <w:rFonts w:hint="eastAsia" w:ascii="Times New Roman" w:hAnsi="Times New Roman" w:eastAsia="宋体" w:cs="Times New Roman"/>
                      <w:snapToGrid w:val="0"/>
                      <w:color w:val="auto"/>
                      <w:sz w:val="21"/>
                      <w:szCs w:val="21"/>
                      <w:highlight w:val="none"/>
                      <w:u w:val="single" w:color="auto"/>
                      <w:lang w:val="en-US" w:eastAsia="zh-CN"/>
                    </w:rPr>
                    <w:t>排放量（t/a）</w:t>
                  </w:r>
                </w:p>
              </w:tc>
              <w:tc>
                <w:tcPr>
                  <w:tcW w:w="2413" w:type="dxa"/>
                  <w:vMerge w:val="restart"/>
                  <w:tcBorders>
                    <w:tl2br w:val="nil"/>
                    <w:tr2bl w:val="nil"/>
                  </w:tcBorders>
                  <w:shd w:val="clear" w:color="auto" w:fill="auto"/>
                  <w:vAlign w:val="center"/>
                </w:tcPr>
                <w:p w14:paraId="3B0FA853">
                  <w:pPr>
                    <w:keepNext w:val="0"/>
                    <w:keepLines w:val="0"/>
                    <w:widowControl/>
                    <w:suppressLineNumbers w:val="0"/>
                    <w:jc w:val="center"/>
                    <w:textAlignment w:val="center"/>
                    <w:rPr>
                      <w:rFonts w:hint="eastAsia" w:ascii="Times New Roman" w:hAnsi="Times New Roman" w:eastAsia="宋体" w:cs="Times New Roman"/>
                      <w:snapToGrid w:val="0"/>
                      <w:color w:val="auto"/>
                      <w:sz w:val="21"/>
                      <w:szCs w:val="21"/>
                      <w:highlight w:val="none"/>
                      <w:u w:val="single" w:color="auto"/>
                      <w:lang w:val="en-US" w:eastAsia="zh-CN"/>
                    </w:rPr>
                  </w:pPr>
                  <w:r>
                    <w:rPr>
                      <w:rFonts w:hint="eastAsia" w:cs="Times New Roman"/>
                      <w:snapToGrid w:val="0"/>
                      <w:color w:val="auto"/>
                      <w:sz w:val="21"/>
                      <w:szCs w:val="21"/>
                      <w:highlight w:val="none"/>
                      <w:u w:val="single" w:color="auto"/>
                      <w:lang w:val="en-US" w:eastAsia="zh-CN"/>
                    </w:rPr>
                    <w:t>排入防渗旱厕，定期清掏还田，不外排</w:t>
                  </w:r>
                </w:p>
              </w:tc>
            </w:tr>
            <w:tr w14:paraId="12F920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966" w:type="dxa"/>
                  <w:vMerge w:val="restart"/>
                  <w:tcBorders>
                    <w:tl2br w:val="nil"/>
                    <w:tr2bl w:val="nil"/>
                  </w:tcBorders>
                  <w:vAlign w:val="center"/>
                </w:tcPr>
                <w:p w14:paraId="10B7F5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r>
                    <w:rPr>
                      <w:rFonts w:hint="eastAsia" w:ascii="Times New Roman" w:hAnsi="Times New Roman" w:eastAsia="宋体" w:cs="Times New Roman"/>
                      <w:snapToGrid w:val="0"/>
                      <w:color w:val="auto"/>
                      <w:sz w:val="21"/>
                      <w:szCs w:val="21"/>
                      <w:highlight w:val="none"/>
                      <w:u w:val="single" w:color="auto"/>
                      <w:lang w:val="en-US" w:eastAsia="zh-CN"/>
                    </w:rPr>
                    <w:t>生活污水</w:t>
                  </w:r>
                </w:p>
              </w:tc>
              <w:tc>
                <w:tcPr>
                  <w:tcW w:w="966" w:type="dxa"/>
                  <w:vMerge w:val="restart"/>
                  <w:tcBorders>
                    <w:tl2br w:val="nil"/>
                    <w:tr2bl w:val="nil"/>
                  </w:tcBorders>
                  <w:vAlign w:val="center"/>
                </w:tcPr>
                <w:p w14:paraId="6834DD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sz w:val="21"/>
                      <w:szCs w:val="21"/>
                      <w:highlight w:val="none"/>
                      <w:u w:val="single" w:color="auto"/>
                      <w:lang w:val="en-US" w:eastAsia="zh-CN"/>
                    </w:rPr>
                  </w:pPr>
                  <w:r>
                    <w:rPr>
                      <w:rFonts w:hint="eastAsia" w:cs="Times New Roman"/>
                      <w:snapToGrid w:val="0"/>
                      <w:color w:val="auto"/>
                      <w:sz w:val="21"/>
                      <w:szCs w:val="21"/>
                      <w:highlight w:val="none"/>
                      <w:u w:val="single" w:color="auto"/>
                      <w:lang w:val="en-US" w:eastAsia="zh-CN"/>
                    </w:rPr>
                    <w:t>24</w:t>
                  </w:r>
                </w:p>
              </w:tc>
              <w:tc>
                <w:tcPr>
                  <w:tcW w:w="966" w:type="dxa"/>
                  <w:tcBorders>
                    <w:tl2br w:val="nil"/>
                    <w:tr2bl w:val="nil"/>
                  </w:tcBorders>
                  <w:vAlign w:val="center"/>
                </w:tcPr>
                <w:p w14:paraId="5DE6D8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sz w:val="21"/>
                      <w:szCs w:val="21"/>
                      <w:highlight w:val="none"/>
                      <w:u w:val="single" w:color="auto"/>
                      <w:lang w:val="en-US" w:eastAsia="zh-CN"/>
                    </w:rPr>
                  </w:pPr>
                  <w:r>
                    <w:rPr>
                      <w:rFonts w:hint="default" w:ascii="Times New Roman" w:hAnsi="Times New Roman" w:eastAsia="宋体" w:cs="Times New Roman"/>
                      <w:snapToGrid w:val="0"/>
                      <w:color w:val="auto"/>
                      <w:sz w:val="21"/>
                      <w:szCs w:val="21"/>
                      <w:highlight w:val="none"/>
                      <w:u w:val="single" w:color="auto"/>
                      <w:lang w:val="en-US" w:eastAsia="zh-CN"/>
                    </w:rPr>
                    <w:t>SS</w:t>
                  </w:r>
                </w:p>
              </w:tc>
              <w:tc>
                <w:tcPr>
                  <w:tcW w:w="1345" w:type="dxa"/>
                  <w:tcBorders>
                    <w:tl2br w:val="nil"/>
                    <w:tr2bl w:val="nil"/>
                  </w:tcBorders>
                  <w:vAlign w:val="center"/>
                </w:tcPr>
                <w:p w14:paraId="6CC1401C">
                  <w:pPr>
                    <w:keepNext w:val="0"/>
                    <w:keepLines w:val="0"/>
                    <w:widowControl/>
                    <w:suppressLineNumbers w:val="0"/>
                    <w:jc w:val="center"/>
                    <w:textAlignment w:val="center"/>
                    <w:rPr>
                      <w:rFonts w:hint="default" w:ascii="Times New Roman" w:hAnsi="Times New Roman" w:eastAsia="宋体" w:cs="Times New Roman"/>
                      <w:snapToGrid w:val="0"/>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200</w:t>
                  </w:r>
                </w:p>
              </w:tc>
              <w:tc>
                <w:tcPr>
                  <w:tcW w:w="1120" w:type="dxa"/>
                  <w:tcBorders>
                    <w:tl2br w:val="nil"/>
                    <w:tr2bl w:val="nil"/>
                  </w:tcBorders>
                  <w:vAlign w:val="center"/>
                </w:tcPr>
                <w:p w14:paraId="1C731B8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single" w:color="auto"/>
                      <w:lang w:val="en-US" w:eastAsia="zh-CN" w:bidi="ar"/>
                    </w:rPr>
                  </w:pPr>
                  <w:r>
                    <w:rPr>
                      <w:rFonts w:hint="eastAsia" w:ascii="Times New Roman" w:hAnsi="Times New Roman" w:eastAsia="宋体" w:cs="Times New Roman"/>
                      <w:i w:val="0"/>
                      <w:iCs w:val="0"/>
                      <w:color w:val="auto"/>
                      <w:kern w:val="0"/>
                      <w:sz w:val="21"/>
                      <w:szCs w:val="21"/>
                      <w:highlight w:val="none"/>
                      <w:u w:val="single" w:color="auto"/>
                      <w:lang w:val="en-US" w:eastAsia="zh-CN" w:bidi="ar"/>
                    </w:rPr>
                    <w:t xml:space="preserve">0.00480 </w:t>
                  </w:r>
                </w:p>
              </w:tc>
              <w:tc>
                <w:tcPr>
                  <w:tcW w:w="2413" w:type="dxa"/>
                  <w:vMerge w:val="continue"/>
                  <w:tcBorders>
                    <w:tl2br w:val="nil"/>
                    <w:tr2bl w:val="nil"/>
                  </w:tcBorders>
                  <w:vAlign w:val="center"/>
                </w:tcPr>
                <w:p w14:paraId="1454A2BE">
                  <w:pPr>
                    <w:keepNext w:val="0"/>
                    <w:keepLines w:val="0"/>
                    <w:widowControl/>
                    <w:suppressLineNumbers w:val="0"/>
                    <w:jc w:val="center"/>
                    <w:textAlignment w:val="center"/>
                    <w:rPr>
                      <w:rFonts w:hint="eastAsia" w:ascii="Times New Roman" w:hAnsi="Times New Roman" w:eastAsia="宋体" w:cs="Times New Roman"/>
                      <w:snapToGrid w:val="0"/>
                      <w:color w:val="auto"/>
                      <w:sz w:val="21"/>
                      <w:szCs w:val="21"/>
                      <w:highlight w:val="none"/>
                      <w:u w:val="single" w:color="auto"/>
                      <w:lang w:val="en-US" w:eastAsia="zh-CN"/>
                    </w:rPr>
                  </w:pPr>
                </w:p>
              </w:tc>
            </w:tr>
            <w:tr w14:paraId="258AA2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966" w:type="dxa"/>
                  <w:vMerge w:val="continue"/>
                  <w:tcBorders>
                    <w:tl2br w:val="nil"/>
                    <w:tr2bl w:val="nil"/>
                  </w:tcBorders>
                  <w:vAlign w:val="center"/>
                </w:tcPr>
                <w:p w14:paraId="735BBA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p>
              </w:tc>
              <w:tc>
                <w:tcPr>
                  <w:tcW w:w="966" w:type="dxa"/>
                  <w:vMerge w:val="continue"/>
                  <w:tcBorders>
                    <w:tl2br w:val="nil"/>
                    <w:tr2bl w:val="nil"/>
                  </w:tcBorders>
                  <w:vAlign w:val="center"/>
                </w:tcPr>
                <w:p w14:paraId="735697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sz w:val="21"/>
                      <w:szCs w:val="21"/>
                      <w:highlight w:val="none"/>
                      <w:u w:val="single" w:color="auto"/>
                      <w:lang w:val="en-US" w:eastAsia="zh-CN"/>
                    </w:rPr>
                  </w:pPr>
                </w:p>
              </w:tc>
              <w:tc>
                <w:tcPr>
                  <w:tcW w:w="966" w:type="dxa"/>
                  <w:tcBorders>
                    <w:tl2br w:val="nil"/>
                    <w:tr2bl w:val="nil"/>
                  </w:tcBorders>
                  <w:shd w:val="clear" w:color="auto" w:fill="auto"/>
                  <w:vAlign w:val="center"/>
                </w:tcPr>
                <w:p w14:paraId="014FBE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
                      <w:sz w:val="21"/>
                      <w:szCs w:val="21"/>
                      <w:highlight w:val="none"/>
                      <w:u w:val="single" w:color="auto"/>
                      <w:lang w:val="en-US" w:eastAsia="zh-CN" w:bidi="ar-SA"/>
                    </w:rPr>
                  </w:pPr>
                  <w:r>
                    <w:rPr>
                      <w:rFonts w:hint="default" w:ascii="Times New Roman" w:hAnsi="Times New Roman" w:eastAsia="宋体" w:cs="Times New Roman"/>
                      <w:snapToGrid w:val="0"/>
                      <w:color w:val="auto"/>
                      <w:sz w:val="21"/>
                      <w:szCs w:val="21"/>
                      <w:highlight w:val="none"/>
                      <w:u w:val="single" w:color="auto"/>
                      <w:lang w:val="en-US" w:eastAsia="zh-CN"/>
                    </w:rPr>
                    <w:t>COD</w:t>
                  </w:r>
                </w:p>
              </w:tc>
              <w:tc>
                <w:tcPr>
                  <w:tcW w:w="1345" w:type="dxa"/>
                  <w:tcBorders>
                    <w:tl2br w:val="nil"/>
                    <w:tr2bl w:val="nil"/>
                  </w:tcBorders>
                  <w:vAlign w:val="center"/>
                </w:tcPr>
                <w:p w14:paraId="7C103449">
                  <w:pPr>
                    <w:keepNext w:val="0"/>
                    <w:keepLines w:val="0"/>
                    <w:widowControl/>
                    <w:suppressLineNumbers w:val="0"/>
                    <w:jc w:val="center"/>
                    <w:textAlignment w:val="center"/>
                    <w:rPr>
                      <w:rFonts w:hint="default" w:ascii="Times New Roman" w:hAnsi="Times New Roman" w:eastAsia="宋体" w:cs="Times New Roman"/>
                      <w:snapToGrid w:val="0"/>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300</w:t>
                  </w:r>
                </w:p>
              </w:tc>
              <w:tc>
                <w:tcPr>
                  <w:tcW w:w="1120" w:type="dxa"/>
                  <w:tcBorders>
                    <w:tl2br w:val="nil"/>
                    <w:tr2bl w:val="nil"/>
                  </w:tcBorders>
                  <w:vAlign w:val="center"/>
                </w:tcPr>
                <w:p w14:paraId="2E7025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single" w:color="auto"/>
                      <w:lang w:val="en-US" w:eastAsia="zh-CN" w:bidi="ar"/>
                    </w:rPr>
                  </w:pPr>
                  <w:r>
                    <w:rPr>
                      <w:rFonts w:hint="eastAsia" w:ascii="Times New Roman" w:hAnsi="Times New Roman" w:eastAsia="宋体" w:cs="Times New Roman"/>
                      <w:i w:val="0"/>
                      <w:iCs w:val="0"/>
                      <w:color w:val="auto"/>
                      <w:kern w:val="0"/>
                      <w:sz w:val="21"/>
                      <w:szCs w:val="21"/>
                      <w:highlight w:val="none"/>
                      <w:u w:val="single" w:color="auto"/>
                      <w:lang w:val="en-US" w:eastAsia="zh-CN" w:bidi="ar"/>
                    </w:rPr>
                    <w:t xml:space="preserve">0.00720 </w:t>
                  </w:r>
                </w:p>
              </w:tc>
              <w:tc>
                <w:tcPr>
                  <w:tcW w:w="2413" w:type="dxa"/>
                  <w:vMerge w:val="continue"/>
                  <w:tcBorders>
                    <w:tl2br w:val="nil"/>
                    <w:tr2bl w:val="nil"/>
                  </w:tcBorders>
                  <w:vAlign w:val="center"/>
                </w:tcPr>
                <w:p w14:paraId="7EF9FCE9">
                  <w:pPr>
                    <w:keepNext w:val="0"/>
                    <w:keepLines w:val="0"/>
                    <w:widowControl/>
                    <w:suppressLineNumbers w:val="0"/>
                    <w:jc w:val="center"/>
                    <w:textAlignment w:val="center"/>
                    <w:rPr>
                      <w:rFonts w:hint="default" w:ascii="Times New Roman" w:hAnsi="Times New Roman" w:eastAsia="宋体" w:cs="Times New Roman"/>
                      <w:snapToGrid w:val="0"/>
                      <w:color w:val="auto"/>
                      <w:sz w:val="21"/>
                      <w:szCs w:val="21"/>
                      <w:highlight w:val="none"/>
                      <w:u w:val="single" w:color="auto"/>
                      <w:lang w:val="en-US" w:eastAsia="zh-CN"/>
                    </w:rPr>
                  </w:pPr>
                </w:p>
              </w:tc>
            </w:tr>
            <w:tr w14:paraId="0D6B7E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966" w:type="dxa"/>
                  <w:vMerge w:val="continue"/>
                  <w:tcBorders>
                    <w:tl2br w:val="nil"/>
                    <w:tr2bl w:val="nil"/>
                  </w:tcBorders>
                  <w:vAlign w:val="center"/>
                </w:tcPr>
                <w:p w14:paraId="75134C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p>
              </w:tc>
              <w:tc>
                <w:tcPr>
                  <w:tcW w:w="966" w:type="dxa"/>
                  <w:vMerge w:val="continue"/>
                  <w:tcBorders>
                    <w:tl2br w:val="nil"/>
                    <w:tr2bl w:val="nil"/>
                  </w:tcBorders>
                  <w:vAlign w:val="center"/>
                </w:tcPr>
                <w:p w14:paraId="6280D7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sz w:val="21"/>
                      <w:szCs w:val="21"/>
                      <w:highlight w:val="none"/>
                      <w:u w:val="single" w:color="auto"/>
                      <w:lang w:val="en-US" w:eastAsia="zh-CN"/>
                    </w:rPr>
                  </w:pPr>
                </w:p>
              </w:tc>
              <w:tc>
                <w:tcPr>
                  <w:tcW w:w="966" w:type="dxa"/>
                  <w:tcBorders>
                    <w:tl2br w:val="nil"/>
                    <w:tr2bl w:val="nil"/>
                  </w:tcBorders>
                  <w:shd w:val="clear" w:color="auto" w:fill="auto"/>
                  <w:vAlign w:val="center"/>
                </w:tcPr>
                <w:p w14:paraId="67C122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napToGrid w:val="0"/>
                      <w:color w:val="auto"/>
                      <w:kern w:val="2"/>
                      <w:sz w:val="21"/>
                      <w:szCs w:val="21"/>
                      <w:highlight w:val="none"/>
                      <w:u w:val="single" w:color="auto"/>
                      <w:vertAlign w:val="baseline"/>
                      <w:lang w:val="en-US" w:eastAsia="zh-CN" w:bidi="ar-SA"/>
                    </w:rPr>
                  </w:pPr>
                  <w:r>
                    <w:rPr>
                      <w:rFonts w:hint="default" w:ascii="Times New Roman" w:hAnsi="Times New Roman" w:eastAsia="宋体" w:cs="Times New Roman"/>
                      <w:snapToGrid w:val="0"/>
                      <w:color w:val="auto"/>
                      <w:sz w:val="21"/>
                      <w:szCs w:val="21"/>
                      <w:highlight w:val="none"/>
                      <w:u w:val="single" w:color="auto"/>
                      <w:lang w:val="en-US" w:eastAsia="zh-CN"/>
                    </w:rPr>
                    <w:t>BOD</w:t>
                  </w:r>
                  <w:r>
                    <w:rPr>
                      <w:rFonts w:hint="default" w:ascii="Times New Roman" w:hAnsi="Times New Roman" w:eastAsia="宋体" w:cs="Times New Roman"/>
                      <w:snapToGrid w:val="0"/>
                      <w:color w:val="auto"/>
                      <w:sz w:val="21"/>
                      <w:szCs w:val="21"/>
                      <w:highlight w:val="none"/>
                      <w:u w:val="single" w:color="auto"/>
                      <w:vertAlign w:val="subscript"/>
                      <w:lang w:val="en-US" w:eastAsia="zh-CN"/>
                    </w:rPr>
                    <w:t>5</w:t>
                  </w:r>
                </w:p>
              </w:tc>
              <w:tc>
                <w:tcPr>
                  <w:tcW w:w="1345" w:type="dxa"/>
                  <w:tcBorders>
                    <w:tl2br w:val="nil"/>
                    <w:tr2bl w:val="nil"/>
                  </w:tcBorders>
                  <w:vAlign w:val="center"/>
                </w:tcPr>
                <w:p w14:paraId="516C8C9C">
                  <w:pPr>
                    <w:keepNext w:val="0"/>
                    <w:keepLines w:val="0"/>
                    <w:widowControl/>
                    <w:suppressLineNumbers w:val="0"/>
                    <w:jc w:val="center"/>
                    <w:textAlignment w:val="center"/>
                    <w:rPr>
                      <w:rFonts w:hint="default" w:ascii="Times New Roman" w:hAnsi="Times New Roman" w:eastAsia="宋体" w:cs="Times New Roman"/>
                      <w:snapToGrid w:val="0"/>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150</w:t>
                  </w:r>
                </w:p>
              </w:tc>
              <w:tc>
                <w:tcPr>
                  <w:tcW w:w="1120" w:type="dxa"/>
                  <w:tcBorders>
                    <w:tl2br w:val="nil"/>
                    <w:tr2bl w:val="nil"/>
                  </w:tcBorders>
                  <w:vAlign w:val="center"/>
                </w:tcPr>
                <w:p w14:paraId="305A784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single" w:color="auto"/>
                      <w:lang w:val="en-US" w:eastAsia="zh-CN" w:bidi="ar"/>
                    </w:rPr>
                  </w:pPr>
                  <w:r>
                    <w:rPr>
                      <w:rFonts w:hint="eastAsia" w:ascii="Times New Roman" w:hAnsi="Times New Roman" w:eastAsia="宋体" w:cs="Times New Roman"/>
                      <w:i w:val="0"/>
                      <w:iCs w:val="0"/>
                      <w:color w:val="auto"/>
                      <w:kern w:val="0"/>
                      <w:sz w:val="21"/>
                      <w:szCs w:val="21"/>
                      <w:highlight w:val="none"/>
                      <w:u w:val="single" w:color="auto"/>
                      <w:lang w:val="en-US" w:eastAsia="zh-CN" w:bidi="ar"/>
                    </w:rPr>
                    <w:t xml:space="preserve">0.00360 </w:t>
                  </w:r>
                </w:p>
              </w:tc>
              <w:tc>
                <w:tcPr>
                  <w:tcW w:w="2413" w:type="dxa"/>
                  <w:vMerge w:val="continue"/>
                  <w:tcBorders>
                    <w:tl2br w:val="nil"/>
                    <w:tr2bl w:val="nil"/>
                  </w:tcBorders>
                  <w:vAlign w:val="center"/>
                </w:tcPr>
                <w:p w14:paraId="0D4FE368">
                  <w:pPr>
                    <w:keepNext w:val="0"/>
                    <w:keepLines w:val="0"/>
                    <w:widowControl/>
                    <w:suppressLineNumbers w:val="0"/>
                    <w:jc w:val="center"/>
                    <w:textAlignment w:val="center"/>
                    <w:rPr>
                      <w:rFonts w:hint="eastAsia" w:ascii="Times New Roman" w:hAnsi="Times New Roman" w:eastAsia="宋体" w:cs="Times New Roman"/>
                      <w:snapToGrid w:val="0"/>
                      <w:color w:val="auto"/>
                      <w:sz w:val="21"/>
                      <w:szCs w:val="21"/>
                      <w:highlight w:val="none"/>
                      <w:u w:val="single" w:color="auto"/>
                      <w:lang w:val="en-US" w:eastAsia="zh-CN"/>
                    </w:rPr>
                  </w:pPr>
                </w:p>
              </w:tc>
            </w:tr>
            <w:tr w14:paraId="469FEA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66" w:type="dxa"/>
                  <w:vMerge w:val="continue"/>
                  <w:tcBorders>
                    <w:tl2br w:val="nil"/>
                    <w:tr2bl w:val="nil"/>
                  </w:tcBorders>
                  <w:vAlign w:val="center"/>
                </w:tcPr>
                <w:p w14:paraId="508E6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snapToGrid w:val="0"/>
                      <w:color w:val="auto"/>
                      <w:sz w:val="21"/>
                      <w:szCs w:val="21"/>
                      <w:highlight w:val="none"/>
                      <w:u w:val="single" w:color="auto"/>
                      <w:lang w:val="en-US" w:eastAsia="zh-CN"/>
                    </w:rPr>
                  </w:pPr>
                </w:p>
              </w:tc>
              <w:tc>
                <w:tcPr>
                  <w:tcW w:w="966" w:type="dxa"/>
                  <w:vMerge w:val="continue"/>
                  <w:tcBorders>
                    <w:tl2br w:val="nil"/>
                    <w:tr2bl w:val="nil"/>
                  </w:tcBorders>
                  <w:vAlign w:val="center"/>
                </w:tcPr>
                <w:p w14:paraId="47DACF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sz w:val="21"/>
                      <w:szCs w:val="21"/>
                      <w:highlight w:val="none"/>
                      <w:u w:val="single" w:color="auto"/>
                      <w:lang w:val="en-US" w:eastAsia="zh-CN"/>
                    </w:rPr>
                  </w:pPr>
                </w:p>
              </w:tc>
              <w:tc>
                <w:tcPr>
                  <w:tcW w:w="966" w:type="dxa"/>
                  <w:tcBorders>
                    <w:tl2br w:val="nil"/>
                    <w:tr2bl w:val="nil"/>
                  </w:tcBorders>
                  <w:vAlign w:val="center"/>
                </w:tcPr>
                <w:p w14:paraId="1262B2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napToGrid w:val="0"/>
                      <w:color w:val="auto"/>
                      <w:sz w:val="21"/>
                      <w:szCs w:val="21"/>
                      <w:highlight w:val="none"/>
                      <w:u w:val="single" w:color="auto"/>
                      <w:lang w:val="en-US" w:eastAsia="zh-CN"/>
                    </w:rPr>
                  </w:pPr>
                  <w:r>
                    <w:rPr>
                      <w:rFonts w:hint="default" w:ascii="Times New Roman" w:hAnsi="Times New Roman" w:eastAsia="宋体" w:cs="Times New Roman"/>
                      <w:snapToGrid w:val="0"/>
                      <w:color w:val="auto"/>
                      <w:sz w:val="21"/>
                      <w:szCs w:val="21"/>
                      <w:highlight w:val="none"/>
                      <w:u w:val="single" w:color="auto"/>
                      <w:lang w:val="en-US" w:eastAsia="zh-CN"/>
                    </w:rPr>
                    <w:t>氨氮</w:t>
                  </w:r>
                </w:p>
              </w:tc>
              <w:tc>
                <w:tcPr>
                  <w:tcW w:w="1345" w:type="dxa"/>
                  <w:tcBorders>
                    <w:tl2br w:val="nil"/>
                    <w:tr2bl w:val="nil"/>
                  </w:tcBorders>
                  <w:vAlign w:val="center"/>
                </w:tcPr>
                <w:p w14:paraId="711398F5">
                  <w:pPr>
                    <w:keepNext w:val="0"/>
                    <w:keepLines w:val="0"/>
                    <w:widowControl/>
                    <w:suppressLineNumbers w:val="0"/>
                    <w:jc w:val="center"/>
                    <w:textAlignment w:val="center"/>
                    <w:rPr>
                      <w:rFonts w:hint="default" w:ascii="Times New Roman" w:hAnsi="Times New Roman" w:eastAsia="宋体" w:cs="Times New Roman"/>
                      <w:snapToGrid w:val="0"/>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30</w:t>
                  </w:r>
                </w:p>
              </w:tc>
              <w:tc>
                <w:tcPr>
                  <w:tcW w:w="1120" w:type="dxa"/>
                  <w:tcBorders>
                    <w:tl2br w:val="nil"/>
                    <w:tr2bl w:val="nil"/>
                  </w:tcBorders>
                  <w:vAlign w:val="center"/>
                </w:tcPr>
                <w:p w14:paraId="2702A5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single" w:color="auto"/>
                      <w:lang w:val="en-US" w:eastAsia="zh-CN" w:bidi="ar"/>
                    </w:rPr>
                  </w:pPr>
                  <w:r>
                    <w:rPr>
                      <w:rFonts w:hint="eastAsia" w:ascii="Times New Roman" w:hAnsi="Times New Roman" w:eastAsia="宋体" w:cs="Times New Roman"/>
                      <w:i w:val="0"/>
                      <w:iCs w:val="0"/>
                      <w:color w:val="auto"/>
                      <w:kern w:val="0"/>
                      <w:sz w:val="21"/>
                      <w:szCs w:val="21"/>
                      <w:highlight w:val="none"/>
                      <w:u w:val="single" w:color="auto"/>
                      <w:lang w:val="en-US" w:eastAsia="zh-CN" w:bidi="ar"/>
                    </w:rPr>
                    <w:t xml:space="preserve">0.00072 </w:t>
                  </w:r>
                </w:p>
              </w:tc>
              <w:tc>
                <w:tcPr>
                  <w:tcW w:w="2413" w:type="dxa"/>
                  <w:vMerge w:val="continue"/>
                  <w:tcBorders>
                    <w:tl2br w:val="nil"/>
                    <w:tr2bl w:val="nil"/>
                  </w:tcBorders>
                  <w:vAlign w:val="center"/>
                </w:tcPr>
                <w:p w14:paraId="7E5EB0DC">
                  <w:pPr>
                    <w:keepNext w:val="0"/>
                    <w:keepLines w:val="0"/>
                    <w:widowControl/>
                    <w:suppressLineNumbers w:val="0"/>
                    <w:jc w:val="center"/>
                    <w:textAlignment w:val="center"/>
                    <w:rPr>
                      <w:rFonts w:hint="eastAsia" w:ascii="Times New Roman" w:hAnsi="Times New Roman" w:eastAsia="宋体" w:cs="Times New Roman"/>
                      <w:snapToGrid w:val="0"/>
                      <w:color w:val="auto"/>
                      <w:sz w:val="21"/>
                      <w:szCs w:val="21"/>
                      <w:highlight w:val="none"/>
                      <w:u w:val="single" w:color="auto"/>
                      <w:lang w:val="en-US" w:eastAsia="zh-CN"/>
                    </w:rPr>
                  </w:pPr>
                </w:p>
              </w:tc>
            </w:tr>
          </w:tbl>
          <w:p w14:paraId="6C84525B">
            <w:pPr>
              <w:adjustRightInd w:val="0"/>
              <w:snapToGrid w:val="0"/>
              <w:jc w:val="center"/>
              <w:rPr>
                <w:rFonts w:hint="eastAsia" w:ascii="Times New Roman" w:hAnsi="Times New Roman" w:cs="Times New Roman"/>
                <w:b/>
                <w:bCs/>
                <w:color w:val="auto"/>
                <w:spacing w:val="-2"/>
                <w:sz w:val="24"/>
                <w:highlight w:val="none"/>
                <w:u w:val="none" w:color="auto"/>
                <w:lang w:eastAsia="zh-CN"/>
              </w:rPr>
            </w:pPr>
          </w:p>
          <w:p w14:paraId="619BC6B6">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4.8</w:t>
            </w:r>
            <w:r>
              <w:rPr>
                <w:rFonts w:hint="default" w:ascii="Times New Roman" w:hAnsi="Times New Roman" w:cs="Times New Roman"/>
                <w:color w:val="auto"/>
                <w:position w:val="15"/>
                <w:sz w:val="24"/>
                <w:highlight w:val="none"/>
                <w:u w:val="none" w:color="auto"/>
              </w:rPr>
              <w:t>噪声</w:t>
            </w:r>
          </w:p>
          <w:p w14:paraId="3BF56D43">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4.8</w:t>
            </w:r>
            <w:r>
              <w:rPr>
                <w:rFonts w:hint="default" w:ascii="Times New Roman" w:hAnsi="Times New Roman" w:cs="Times New Roman"/>
                <w:color w:val="auto"/>
                <w:position w:val="15"/>
                <w:sz w:val="24"/>
                <w:highlight w:val="none"/>
                <w:u w:val="none" w:color="auto"/>
                <w:lang w:val="en-US" w:eastAsia="zh-CN"/>
              </w:rPr>
              <w:t>.1</w:t>
            </w:r>
            <w:r>
              <w:rPr>
                <w:rFonts w:hint="default" w:ascii="Times New Roman" w:hAnsi="Times New Roman" w:cs="Times New Roman"/>
                <w:color w:val="auto"/>
                <w:position w:val="15"/>
                <w:sz w:val="24"/>
                <w:highlight w:val="none"/>
                <w:u w:val="none" w:color="auto"/>
              </w:rPr>
              <w:t>噪声源强核算</w:t>
            </w:r>
          </w:p>
          <w:p w14:paraId="493E1B51">
            <w:pPr>
              <w:adjustRightInd w:val="0"/>
              <w:snapToGrid w:val="0"/>
              <w:spacing w:line="360" w:lineRule="auto"/>
              <w:ind w:firstLine="480" w:firstLineChars="200"/>
              <w:rPr>
                <w:rFonts w:hint="default" w:ascii="Times New Roman" w:hAnsi="Times New Roman" w:cs="Times New Roman"/>
                <w:color w:val="auto"/>
                <w:highlight w:val="none"/>
                <w:u w:val="none" w:color="auto"/>
              </w:rPr>
            </w:pPr>
            <w:r>
              <w:rPr>
                <w:rFonts w:hint="default" w:ascii="Times New Roman" w:hAnsi="Times New Roman" w:cs="Times New Roman"/>
                <w:color w:val="auto"/>
                <w:position w:val="15"/>
                <w:sz w:val="24"/>
                <w:highlight w:val="none"/>
                <w:u w:val="none" w:color="auto"/>
              </w:rPr>
              <w:t>本项目营运期噪声源主要为风机、提升机等设备及风机运行时产生的噪声，噪声级为</w:t>
            </w:r>
            <w:r>
              <w:rPr>
                <w:rFonts w:hint="eastAsia" w:cs="Times New Roman"/>
                <w:color w:val="auto"/>
                <w:position w:val="15"/>
                <w:sz w:val="24"/>
                <w:highlight w:val="none"/>
                <w:u w:val="none" w:color="auto"/>
                <w:lang w:val="en-US" w:eastAsia="zh-CN"/>
              </w:rPr>
              <w:t>75</w:t>
            </w:r>
            <w:r>
              <w:rPr>
                <w:rFonts w:hint="default" w:ascii="Times New Roman" w:hAnsi="Times New Roman" w:cs="Times New Roman"/>
                <w:color w:val="auto"/>
                <w:position w:val="15"/>
                <w:sz w:val="24"/>
                <w:highlight w:val="none"/>
                <w:u w:val="none" w:color="auto"/>
              </w:rPr>
              <w:t>～</w:t>
            </w:r>
            <w:r>
              <w:rPr>
                <w:rFonts w:hint="eastAsia" w:cs="Times New Roman"/>
                <w:color w:val="auto"/>
                <w:position w:val="15"/>
                <w:sz w:val="24"/>
                <w:highlight w:val="none"/>
                <w:u w:val="none" w:color="auto"/>
                <w:lang w:val="en-US" w:eastAsia="zh-CN"/>
              </w:rPr>
              <w:t>85</w:t>
            </w:r>
            <w:r>
              <w:rPr>
                <w:rFonts w:hint="default" w:ascii="Times New Roman" w:hAnsi="Times New Roman" w:cs="Times New Roman"/>
                <w:color w:val="auto"/>
                <w:position w:val="15"/>
                <w:sz w:val="24"/>
                <w:highlight w:val="none"/>
                <w:u w:val="none" w:color="auto"/>
              </w:rPr>
              <w:t>dB</w:t>
            </w:r>
            <w:r>
              <w:rPr>
                <w:rFonts w:hint="eastAsia" w:cs="Times New Roman"/>
                <w:color w:val="auto"/>
                <w:position w:val="15"/>
                <w:sz w:val="24"/>
                <w:highlight w:val="none"/>
                <w:u w:val="none" w:color="auto"/>
                <w:lang w:eastAsia="zh-CN"/>
              </w:rPr>
              <w:t>（</w:t>
            </w:r>
            <w:r>
              <w:rPr>
                <w:rFonts w:hint="default" w:ascii="Times New Roman" w:hAnsi="Times New Roman" w:cs="Times New Roman"/>
                <w:color w:val="auto"/>
                <w:position w:val="15"/>
                <w:sz w:val="24"/>
                <w:highlight w:val="none"/>
                <w:u w:val="none" w:color="auto"/>
              </w:rPr>
              <w:t>A</w:t>
            </w:r>
            <w:r>
              <w:rPr>
                <w:rFonts w:hint="eastAsia" w:cs="Times New Roman"/>
                <w:color w:val="auto"/>
                <w:position w:val="15"/>
                <w:sz w:val="24"/>
                <w:highlight w:val="none"/>
                <w:u w:val="none" w:color="auto"/>
                <w:lang w:eastAsia="zh-CN"/>
              </w:rPr>
              <w:t>）</w:t>
            </w:r>
            <w:r>
              <w:rPr>
                <w:rFonts w:hint="default" w:ascii="Times New Roman" w:hAnsi="Times New Roman" w:cs="Times New Roman"/>
                <w:color w:val="auto"/>
                <w:position w:val="15"/>
                <w:sz w:val="24"/>
                <w:highlight w:val="none"/>
                <w:u w:val="none" w:color="auto"/>
              </w:rPr>
              <w:t>。具体噪声强度见下表。</w:t>
            </w:r>
          </w:p>
          <w:p w14:paraId="5A6DE78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color w:val="auto"/>
                <w:sz w:val="24"/>
                <w:szCs w:val="24"/>
                <w:highlight w:val="none"/>
                <w:u w:val="single" w:color="auto"/>
              </w:rPr>
            </w:pPr>
            <w:r>
              <w:rPr>
                <w:b/>
                <w:bCs/>
                <w:color w:val="auto"/>
                <w:sz w:val="24"/>
                <w:szCs w:val="24"/>
                <w:highlight w:val="none"/>
                <w:u w:val="single" w:color="auto"/>
              </w:rPr>
              <w:t>表</w:t>
            </w:r>
            <w:r>
              <w:rPr>
                <w:rFonts w:hint="eastAsia"/>
                <w:b/>
                <w:bCs/>
                <w:color w:val="auto"/>
                <w:sz w:val="24"/>
                <w:szCs w:val="24"/>
                <w:highlight w:val="none"/>
                <w:u w:val="single" w:color="auto"/>
                <w:lang w:val="en-US" w:eastAsia="zh-CN"/>
              </w:rPr>
              <w:t xml:space="preserve">4-10 </w:t>
            </w:r>
            <w:r>
              <w:rPr>
                <w:rFonts w:hint="eastAsia"/>
                <w:b/>
                <w:bCs/>
                <w:color w:val="auto"/>
                <w:sz w:val="24"/>
                <w:szCs w:val="24"/>
                <w:highlight w:val="none"/>
                <w:u w:val="single" w:color="auto"/>
              </w:rPr>
              <w:t xml:space="preserve">  热风炉房</w:t>
            </w:r>
            <w:r>
              <w:rPr>
                <w:b/>
                <w:bCs/>
                <w:color w:val="auto"/>
                <w:sz w:val="24"/>
                <w:szCs w:val="24"/>
                <w:highlight w:val="none"/>
                <w:u w:val="single" w:color="auto"/>
              </w:rPr>
              <w:t>主要</w:t>
            </w:r>
            <w:r>
              <w:rPr>
                <w:b/>
                <w:color w:val="auto"/>
                <w:sz w:val="24"/>
                <w:szCs w:val="24"/>
                <w:highlight w:val="none"/>
                <w:u w:val="single" w:color="auto"/>
              </w:rPr>
              <w:t>生产设备噪声源强表</w:t>
            </w:r>
            <w:r>
              <w:rPr>
                <w:rFonts w:hint="eastAsia"/>
                <w:b/>
                <w:color w:val="auto"/>
                <w:sz w:val="24"/>
                <w:szCs w:val="24"/>
                <w:highlight w:val="none"/>
                <w:u w:val="single" w:color="auto"/>
              </w:rPr>
              <w:t>（室内声源）</w:t>
            </w:r>
          </w:p>
          <w:tbl>
            <w:tblPr>
              <w:tblStyle w:val="28"/>
              <w:tblW w:w="499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0"/>
              <w:gridCol w:w="402"/>
              <w:gridCol w:w="465"/>
              <w:gridCol w:w="715"/>
              <w:gridCol w:w="584"/>
              <w:gridCol w:w="465"/>
              <w:gridCol w:w="523"/>
              <w:gridCol w:w="509"/>
              <w:gridCol w:w="543"/>
              <w:gridCol w:w="715"/>
              <w:gridCol w:w="623"/>
              <w:gridCol w:w="716"/>
              <w:gridCol w:w="716"/>
              <w:gridCol w:w="409"/>
            </w:tblGrid>
            <w:tr w14:paraId="376FF8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480" w:type="dxa"/>
                  <w:vMerge w:val="restart"/>
                  <w:tcBorders>
                    <w:tl2br w:val="nil"/>
                    <w:tr2bl w:val="nil"/>
                  </w:tcBorders>
                  <w:vAlign w:val="center"/>
                </w:tcPr>
                <w:p w14:paraId="2555B567">
                  <w:pPr>
                    <w:adjustRightInd w:val="0"/>
                    <w:snapToGrid w:val="0"/>
                    <w:jc w:val="center"/>
                    <w:rPr>
                      <w:color w:val="auto"/>
                      <w:sz w:val="21"/>
                      <w:szCs w:val="21"/>
                      <w:highlight w:val="none"/>
                      <w:u w:val="single" w:color="auto"/>
                    </w:rPr>
                  </w:pPr>
                  <w:r>
                    <w:rPr>
                      <w:color w:val="auto"/>
                      <w:sz w:val="21"/>
                      <w:szCs w:val="21"/>
                      <w:highlight w:val="none"/>
                      <w:u w:val="single" w:color="auto"/>
                    </w:rPr>
                    <w:t>序号</w:t>
                  </w:r>
                </w:p>
              </w:tc>
              <w:tc>
                <w:tcPr>
                  <w:tcW w:w="402" w:type="dxa"/>
                  <w:vMerge w:val="restart"/>
                  <w:tcBorders>
                    <w:tl2br w:val="nil"/>
                    <w:tr2bl w:val="nil"/>
                  </w:tcBorders>
                  <w:vAlign w:val="center"/>
                </w:tcPr>
                <w:p w14:paraId="372073F9">
                  <w:pPr>
                    <w:adjustRightInd w:val="0"/>
                    <w:snapToGrid w:val="0"/>
                    <w:jc w:val="center"/>
                    <w:rPr>
                      <w:color w:val="auto"/>
                      <w:sz w:val="21"/>
                      <w:szCs w:val="21"/>
                      <w:highlight w:val="none"/>
                      <w:u w:val="single" w:color="auto"/>
                    </w:rPr>
                  </w:pPr>
                  <w:r>
                    <w:rPr>
                      <w:color w:val="auto"/>
                      <w:sz w:val="21"/>
                      <w:szCs w:val="21"/>
                      <w:highlight w:val="none"/>
                      <w:u w:val="single" w:color="auto"/>
                    </w:rPr>
                    <w:t>建筑物名称</w:t>
                  </w:r>
                </w:p>
              </w:tc>
              <w:tc>
                <w:tcPr>
                  <w:tcW w:w="465" w:type="dxa"/>
                  <w:vMerge w:val="restart"/>
                  <w:tcBorders>
                    <w:tl2br w:val="nil"/>
                    <w:tr2bl w:val="nil"/>
                  </w:tcBorders>
                  <w:vAlign w:val="center"/>
                </w:tcPr>
                <w:p w14:paraId="601F5623">
                  <w:pPr>
                    <w:adjustRightInd w:val="0"/>
                    <w:snapToGrid w:val="0"/>
                    <w:jc w:val="center"/>
                    <w:rPr>
                      <w:color w:val="auto"/>
                      <w:sz w:val="21"/>
                      <w:szCs w:val="21"/>
                      <w:highlight w:val="none"/>
                      <w:u w:val="single" w:color="auto"/>
                    </w:rPr>
                  </w:pPr>
                  <w:r>
                    <w:rPr>
                      <w:color w:val="auto"/>
                      <w:sz w:val="21"/>
                      <w:szCs w:val="21"/>
                      <w:highlight w:val="none"/>
                      <w:u w:val="single" w:color="auto"/>
                    </w:rPr>
                    <w:t>声源名称</w:t>
                  </w:r>
                </w:p>
              </w:tc>
              <w:tc>
                <w:tcPr>
                  <w:tcW w:w="715" w:type="dxa"/>
                  <w:vMerge w:val="restart"/>
                  <w:tcBorders>
                    <w:tl2br w:val="nil"/>
                    <w:tr2bl w:val="nil"/>
                  </w:tcBorders>
                  <w:vAlign w:val="center"/>
                </w:tcPr>
                <w:p w14:paraId="1E0880DC">
                  <w:pPr>
                    <w:adjustRightInd w:val="0"/>
                    <w:snapToGrid w:val="0"/>
                    <w:jc w:val="center"/>
                    <w:rPr>
                      <w:color w:val="auto"/>
                      <w:sz w:val="21"/>
                      <w:szCs w:val="21"/>
                      <w:highlight w:val="none"/>
                      <w:u w:val="single" w:color="auto"/>
                    </w:rPr>
                  </w:pPr>
                  <w:r>
                    <w:rPr>
                      <w:color w:val="auto"/>
                      <w:sz w:val="21"/>
                      <w:szCs w:val="21"/>
                      <w:highlight w:val="none"/>
                      <w:u w:val="single" w:color="auto"/>
                    </w:rPr>
                    <w:t>声源源强（声功率级）dB（A）</w:t>
                  </w:r>
                </w:p>
              </w:tc>
              <w:tc>
                <w:tcPr>
                  <w:tcW w:w="584" w:type="dxa"/>
                  <w:vMerge w:val="restart"/>
                  <w:tcBorders>
                    <w:tl2br w:val="nil"/>
                    <w:tr2bl w:val="nil"/>
                  </w:tcBorders>
                  <w:vAlign w:val="center"/>
                </w:tcPr>
                <w:p w14:paraId="3CD3233A">
                  <w:pPr>
                    <w:adjustRightInd w:val="0"/>
                    <w:snapToGrid w:val="0"/>
                    <w:jc w:val="center"/>
                    <w:rPr>
                      <w:color w:val="auto"/>
                      <w:sz w:val="21"/>
                      <w:szCs w:val="21"/>
                      <w:highlight w:val="none"/>
                      <w:u w:val="single" w:color="auto"/>
                    </w:rPr>
                  </w:pPr>
                  <w:r>
                    <w:rPr>
                      <w:color w:val="auto"/>
                      <w:sz w:val="21"/>
                      <w:szCs w:val="21"/>
                      <w:highlight w:val="none"/>
                      <w:u w:val="single" w:color="auto"/>
                    </w:rPr>
                    <w:t>声源控制措施</w:t>
                  </w:r>
                </w:p>
              </w:tc>
              <w:tc>
                <w:tcPr>
                  <w:tcW w:w="1497" w:type="dxa"/>
                  <w:gridSpan w:val="3"/>
                  <w:tcBorders>
                    <w:tl2br w:val="nil"/>
                    <w:tr2bl w:val="nil"/>
                  </w:tcBorders>
                  <w:vAlign w:val="center"/>
                </w:tcPr>
                <w:p w14:paraId="66C4794A">
                  <w:pPr>
                    <w:adjustRightInd w:val="0"/>
                    <w:snapToGrid w:val="0"/>
                    <w:jc w:val="center"/>
                    <w:rPr>
                      <w:color w:val="auto"/>
                      <w:sz w:val="21"/>
                      <w:szCs w:val="21"/>
                      <w:highlight w:val="none"/>
                      <w:u w:val="single" w:color="auto"/>
                    </w:rPr>
                  </w:pPr>
                  <w:r>
                    <w:rPr>
                      <w:color w:val="auto"/>
                      <w:sz w:val="21"/>
                      <w:szCs w:val="21"/>
                      <w:highlight w:val="none"/>
                      <w:u w:val="single" w:color="auto"/>
                    </w:rPr>
                    <w:t>空间相对位置/m</w:t>
                  </w:r>
                </w:p>
              </w:tc>
              <w:tc>
                <w:tcPr>
                  <w:tcW w:w="543" w:type="dxa"/>
                  <w:vMerge w:val="restart"/>
                  <w:tcBorders>
                    <w:tl2br w:val="nil"/>
                    <w:tr2bl w:val="nil"/>
                  </w:tcBorders>
                  <w:vAlign w:val="center"/>
                </w:tcPr>
                <w:p w14:paraId="07F1C7FD">
                  <w:pPr>
                    <w:adjustRightInd w:val="0"/>
                    <w:snapToGrid w:val="0"/>
                    <w:jc w:val="center"/>
                    <w:rPr>
                      <w:color w:val="auto"/>
                      <w:sz w:val="21"/>
                      <w:szCs w:val="21"/>
                      <w:highlight w:val="none"/>
                      <w:u w:val="single" w:color="auto"/>
                    </w:rPr>
                  </w:pPr>
                  <w:r>
                    <w:rPr>
                      <w:color w:val="auto"/>
                      <w:sz w:val="21"/>
                      <w:szCs w:val="21"/>
                      <w:highlight w:val="none"/>
                      <w:u w:val="single" w:color="auto"/>
                    </w:rPr>
                    <w:t>距室内边界距离/m</w:t>
                  </w:r>
                </w:p>
              </w:tc>
              <w:tc>
                <w:tcPr>
                  <w:tcW w:w="715" w:type="dxa"/>
                  <w:vMerge w:val="restart"/>
                  <w:tcBorders>
                    <w:tl2br w:val="nil"/>
                    <w:tr2bl w:val="nil"/>
                  </w:tcBorders>
                  <w:vAlign w:val="center"/>
                </w:tcPr>
                <w:p w14:paraId="305BF95E">
                  <w:pPr>
                    <w:adjustRightInd w:val="0"/>
                    <w:snapToGrid w:val="0"/>
                    <w:jc w:val="center"/>
                    <w:rPr>
                      <w:color w:val="auto"/>
                      <w:sz w:val="21"/>
                      <w:szCs w:val="21"/>
                      <w:highlight w:val="none"/>
                      <w:u w:val="single" w:color="auto"/>
                    </w:rPr>
                  </w:pPr>
                  <w:r>
                    <w:rPr>
                      <w:color w:val="auto"/>
                      <w:sz w:val="21"/>
                      <w:szCs w:val="21"/>
                      <w:highlight w:val="none"/>
                      <w:u w:val="single" w:color="auto"/>
                    </w:rPr>
                    <w:t>室内边界声级dB（A）</w:t>
                  </w:r>
                </w:p>
              </w:tc>
              <w:tc>
                <w:tcPr>
                  <w:tcW w:w="623" w:type="dxa"/>
                  <w:vMerge w:val="restart"/>
                  <w:tcBorders>
                    <w:tl2br w:val="nil"/>
                    <w:tr2bl w:val="nil"/>
                  </w:tcBorders>
                  <w:vAlign w:val="center"/>
                </w:tcPr>
                <w:p w14:paraId="0E281CC6">
                  <w:pPr>
                    <w:adjustRightInd w:val="0"/>
                    <w:snapToGrid w:val="0"/>
                    <w:jc w:val="center"/>
                    <w:rPr>
                      <w:color w:val="auto"/>
                      <w:sz w:val="21"/>
                      <w:szCs w:val="21"/>
                      <w:highlight w:val="none"/>
                      <w:u w:val="single" w:color="auto"/>
                    </w:rPr>
                  </w:pPr>
                  <w:r>
                    <w:rPr>
                      <w:color w:val="auto"/>
                      <w:sz w:val="21"/>
                      <w:szCs w:val="21"/>
                      <w:highlight w:val="none"/>
                      <w:u w:val="single" w:color="auto"/>
                    </w:rPr>
                    <w:t>运行时段</w:t>
                  </w:r>
                </w:p>
              </w:tc>
              <w:tc>
                <w:tcPr>
                  <w:tcW w:w="716" w:type="dxa"/>
                  <w:vMerge w:val="restart"/>
                  <w:tcBorders>
                    <w:tl2br w:val="nil"/>
                    <w:tr2bl w:val="nil"/>
                  </w:tcBorders>
                  <w:vAlign w:val="center"/>
                </w:tcPr>
                <w:p w14:paraId="39DF4B33">
                  <w:pPr>
                    <w:adjustRightInd w:val="0"/>
                    <w:snapToGrid w:val="0"/>
                    <w:jc w:val="center"/>
                    <w:rPr>
                      <w:color w:val="auto"/>
                      <w:sz w:val="21"/>
                      <w:szCs w:val="21"/>
                      <w:highlight w:val="none"/>
                      <w:u w:val="single" w:color="auto"/>
                    </w:rPr>
                  </w:pPr>
                  <w:r>
                    <w:rPr>
                      <w:color w:val="auto"/>
                      <w:sz w:val="21"/>
                      <w:szCs w:val="21"/>
                      <w:highlight w:val="none"/>
                      <w:u w:val="single" w:color="auto"/>
                    </w:rPr>
                    <w:t>建筑物插入损失dB（A）</w:t>
                  </w:r>
                </w:p>
              </w:tc>
              <w:tc>
                <w:tcPr>
                  <w:tcW w:w="1125" w:type="dxa"/>
                  <w:gridSpan w:val="2"/>
                  <w:tcBorders>
                    <w:tl2br w:val="nil"/>
                    <w:tr2bl w:val="nil"/>
                  </w:tcBorders>
                  <w:vAlign w:val="center"/>
                </w:tcPr>
                <w:p w14:paraId="05565CC8">
                  <w:pPr>
                    <w:adjustRightInd w:val="0"/>
                    <w:snapToGrid w:val="0"/>
                    <w:jc w:val="center"/>
                    <w:rPr>
                      <w:color w:val="auto"/>
                      <w:sz w:val="21"/>
                      <w:szCs w:val="21"/>
                      <w:highlight w:val="none"/>
                      <w:u w:val="single" w:color="auto"/>
                    </w:rPr>
                  </w:pPr>
                  <w:r>
                    <w:rPr>
                      <w:color w:val="auto"/>
                      <w:sz w:val="21"/>
                      <w:szCs w:val="21"/>
                      <w:highlight w:val="none"/>
                      <w:u w:val="single" w:color="auto"/>
                    </w:rPr>
                    <w:t>建筑物外</w:t>
                  </w:r>
                </w:p>
                <w:p w14:paraId="3AF4E58F">
                  <w:pPr>
                    <w:adjustRightInd w:val="0"/>
                    <w:snapToGrid w:val="0"/>
                    <w:jc w:val="center"/>
                    <w:rPr>
                      <w:color w:val="auto"/>
                      <w:sz w:val="21"/>
                      <w:szCs w:val="21"/>
                      <w:highlight w:val="none"/>
                      <w:u w:val="single" w:color="auto"/>
                    </w:rPr>
                  </w:pPr>
                  <w:r>
                    <w:rPr>
                      <w:color w:val="auto"/>
                      <w:sz w:val="21"/>
                      <w:szCs w:val="21"/>
                      <w:highlight w:val="none"/>
                      <w:u w:val="single" w:color="auto"/>
                    </w:rPr>
                    <w:t>噪声</w:t>
                  </w:r>
                </w:p>
              </w:tc>
            </w:tr>
            <w:tr w14:paraId="61A13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80" w:type="dxa"/>
                  <w:vMerge w:val="continue"/>
                  <w:tcBorders>
                    <w:tl2br w:val="nil"/>
                    <w:tr2bl w:val="nil"/>
                  </w:tcBorders>
                  <w:vAlign w:val="center"/>
                </w:tcPr>
                <w:p w14:paraId="66E8DE33">
                  <w:pPr>
                    <w:adjustRightInd w:val="0"/>
                    <w:snapToGrid w:val="0"/>
                    <w:jc w:val="center"/>
                    <w:rPr>
                      <w:color w:val="auto"/>
                      <w:sz w:val="21"/>
                      <w:szCs w:val="21"/>
                      <w:highlight w:val="none"/>
                      <w:u w:val="single" w:color="auto"/>
                    </w:rPr>
                  </w:pPr>
                </w:p>
              </w:tc>
              <w:tc>
                <w:tcPr>
                  <w:tcW w:w="402" w:type="dxa"/>
                  <w:vMerge w:val="continue"/>
                  <w:tcBorders>
                    <w:tl2br w:val="nil"/>
                    <w:tr2bl w:val="nil"/>
                  </w:tcBorders>
                  <w:vAlign w:val="center"/>
                </w:tcPr>
                <w:p w14:paraId="62C343D2">
                  <w:pPr>
                    <w:adjustRightInd w:val="0"/>
                    <w:snapToGrid w:val="0"/>
                    <w:jc w:val="center"/>
                    <w:rPr>
                      <w:color w:val="auto"/>
                      <w:sz w:val="21"/>
                      <w:szCs w:val="21"/>
                      <w:highlight w:val="none"/>
                      <w:u w:val="single" w:color="auto"/>
                    </w:rPr>
                  </w:pPr>
                </w:p>
              </w:tc>
              <w:tc>
                <w:tcPr>
                  <w:tcW w:w="465" w:type="dxa"/>
                  <w:vMerge w:val="continue"/>
                  <w:tcBorders>
                    <w:tl2br w:val="nil"/>
                    <w:tr2bl w:val="nil"/>
                  </w:tcBorders>
                  <w:vAlign w:val="center"/>
                </w:tcPr>
                <w:p w14:paraId="0FFF6F6C">
                  <w:pPr>
                    <w:adjustRightInd w:val="0"/>
                    <w:snapToGrid w:val="0"/>
                    <w:jc w:val="center"/>
                    <w:rPr>
                      <w:color w:val="auto"/>
                      <w:sz w:val="21"/>
                      <w:szCs w:val="21"/>
                      <w:highlight w:val="none"/>
                      <w:u w:val="single" w:color="auto"/>
                    </w:rPr>
                  </w:pPr>
                </w:p>
              </w:tc>
              <w:tc>
                <w:tcPr>
                  <w:tcW w:w="715" w:type="dxa"/>
                  <w:vMerge w:val="continue"/>
                  <w:tcBorders>
                    <w:tl2br w:val="nil"/>
                    <w:tr2bl w:val="nil"/>
                  </w:tcBorders>
                  <w:vAlign w:val="center"/>
                </w:tcPr>
                <w:p w14:paraId="2280B7D9">
                  <w:pPr>
                    <w:adjustRightInd w:val="0"/>
                    <w:snapToGrid w:val="0"/>
                    <w:jc w:val="center"/>
                    <w:rPr>
                      <w:color w:val="auto"/>
                      <w:sz w:val="21"/>
                      <w:szCs w:val="21"/>
                      <w:highlight w:val="none"/>
                      <w:u w:val="single" w:color="auto"/>
                    </w:rPr>
                  </w:pPr>
                </w:p>
              </w:tc>
              <w:tc>
                <w:tcPr>
                  <w:tcW w:w="584" w:type="dxa"/>
                  <w:vMerge w:val="continue"/>
                  <w:tcBorders>
                    <w:tl2br w:val="nil"/>
                    <w:tr2bl w:val="nil"/>
                  </w:tcBorders>
                  <w:vAlign w:val="center"/>
                </w:tcPr>
                <w:p w14:paraId="45C9F69A">
                  <w:pPr>
                    <w:adjustRightInd w:val="0"/>
                    <w:snapToGrid w:val="0"/>
                    <w:jc w:val="center"/>
                    <w:rPr>
                      <w:color w:val="auto"/>
                      <w:sz w:val="21"/>
                      <w:szCs w:val="21"/>
                      <w:highlight w:val="none"/>
                      <w:u w:val="single" w:color="auto"/>
                    </w:rPr>
                  </w:pPr>
                </w:p>
              </w:tc>
              <w:tc>
                <w:tcPr>
                  <w:tcW w:w="465" w:type="dxa"/>
                  <w:tcBorders>
                    <w:tl2br w:val="nil"/>
                    <w:tr2bl w:val="nil"/>
                  </w:tcBorders>
                  <w:vAlign w:val="center"/>
                </w:tcPr>
                <w:p w14:paraId="7562D088">
                  <w:pPr>
                    <w:adjustRightInd w:val="0"/>
                    <w:snapToGrid w:val="0"/>
                    <w:jc w:val="center"/>
                    <w:rPr>
                      <w:color w:val="auto"/>
                      <w:sz w:val="21"/>
                      <w:szCs w:val="21"/>
                      <w:highlight w:val="none"/>
                      <w:u w:val="single" w:color="auto"/>
                    </w:rPr>
                  </w:pPr>
                  <w:r>
                    <w:rPr>
                      <w:color w:val="auto"/>
                      <w:sz w:val="21"/>
                      <w:szCs w:val="21"/>
                      <w:highlight w:val="none"/>
                      <w:u w:val="single" w:color="auto"/>
                    </w:rPr>
                    <w:t>X</w:t>
                  </w:r>
                </w:p>
              </w:tc>
              <w:tc>
                <w:tcPr>
                  <w:tcW w:w="523" w:type="dxa"/>
                  <w:tcBorders>
                    <w:tl2br w:val="nil"/>
                    <w:tr2bl w:val="nil"/>
                  </w:tcBorders>
                  <w:vAlign w:val="center"/>
                </w:tcPr>
                <w:p w14:paraId="5578F617">
                  <w:pPr>
                    <w:adjustRightInd w:val="0"/>
                    <w:snapToGrid w:val="0"/>
                    <w:jc w:val="center"/>
                    <w:rPr>
                      <w:color w:val="auto"/>
                      <w:sz w:val="21"/>
                      <w:szCs w:val="21"/>
                      <w:highlight w:val="none"/>
                      <w:u w:val="single" w:color="auto"/>
                    </w:rPr>
                  </w:pPr>
                  <w:r>
                    <w:rPr>
                      <w:color w:val="auto"/>
                      <w:sz w:val="21"/>
                      <w:szCs w:val="21"/>
                      <w:highlight w:val="none"/>
                      <w:u w:val="single" w:color="auto"/>
                    </w:rPr>
                    <w:t>Y</w:t>
                  </w:r>
                </w:p>
              </w:tc>
              <w:tc>
                <w:tcPr>
                  <w:tcW w:w="509" w:type="dxa"/>
                  <w:tcBorders>
                    <w:tl2br w:val="nil"/>
                    <w:tr2bl w:val="nil"/>
                  </w:tcBorders>
                  <w:vAlign w:val="center"/>
                </w:tcPr>
                <w:p w14:paraId="739E809C">
                  <w:pPr>
                    <w:adjustRightInd w:val="0"/>
                    <w:snapToGrid w:val="0"/>
                    <w:jc w:val="center"/>
                    <w:rPr>
                      <w:color w:val="auto"/>
                      <w:sz w:val="21"/>
                      <w:szCs w:val="21"/>
                      <w:highlight w:val="none"/>
                      <w:u w:val="single" w:color="auto"/>
                    </w:rPr>
                  </w:pPr>
                  <w:r>
                    <w:rPr>
                      <w:color w:val="auto"/>
                      <w:sz w:val="21"/>
                      <w:szCs w:val="21"/>
                      <w:highlight w:val="none"/>
                      <w:u w:val="single" w:color="auto"/>
                    </w:rPr>
                    <w:t>Z</w:t>
                  </w:r>
                </w:p>
              </w:tc>
              <w:tc>
                <w:tcPr>
                  <w:tcW w:w="543" w:type="dxa"/>
                  <w:vMerge w:val="continue"/>
                  <w:tcBorders>
                    <w:tl2br w:val="nil"/>
                    <w:tr2bl w:val="nil"/>
                  </w:tcBorders>
                  <w:vAlign w:val="center"/>
                </w:tcPr>
                <w:p w14:paraId="227C09B6">
                  <w:pPr>
                    <w:adjustRightInd w:val="0"/>
                    <w:snapToGrid w:val="0"/>
                    <w:jc w:val="center"/>
                    <w:rPr>
                      <w:color w:val="auto"/>
                      <w:sz w:val="21"/>
                      <w:szCs w:val="21"/>
                      <w:highlight w:val="none"/>
                      <w:u w:val="single" w:color="auto"/>
                    </w:rPr>
                  </w:pPr>
                </w:p>
              </w:tc>
              <w:tc>
                <w:tcPr>
                  <w:tcW w:w="715" w:type="dxa"/>
                  <w:vMerge w:val="continue"/>
                  <w:tcBorders>
                    <w:tl2br w:val="nil"/>
                    <w:tr2bl w:val="nil"/>
                  </w:tcBorders>
                  <w:vAlign w:val="center"/>
                </w:tcPr>
                <w:p w14:paraId="4449A25D">
                  <w:pPr>
                    <w:adjustRightInd w:val="0"/>
                    <w:snapToGrid w:val="0"/>
                    <w:jc w:val="center"/>
                    <w:rPr>
                      <w:color w:val="auto"/>
                      <w:sz w:val="21"/>
                      <w:szCs w:val="21"/>
                      <w:highlight w:val="none"/>
                      <w:u w:val="single" w:color="auto"/>
                    </w:rPr>
                  </w:pPr>
                </w:p>
              </w:tc>
              <w:tc>
                <w:tcPr>
                  <w:tcW w:w="623" w:type="dxa"/>
                  <w:vMerge w:val="continue"/>
                  <w:tcBorders>
                    <w:tl2br w:val="nil"/>
                    <w:tr2bl w:val="nil"/>
                  </w:tcBorders>
                  <w:vAlign w:val="center"/>
                </w:tcPr>
                <w:p w14:paraId="24029F3A">
                  <w:pPr>
                    <w:adjustRightInd w:val="0"/>
                    <w:snapToGrid w:val="0"/>
                    <w:jc w:val="center"/>
                    <w:rPr>
                      <w:color w:val="auto"/>
                      <w:sz w:val="21"/>
                      <w:szCs w:val="21"/>
                      <w:highlight w:val="none"/>
                      <w:u w:val="single" w:color="auto"/>
                    </w:rPr>
                  </w:pPr>
                </w:p>
              </w:tc>
              <w:tc>
                <w:tcPr>
                  <w:tcW w:w="716" w:type="dxa"/>
                  <w:vMerge w:val="continue"/>
                  <w:tcBorders>
                    <w:tl2br w:val="nil"/>
                    <w:tr2bl w:val="nil"/>
                  </w:tcBorders>
                  <w:vAlign w:val="center"/>
                </w:tcPr>
                <w:p w14:paraId="2413E36C">
                  <w:pPr>
                    <w:adjustRightInd w:val="0"/>
                    <w:snapToGrid w:val="0"/>
                    <w:jc w:val="center"/>
                    <w:rPr>
                      <w:color w:val="auto"/>
                      <w:sz w:val="21"/>
                      <w:szCs w:val="21"/>
                      <w:highlight w:val="none"/>
                      <w:u w:val="single" w:color="auto"/>
                    </w:rPr>
                  </w:pPr>
                </w:p>
              </w:tc>
              <w:tc>
                <w:tcPr>
                  <w:tcW w:w="716" w:type="dxa"/>
                  <w:tcBorders>
                    <w:tl2br w:val="nil"/>
                    <w:tr2bl w:val="nil"/>
                  </w:tcBorders>
                  <w:vAlign w:val="center"/>
                </w:tcPr>
                <w:p w14:paraId="0EB0B6BE">
                  <w:pPr>
                    <w:adjustRightInd w:val="0"/>
                    <w:snapToGrid w:val="0"/>
                    <w:jc w:val="center"/>
                    <w:rPr>
                      <w:color w:val="auto"/>
                      <w:sz w:val="21"/>
                      <w:szCs w:val="21"/>
                      <w:highlight w:val="none"/>
                      <w:u w:val="single" w:color="auto"/>
                    </w:rPr>
                  </w:pPr>
                  <w:r>
                    <w:rPr>
                      <w:color w:val="auto"/>
                      <w:sz w:val="21"/>
                      <w:szCs w:val="21"/>
                      <w:highlight w:val="none"/>
                      <w:u w:val="single" w:color="auto"/>
                    </w:rPr>
                    <w:t>声压级dB（A）</w:t>
                  </w:r>
                </w:p>
              </w:tc>
              <w:tc>
                <w:tcPr>
                  <w:tcW w:w="409" w:type="dxa"/>
                  <w:tcBorders>
                    <w:tl2br w:val="nil"/>
                    <w:tr2bl w:val="nil"/>
                  </w:tcBorders>
                  <w:vAlign w:val="center"/>
                </w:tcPr>
                <w:p w14:paraId="5801D109">
                  <w:pPr>
                    <w:adjustRightInd w:val="0"/>
                    <w:snapToGrid w:val="0"/>
                    <w:jc w:val="center"/>
                    <w:rPr>
                      <w:color w:val="auto"/>
                      <w:sz w:val="21"/>
                      <w:szCs w:val="21"/>
                      <w:highlight w:val="none"/>
                      <w:u w:val="single" w:color="auto"/>
                    </w:rPr>
                  </w:pPr>
                  <w:r>
                    <w:rPr>
                      <w:color w:val="auto"/>
                      <w:sz w:val="21"/>
                      <w:szCs w:val="21"/>
                      <w:highlight w:val="none"/>
                      <w:u w:val="single" w:color="auto"/>
                    </w:rPr>
                    <w:t>建筑物外距离m</w:t>
                  </w:r>
                </w:p>
              </w:tc>
            </w:tr>
            <w:tr w14:paraId="3DB9E7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480" w:type="dxa"/>
                  <w:tcBorders>
                    <w:tl2br w:val="nil"/>
                    <w:tr2bl w:val="nil"/>
                  </w:tcBorders>
                  <w:vAlign w:val="center"/>
                </w:tcPr>
                <w:p w14:paraId="66080ED9">
                  <w:pPr>
                    <w:adjustRightInd w:val="0"/>
                    <w:snapToGrid w:val="0"/>
                    <w:jc w:val="center"/>
                    <w:rPr>
                      <w:rFonts w:hint="eastAsia" w:eastAsia="宋体"/>
                      <w:color w:val="auto"/>
                      <w:sz w:val="21"/>
                      <w:szCs w:val="21"/>
                      <w:highlight w:val="none"/>
                      <w:u w:val="single" w:color="auto"/>
                      <w:lang w:eastAsia="zh-CN"/>
                    </w:rPr>
                  </w:pPr>
                  <w:r>
                    <w:rPr>
                      <w:rFonts w:hint="eastAsia"/>
                      <w:color w:val="auto"/>
                      <w:sz w:val="21"/>
                      <w:szCs w:val="21"/>
                      <w:highlight w:val="none"/>
                      <w:u w:val="single" w:color="auto"/>
                      <w:lang w:val="en-US" w:eastAsia="zh-CN"/>
                    </w:rPr>
                    <w:t>1</w:t>
                  </w:r>
                </w:p>
              </w:tc>
              <w:tc>
                <w:tcPr>
                  <w:tcW w:w="402" w:type="dxa"/>
                  <w:vMerge w:val="continue"/>
                  <w:tcBorders>
                    <w:tl2br w:val="nil"/>
                    <w:tr2bl w:val="nil"/>
                  </w:tcBorders>
                  <w:vAlign w:val="center"/>
                </w:tcPr>
                <w:p w14:paraId="287134CD">
                  <w:pPr>
                    <w:adjustRightInd w:val="0"/>
                    <w:snapToGrid w:val="0"/>
                    <w:jc w:val="center"/>
                    <w:rPr>
                      <w:color w:val="auto"/>
                      <w:sz w:val="21"/>
                      <w:szCs w:val="21"/>
                      <w:highlight w:val="none"/>
                      <w:u w:val="single" w:color="auto"/>
                    </w:rPr>
                  </w:pPr>
                </w:p>
              </w:tc>
              <w:tc>
                <w:tcPr>
                  <w:tcW w:w="465" w:type="dxa"/>
                  <w:tcBorders>
                    <w:tl2br w:val="nil"/>
                    <w:tr2bl w:val="nil"/>
                  </w:tcBorders>
                  <w:vAlign w:val="center"/>
                </w:tcPr>
                <w:p w14:paraId="6C87E99C">
                  <w:pPr>
                    <w:widowControl/>
                    <w:jc w:val="center"/>
                    <w:rPr>
                      <w:rFonts w:hint="eastAsia" w:eastAsia="宋体"/>
                      <w:strike w:val="0"/>
                      <w:dstrike w:val="0"/>
                      <w:color w:val="auto"/>
                      <w:sz w:val="21"/>
                      <w:szCs w:val="21"/>
                      <w:highlight w:val="none"/>
                      <w:u w:val="single" w:color="auto"/>
                      <w:lang w:eastAsia="zh-CN"/>
                    </w:rPr>
                  </w:pPr>
                  <w:r>
                    <w:rPr>
                      <w:rFonts w:hint="eastAsia"/>
                      <w:strike w:val="0"/>
                      <w:dstrike w:val="0"/>
                      <w:color w:val="auto"/>
                      <w:sz w:val="21"/>
                      <w:szCs w:val="21"/>
                      <w:highlight w:val="none"/>
                      <w:u w:val="single" w:color="auto"/>
                      <w:lang w:val="en-US" w:eastAsia="zh-CN"/>
                    </w:rPr>
                    <w:t>上料机</w:t>
                  </w:r>
                </w:p>
              </w:tc>
              <w:tc>
                <w:tcPr>
                  <w:tcW w:w="715" w:type="dxa"/>
                  <w:tcBorders>
                    <w:tl2br w:val="nil"/>
                    <w:tr2bl w:val="nil"/>
                  </w:tcBorders>
                  <w:vAlign w:val="center"/>
                </w:tcPr>
                <w:p w14:paraId="28E5C9A7">
                  <w:pPr>
                    <w:widowControl/>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70</w:t>
                  </w:r>
                </w:p>
              </w:tc>
              <w:tc>
                <w:tcPr>
                  <w:tcW w:w="584" w:type="dxa"/>
                  <w:vMerge w:val="continue"/>
                  <w:tcBorders>
                    <w:tl2br w:val="nil"/>
                    <w:tr2bl w:val="nil"/>
                  </w:tcBorders>
                  <w:vAlign w:val="center"/>
                </w:tcPr>
                <w:p w14:paraId="39D28492">
                  <w:pPr>
                    <w:adjustRightInd w:val="0"/>
                    <w:snapToGrid w:val="0"/>
                    <w:jc w:val="center"/>
                    <w:rPr>
                      <w:strike w:val="0"/>
                      <w:dstrike w:val="0"/>
                      <w:color w:val="auto"/>
                      <w:sz w:val="21"/>
                      <w:szCs w:val="21"/>
                      <w:highlight w:val="none"/>
                      <w:u w:val="single" w:color="auto"/>
                    </w:rPr>
                  </w:pPr>
                </w:p>
              </w:tc>
              <w:tc>
                <w:tcPr>
                  <w:tcW w:w="465" w:type="dxa"/>
                  <w:tcBorders>
                    <w:tl2br w:val="nil"/>
                    <w:tr2bl w:val="nil"/>
                  </w:tcBorders>
                  <w:vAlign w:val="center"/>
                </w:tcPr>
                <w:p w14:paraId="5D28F689">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38</w:t>
                  </w:r>
                </w:p>
              </w:tc>
              <w:tc>
                <w:tcPr>
                  <w:tcW w:w="523" w:type="dxa"/>
                  <w:tcBorders>
                    <w:tl2br w:val="nil"/>
                    <w:tr2bl w:val="nil"/>
                  </w:tcBorders>
                  <w:vAlign w:val="center"/>
                </w:tcPr>
                <w:p w14:paraId="5BFE04AE">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5</w:t>
                  </w:r>
                </w:p>
              </w:tc>
              <w:tc>
                <w:tcPr>
                  <w:tcW w:w="509" w:type="dxa"/>
                  <w:tcBorders>
                    <w:tl2br w:val="nil"/>
                    <w:tr2bl w:val="nil"/>
                  </w:tcBorders>
                  <w:vAlign w:val="center"/>
                </w:tcPr>
                <w:p w14:paraId="21D2F9EB">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1</w:t>
                  </w:r>
                </w:p>
              </w:tc>
              <w:tc>
                <w:tcPr>
                  <w:tcW w:w="543" w:type="dxa"/>
                  <w:tcBorders>
                    <w:tl2br w:val="nil"/>
                    <w:tr2bl w:val="nil"/>
                  </w:tcBorders>
                  <w:vAlign w:val="center"/>
                </w:tcPr>
                <w:p w14:paraId="3C8419E7">
                  <w:pPr>
                    <w:adjustRightInd w:val="0"/>
                    <w:snapToGrid w:val="0"/>
                    <w:jc w:val="center"/>
                    <w:rPr>
                      <w:rFonts w:hint="eastAsia"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1</w:t>
                  </w:r>
                </w:p>
              </w:tc>
              <w:tc>
                <w:tcPr>
                  <w:tcW w:w="715" w:type="dxa"/>
                  <w:tcBorders>
                    <w:tl2br w:val="nil"/>
                    <w:tr2bl w:val="nil"/>
                  </w:tcBorders>
                  <w:vAlign w:val="center"/>
                </w:tcPr>
                <w:p w14:paraId="46F6B4F1">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62.5</w:t>
                  </w:r>
                </w:p>
              </w:tc>
              <w:tc>
                <w:tcPr>
                  <w:tcW w:w="623" w:type="dxa"/>
                  <w:vMerge w:val="restart"/>
                  <w:tcBorders>
                    <w:tl2br w:val="nil"/>
                    <w:tr2bl w:val="nil"/>
                  </w:tcBorders>
                  <w:shd w:val="clear" w:color="auto" w:fill="auto"/>
                  <w:vAlign w:val="center"/>
                </w:tcPr>
                <w:p w14:paraId="7EF66AB9">
                  <w:pPr>
                    <w:widowControl/>
                    <w:ind w:left="-63" w:leftChars="-30" w:right="-63" w:rightChars="-30"/>
                    <w:jc w:val="center"/>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0:00-24:00</w:t>
                  </w:r>
                </w:p>
              </w:tc>
              <w:tc>
                <w:tcPr>
                  <w:tcW w:w="716" w:type="dxa"/>
                  <w:tcBorders>
                    <w:tl2br w:val="nil"/>
                    <w:tr2bl w:val="nil"/>
                  </w:tcBorders>
                  <w:vAlign w:val="center"/>
                </w:tcPr>
                <w:p w14:paraId="5C08C6DC">
                  <w:pPr>
                    <w:adjustRightInd w:val="0"/>
                    <w:snapToGrid w:val="0"/>
                    <w:jc w:val="center"/>
                    <w:rPr>
                      <w:rFonts w:hint="eastAsia" w:eastAsia="宋体"/>
                      <w:strike w:val="0"/>
                      <w:dstrike w:val="0"/>
                      <w:color w:val="auto"/>
                      <w:sz w:val="21"/>
                      <w:szCs w:val="21"/>
                      <w:highlight w:val="none"/>
                      <w:u w:val="single" w:color="auto"/>
                      <w:lang w:eastAsia="zh-CN"/>
                    </w:rPr>
                  </w:pPr>
                  <w:r>
                    <w:rPr>
                      <w:rFonts w:hint="eastAsia"/>
                      <w:strike w:val="0"/>
                      <w:dstrike w:val="0"/>
                      <w:color w:val="auto"/>
                      <w:sz w:val="21"/>
                      <w:szCs w:val="21"/>
                      <w:highlight w:val="none"/>
                      <w:u w:val="single" w:color="auto"/>
                      <w:lang w:val="en-US" w:eastAsia="zh-CN"/>
                    </w:rPr>
                    <w:t>15</w:t>
                  </w:r>
                </w:p>
              </w:tc>
              <w:tc>
                <w:tcPr>
                  <w:tcW w:w="716" w:type="dxa"/>
                  <w:tcBorders>
                    <w:tl2br w:val="nil"/>
                    <w:tr2bl w:val="nil"/>
                  </w:tcBorders>
                  <w:vAlign w:val="center"/>
                </w:tcPr>
                <w:p w14:paraId="3F746888">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52.5</w:t>
                  </w:r>
                </w:p>
              </w:tc>
              <w:tc>
                <w:tcPr>
                  <w:tcW w:w="409" w:type="dxa"/>
                  <w:tcBorders>
                    <w:tl2br w:val="nil"/>
                    <w:tr2bl w:val="nil"/>
                  </w:tcBorders>
                  <w:vAlign w:val="center"/>
                </w:tcPr>
                <w:p w14:paraId="18EE0627">
                  <w:pPr>
                    <w:adjustRightInd w:val="0"/>
                    <w:snapToGrid w:val="0"/>
                    <w:jc w:val="center"/>
                    <w:rPr>
                      <w:strike w:val="0"/>
                      <w:dstrike w:val="0"/>
                      <w:color w:val="auto"/>
                      <w:sz w:val="21"/>
                      <w:szCs w:val="21"/>
                      <w:highlight w:val="none"/>
                      <w:u w:val="single" w:color="auto"/>
                    </w:rPr>
                  </w:pPr>
                  <w:r>
                    <w:rPr>
                      <w:rFonts w:hint="eastAsia"/>
                      <w:strike w:val="0"/>
                      <w:dstrike w:val="0"/>
                      <w:color w:val="auto"/>
                      <w:sz w:val="21"/>
                      <w:szCs w:val="21"/>
                      <w:highlight w:val="none"/>
                      <w:u w:val="single" w:color="auto"/>
                    </w:rPr>
                    <w:t>1</w:t>
                  </w:r>
                </w:p>
              </w:tc>
            </w:tr>
            <w:tr w14:paraId="11D3B9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480" w:type="dxa"/>
                  <w:tcBorders>
                    <w:tl2br w:val="nil"/>
                    <w:tr2bl w:val="nil"/>
                  </w:tcBorders>
                  <w:vAlign w:val="center"/>
                </w:tcPr>
                <w:p w14:paraId="395DB518">
                  <w:pPr>
                    <w:adjustRightInd w:val="0"/>
                    <w:snapToGrid w:val="0"/>
                    <w:jc w:val="center"/>
                    <w:rPr>
                      <w:rFonts w:hint="eastAsia"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2</w:t>
                  </w:r>
                </w:p>
              </w:tc>
              <w:tc>
                <w:tcPr>
                  <w:tcW w:w="402" w:type="dxa"/>
                  <w:vMerge w:val="continue"/>
                  <w:tcBorders>
                    <w:tl2br w:val="nil"/>
                    <w:tr2bl w:val="nil"/>
                  </w:tcBorders>
                  <w:vAlign w:val="center"/>
                </w:tcPr>
                <w:p w14:paraId="4DC77E3C">
                  <w:pPr>
                    <w:adjustRightInd w:val="0"/>
                    <w:snapToGrid w:val="0"/>
                    <w:jc w:val="center"/>
                    <w:rPr>
                      <w:color w:val="auto"/>
                      <w:sz w:val="21"/>
                      <w:szCs w:val="21"/>
                      <w:highlight w:val="none"/>
                      <w:u w:val="single" w:color="auto"/>
                    </w:rPr>
                  </w:pPr>
                </w:p>
              </w:tc>
              <w:tc>
                <w:tcPr>
                  <w:tcW w:w="465" w:type="dxa"/>
                  <w:tcBorders>
                    <w:tl2br w:val="nil"/>
                    <w:tr2bl w:val="nil"/>
                  </w:tcBorders>
                  <w:vAlign w:val="center"/>
                </w:tcPr>
                <w:p w14:paraId="68222F43">
                  <w:pPr>
                    <w:widowControl/>
                    <w:jc w:val="center"/>
                    <w:rPr>
                      <w:rFonts w:hint="eastAsia"/>
                      <w:strike w:val="0"/>
                      <w:dstrike w:val="0"/>
                      <w:color w:val="auto"/>
                      <w:sz w:val="21"/>
                      <w:szCs w:val="21"/>
                      <w:highlight w:val="none"/>
                      <w:u w:val="single" w:color="auto"/>
                      <w:lang w:eastAsia="zh-CN"/>
                    </w:rPr>
                  </w:pPr>
                  <w:r>
                    <w:rPr>
                      <w:rFonts w:hint="eastAsia"/>
                      <w:strike w:val="0"/>
                      <w:dstrike w:val="0"/>
                      <w:color w:val="auto"/>
                      <w:sz w:val="21"/>
                      <w:szCs w:val="21"/>
                      <w:highlight w:val="none"/>
                      <w:u w:val="single" w:color="auto"/>
                      <w:lang w:eastAsia="zh-CN"/>
                    </w:rPr>
                    <w:t>除渣机</w:t>
                  </w:r>
                </w:p>
              </w:tc>
              <w:tc>
                <w:tcPr>
                  <w:tcW w:w="715" w:type="dxa"/>
                  <w:tcBorders>
                    <w:tl2br w:val="nil"/>
                    <w:tr2bl w:val="nil"/>
                  </w:tcBorders>
                  <w:vAlign w:val="center"/>
                </w:tcPr>
                <w:p w14:paraId="6D7FE18B">
                  <w:pPr>
                    <w:widowControl/>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70</w:t>
                  </w:r>
                </w:p>
              </w:tc>
              <w:tc>
                <w:tcPr>
                  <w:tcW w:w="584" w:type="dxa"/>
                  <w:vMerge w:val="continue"/>
                  <w:tcBorders>
                    <w:tl2br w:val="nil"/>
                    <w:tr2bl w:val="nil"/>
                  </w:tcBorders>
                  <w:vAlign w:val="center"/>
                </w:tcPr>
                <w:p w14:paraId="0DECBD4A">
                  <w:pPr>
                    <w:adjustRightInd w:val="0"/>
                    <w:snapToGrid w:val="0"/>
                    <w:jc w:val="center"/>
                    <w:rPr>
                      <w:strike w:val="0"/>
                      <w:dstrike w:val="0"/>
                      <w:color w:val="auto"/>
                      <w:sz w:val="21"/>
                      <w:szCs w:val="21"/>
                      <w:highlight w:val="none"/>
                      <w:u w:val="single" w:color="auto"/>
                    </w:rPr>
                  </w:pPr>
                </w:p>
              </w:tc>
              <w:tc>
                <w:tcPr>
                  <w:tcW w:w="465" w:type="dxa"/>
                  <w:tcBorders>
                    <w:tl2br w:val="nil"/>
                    <w:tr2bl w:val="nil"/>
                  </w:tcBorders>
                  <w:vAlign w:val="center"/>
                </w:tcPr>
                <w:p w14:paraId="3A9AF951">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35</w:t>
                  </w:r>
                </w:p>
              </w:tc>
              <w:tc>
                <w:tcPr>
                  <w:tcW w:w="523" w:type="dxa"/>
                  <w:tcBorders>
                    <w:tl2br w:val="nil"/>
                    <w:tr2bl w:val="nil"/>
                  </w:tcBorders>
                  <w:vAlign w:val="center"/>
                </w:tcPr>
                <w:p w14:paraId="64CEDE29">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6</w:t>
                  </w:r>
                </w:p>
              </w:tc>
              <w:tc>
                <w:tcPr>
                  <w:tcW w:w="509" w:type="dxa"/>
                  <w:tcBorders>
                    <w:tl2br w:val="nil"/>
                    <w:tr2bl w:val="nil"/>
                  </w:tcBorders>
                  <w:vAlign w:val="center"/>
                </w:tcPr>
                <w:p w14:paraId="404CA18D">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1</w:t>
                  </w:r>
                </w:p>
              </w:tc>
              <w:tc>
                <w:tcPr>
                  <w:tcW w:w="543" w:type="dxa"/>
                  <w:tcBorders>
                    <w:tl2br w:val="nil"/>
                    <w:tr2bl w:val="nil"/>
                  </w:tcBorders>
                  <w:vAlign w:val="center"/>
                </w:tcPr>
                <w:p w14:paraId="0B6A866F">
                  <w:pPr>
                    <w:adjustRightInd w:val="0"/>
                    <w:snapToGrid w:val="0"/>
                    <w:jc w:val="center"/>
                    <w:rPr>
                      <w:rFonts w:hint="eastAsia"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2</w:t>
                  </w:r>
                </w:p>
              </w:tc>
              <w:tc>
                <w:tcPr>
                  <w:tcW w:w="715" w:type="dxa"/>
                  <w:tcBorders>
                    <w:tl2br w:val="nil"/>
                    <w:tr2bl w:val="nil"/>
                  </w:tcBorders>
                  <w:vAlign w:val="center"/>
                </w:tcPr>
                <w:p w14:paraId="51DD6FB2">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72.5</w:t>
                  </w:r>
                </w:p>
              </w:tc>
              <w:tc>
                <w:tcPr>
                  <w:tcW w:w="623" w:type="dxa"/>
                  <w:vMerge w:val="continue"/>
                  <w:tcBorders>
                    <w:tl2br w:val="nil"/>
                    <w:tr2bl w:val="nil"/>
                  </w:tcBorders>
                  <w:vAlign w:val="center"/>
                </w:tcPr>
                <w:p w14:paraId="53A49620">
                  <w:pPr>
                    <w:adjustRightInd w:val="0"/>
                    <w:snapToGrid w:val="0"/>
                    <w:jc w:val="center"/>
                    <w:rPr>
                      <w:rFonts w:hint="default" w:eastAsia="宋体"/>
                      <w:strike w:val="0"/>
                      <w:dstrike w:val="0"/>
                      <w:color w:val="auto"/>
                      <w:sz w:val="21"/>
                      <w:szCs w:val="21"/>
                      <w:highlight w:val="none"/>
                      <w:u w:val="single" w:color="auto"/>
                      <w:lang w:val="en-US" w:eastAsia="zh-CN"/>
                    </w:rPr>
                  </w:pPr>
                </w:p>
              </w:tc>
              <w:tc>
                <w:tcPr>
                  <w:tcW w:w="716" w:type="dxa"/>
                  <w:tcBorders>
                    <w:tl2br w:val="nil"/>
                    <w:tr2bl w:val="nil"/>
                  </w:tcBorders>
                  <w:vAlign w:val="center"/>
                </w:tcPr>
                <w:p w14:paraId="7CE79C89">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15</w:t>
                  </w:r>
                </w:p>
              </w:tc>
              <w:tc>
                <w:tcPr>
                  <w:tcW w:w="716" w:type="dxa"/>
                  <w:tcBorders>
                    <w:tl2br w:val="nil"/>
                    <w:tr2bl w:val="nil"/>
                  </w:tcBorders>
                  <w:vAlign w:val="center"/>
                </w:tcPr>
                <w:p w14:paraId="0A9B5EE9">
                  <w:pPr>
                    <w:adjustRightInd w:val="0"/>
                    <w:snapToGrid w:val="0"/>
                    <w:jc w:val="center"/>
                    <w:rPr>
                      <w:rFonts w:hint="default"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62.5</w:t>
                  </w:r>
                </w:p>
              </w:tc>
              <w:tc>
                <w:tcPr>
                  <w:tcW w:w="409" w:type="dxa"/>
                  <w:tcBorders>
                    <w:tl2br w:val="nil"/>
                    <w:tr2bl w:val="nil"/>
                  </w:tcBorders>
                  <w:vAlign w:val="center"/>
                </w:tcPr>
                <w:p w14:paraId="2A25F5B4">
                  <w:pPr>
                    <w:adjustRightInd w:val="0"/>
                    <w:snapToGrid w:val="0"/>
                    <w:jc w:val="center"/>
                    <w:rPr>
                      <w:rFonts w:hint="eastAsia" w:eastAsia="宋体"/>
                      <w:strike w:val="0"/>
                      <w:dstrike w:val="0"/>
                      <w:color w:val="auto"/>
                      <w:sz w:val="21"/>
                      <w:szCs w:val="21"/>
                      <w:highlight w:val="none"/>
                      <w:u w:val="single" w:color="auto"/>
                      <w:lang w:val="en-US" w:eastAsia="zh-CN"/>
                    </w:rPr>
                  </w:pPr>
                  <w:r>
                    <w:rPr>
                      <w:rFonts w:hint="eastAsia"/>
                      <w:strike w:val="0"/>
                      <w:dstrike w:val="0"/>
                      <w:color w:val="auto"/>
                      <w:sz w:val="21"/>
                      <w:szCs w:val="21"/>
                      <w:highlight w:val="none"/>
                      <w:u w:val="single" w:color="auto"/>
                      <w:lang w:val="en-US" w:eastAsia="zh-CN"/>
                    </w:rPr>
                    <w:t>1</w:t>
                  </w:r>
                </w:p>
              </w:tc>
            </w:tr>
            <w:tr w14:paraId="6E063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7865" w:type="dxa"/>
                  <w:gridSpan w:val="14"/>
                  <w:tcBorders>
                    <w:tl2br w:val="nil"/>
                    <w:tr2bl w:val="nil"/>
                  </w:tcBorders>
                  <w:vAlign w:val="center"/>
                </w:tcPr>
                <w:p w14:paraId="1B69E662">
                  <w:pPr>
                    <w:keepNext w:val="0"/>
                    <w:keepLines w:val="0"/>
                    <w:pageBreakBefore w:val="0"/>
                    <w:widowControl w:val="0"/>
                    <w:tabs>
                      <w:tab w:val="left" w:pos="3780"/>
                    </w:tabs>
                    <w:kinsoku/>
                    <w:wordWrap/>
                    <w:overflowPunct/>
                    <w:topLinePunct w:val="0"/>
                    <w:autoSpaceDE/>
                    <w:autoSpaceDN/>
                    <w:bidi w:val="0"/>
                    <w:adjustRightInd w:val="0"/>
                    <w:snapToGrid w:val="0"/>
                    <w:spacing w:before="93" w:beforeLines="30" w:line="240" w:lineRule="auto"/>
                    <w:textAlignment w:val="auto"/>
                    <w:rPr>
                      <w:rFonts w:hint="eastAsia"/>
                      <w:b w:val="0"/>
                      <w:bCs w:val="0"/>
                      <w:color w:val="auto"/>
                      <w:sz w:val="21"/>
                      <w:szCs w:val="21"/>
                      <w:highlight w:val="none"/>
                      <w:u w:val="single" w:color="auto"/>
                    </w:rPr>
                  </w:pPr>
                  <w:r>
                    <w:rPr>
                      <w:rFonts w:hint="eastAsia"/>
                      <w:b w:val="0"/>
                      <w:bCs w:val="0"/>
                      <w:snapToGrid w:val="0"/>
                      <w:color w:val="auto"/>
                      <w:kern w:val="0"/>
                      <w:szCs w:val="21"/>
                      <w:highlight w:val="none"/>
                      <w:u w:val="single" w:color="auto"/>
                    </w:rPr>
                    <w:t>注：项目</w:t>
                  </w:r>
                  <w:r>
                    <w:rPr>
                      <w:rFonts w:hint="eastAsia"/>
                      <w:b w:val="0"/>
                      <w:bCs w:val="0"/>
                      <w:snapToGrid w:val="0"/>
                      <w:color w:val="auto"/>
                      <w:kern w:val="0"/>
                      <w:szCs w:val="21"/>
                      <w:highlight w:val="none"/>
                      <w:u w:val="single" w:color="auto"/>
                      <w:lang w:eastAsia="zh-CN"/>
                    </w:rPr>
                    <w:t>设施</w:t>
                  </w:r>
                  <w:r>
                    <w:rPr>
                      <w:rFonts w:hint="eastAsia"/>
                      <w:b w:val="0"/>
                      <w:bCs w:val="0"/>
                      <w:snapToGrid w:val="0"/>
                      <w:color w:val="auto"/>
                      <w:kern w:val="0"/>
                      <w:szCs w:val="21"/>
                      <w:highlight w:val="none"/>
                      <w:u w:val="single" w:color="auto"/>
                    </w:rPr>
                    <w:t>建设位置集中在厂区</w:t>
                  </w:r>
                  <w:r>
                    <w:rPr>
                      <w:rFonts w:hint="eastAsia"/>
                      <w:b w:val="0"/>
                      <w:bCs w:val="0"/>
                      <w:snapToGrid w:val="0"/>
                      <w:color w:val="auto"/>
                      <w:kern w:val="0"/>
                      <w:szCs w:val="21"/>
                      <w:highlight w:val="none"/>
                      <w:u w:val="single" w:color="auto"/>
                      <w:lang w:eastAsia="zh-CN"/>
                    </w:rPr>
                    <w:t>中部</w:t>
                  </w:r>
                  <w:r>
                    <w:rPr>
                      <w:rFonts w:hint="eastAsia"/>
                      <w:b w:val="0"/>
                      <w:bCs w:val="0"/>
                      <w:snapToGrid w:val="0"/>
                      <w:color w:val="auto"/>
                      <w:kern w:val="0"/>
                      <w:szCs w:val="21"/>
                      <w:highlight w:val="none"/>
                      <w:u w:val="single" w:color="auto"/>
                    </w:rPr>
                    <w:t>，则表中坐标以项目所在</w:t>
                  </w:r>
                  <w:r>
                    <w:rPr>
                      <w:rFonts w:hint="eastAsia"/>
                      <w:b w:val="0"/>
                      <w:bCs w:val="0"/>
                      <w:snapToGrid w:val="0"/>
                      <w:color w:val="auto"/>
                      <w:kern w:val="0"/>
                      <w:szCs w:val="21"/>
                      <w:highlight w:val="none"/>
                      <w:u w:val="single" w:color="auto"/>
                      <w:lang w:eastAsia="zh-CN"/>
                    </w:rPr>
                    <w:t>西南角为原点（126.18034154</w:t>
                  </w:r>
                  <w:r>
                    <w:rPr>
                      <w:rFonts w:hint="eastAsia"/>
                      <w:b w:val="0"/>
                      <w:bCs w:val="0"/>
                      <w:snapToGrid w:val="0"/>
                      <w:color w:val="auto"/>
                      <w:kern w:val="0"/>
                      <w:szCs w:val="21"/>
                      <w:highlight w:val="none"/>
                      <w:u w:val="single" w:color="auto"/>
                      <w:lang w:val="en-US" w:eastAsia="zh-CN"/>
                    </w:rPr>
                    <w:t>°</w:t>
                  </w:r>
                  <w:r>
                    <w:rPr>
                      <w:rFonts w:hint="eastAsia"/>
                      <w:b w:val="0"/>
                      <w:bCs w:val="0"/>
                      <w:snapToGrid w:val="0"/>
                      <w:color w:val="auto"/>
                      <w:kern w:val="0"/>
                      <w:szCs w:val="21"/>
                      <w:highlight w:val="none"/>
                      <w:u w:val="single" w:color="auto"/>
                    </w:rPr>
                    <w:t>，</w:t>
                  </w:r>
                  <w:r>
                    <w:rPr>
                      <w:rFonts w:hint="eastAsia"/>
                      <w:b w:val="0"/>
                      <w:bCs w:val="0"/>
                      <w:snapToGrid w:val="0"/>
                      <w:color w:val="auto"/>
                      <w:kern w:val="0"/>
                      <w:szCs w:val="21"/>
                      <w:highlight w:val="none"/>
                      <w:u w:val="single" w:color="auto"/>
                      <w:lang w:eastAsia="zh-CN"/>
                    </w:rPr>
                    <w:t>43.46416053</w:t>
                  </w:r>
                  <w:r>
                    <w:rPr>
                      <w:rFonts w:hint="eastAsia"/>
                      <w:b w:val="0"/>
                      <w:bCs w:val="0"/>
                      <w:snapToGrid w:val="0"/>
                      <w:color w:val="auto"/>
                      <w:kern w:val="0"/>
                      <w:szCs w:val="21"/>
                      <w:highlight w:val="none"/>
                      <w:u w:val="single" w:color="auto"/>
                      <w:lang w:val="en-US" w:eastAsia="zh-CN"/>
                    </w:rPr>
                    <w:t>°</w:t>
                  </w:r>
                  <w:r>
                    <w:rPr>
                      <w:rFonts w:hint="eastAsia"/>
                      <w:b w:val="0"/>
                      <w:bCs w:val="0"/>
                      <w:snapToGrid w:val="0"/>
                      <w:color w:val="auto"/>
                      <w:kern w:val="0"/>
                      <w:szCs w:val="21"/>
                      <w:highlight w:val="none"/>
                      <w:u w:val="single" w:color="auto"/>
                    </w:rPr>
                    <w:t>）为坐标原点，正东向为X轴正方向，正北向为Y轴正方向。</w:t>
                  </w:r>
                </w:p>
              </w:tc>
            </w:tr>
          </w:tbl>
          <w:p w14:paraId="2EF924E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b/>
                <w:bCs/>
                <w:color w:val="auto"/>
                <w:sz w:val="24"/>
                <w:szCs w:val="24"/>
                <w:highlight w:val="none"/>
                <w:u w:val="single" w:color="auto"/>
              </w:rPr>
            </w:pPr>
            <w:r>
              <w:rPr>
                <w:b/>
                <w:bCs/>
                <w:color w:val="auto"/>
                <w:sz w:val="24"/>
                <w:szCs w:val="24"/>
                <w:highlight w:val="none"/>
                <w:u w:val="single" w:color="auto"/>
              </w:rPr>
              <w:t>表</w:t>
            </w:r>
            <w:r>
              <w:rPr>
                <w:rFonts w:hint="eastAsia"/>
                <w:b/>
                <w:bCs/>
                <w:color w:val="auto"/>
                <w:sz w:val="24"/>
                <w:szCs w:val="24"/>
                <w:highlight w:val="none"/>
                <w:u w:val="single" w:color="auto"/>
                <w:lang w:val="en-US" w:eastAsia="zh-CN"/>
              </w:rPr>
              <w:t>4-11</w:t>
            </w:r>
            <w:r>
              <w:rPr>
                <w:rFonts w:hint="eastAsia"/>
                <w:b/>
                <w:bCs/>
                <w:color w:val="auto"/>
                <w:sz w:val="24"/>
                <w:szCs w:val="24"/>
                <w:highlight w:val="none"/>
                <w:u w:val="single" w:color="auto"/>
              </w:rPr>
              <w:t xml:space="preserve">  </w:t>
            </w:r>
            <w:r>
              <w:rPr>
                <w:b/>
                <w:bCs/>
                <w:color w:val="auto"/>
                <w:sz w:val="24"/>
                <w:szCs w:val="24"/>
                <w:highlight w:val="none"/>
                <w:u w:val="single" w:color="auto"/>
              </w:rPr>
              <w:t>主要生产设备噪声源强表</w:t>
            </w:r>
            <w:r>
              <w:rPr>
                <w:rFonts w:hint="eastAsia"/>
                <w:b/>
                <w:bCs/>
                <w:color w:val="auto"/>
                <w:sz w:val="24"/>
                <w:szCs w:val="24"/>
                <w:highlight w:val="none"/>
                <w:u w:val="single" w:color="auto"/>
              </w:rPr>
              <w:t>（室外声源）</w:t>
            </w:r>
          </w:p>
          <w:tbl>
            <w:tblPr>
              <w:tblStyle w:val="29"/>
              <w:tblW w:w="783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540"/>
              <w:gridCol w:w="669"/>
              <w:gridCol w:w="765"/>
              <w:gridCol w:w="780"/>
              <w:gridCol w:w="1022"/>
              <w:gridCol w:w="1698"/>
              <w:gridCol w:w="876"/>
            </w:tblGrid>
            <w:tr w14:paraId="2D5AC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488" w:type="dxa"/>
                  <w:vMerge w:val="restart"/>
                  <w:tcBorders>
                    <w:tl2br w:val="nil"/>
                    <w:tr2bl w:val="nil"/>
                  </w:tcBorders>
                  <w:vAlign w:val="center"/>
                </w:tcPr>
                <w:p w14:paraId="12B4E861">
                  <w:pPr>
                    <w:widowControl/>
                    <w:ind w:left="-63" w:leftChars="-30" w:right="-63" w:rightChars="-30"/>
                    <w:jc w:val="center"/>
                    <w:textAlignment w:val="center"/>
                    <w:rPr>
                      <w:b/>
                      <w:color w:val="auto"/>
                      <w:sz w:val="21"/>
                      <w:szCs w:val="21"/>
                      <w:highlight w:val="none"/>
                      <w:u w:val="single" w:color="auto"/>
                    </w:rPr>
                  </w:pPr>
                  <w:r>
                    <w:rPr>
                      <w:color w:val="auto"/>
                      <w:kern w:val="0"/>
                      <w:sz w:val="21"/>
                      <w:szCs w:val="21"/>
                      <w:highlight w:val="none"/>
                      <w:u w:val="single" w:color="auto"/>
                      <w:lang w:bidi="ar"/>
                    </w:rPr>
                    <w:t>序号</w:t>
                  </w:r>
                </w:p>
              </w:tc>
              <w:tc>
                <w:tcPr>
                  <w:tcW w:w="1540" w:type="dxa"/>
                  <w:vMerge w:val="restart"/>
                  <w:tcBorders>
                    <w:tl2br w:val="nil"/>
                    <w:tr2bl w:val="nil"/>
                  </w:tcBorders>
                  <w:vAlign w:val="center"/>
                </w:tcPr>
                <w:p w14:paraId="6490CFE4">
                  <w:pPr>
                    <w:widowControl/>
                    <w:ind w:left="-63" w:leftChars="-30" w:right="-63" w:rightChars="-30"/>
                    <w:jc w:val="center"/>
                    <w:textAlignment w:val="center"/>
                    <w:rPr>
                      <w:b/>
                      <w:color w:val="auto"/>
                      <w:sz w:val="21"/>
                      <w:szCs w:val="21"/>
                      <w:highlight w:val="none"/>
                      <w:u w:val="single" w:color="auto"/>
                    </w:rPr>
                  </w:pPr>
                  <w:r>
                    <w:rPr>
                      <w:color w:val="auto"/>
                      <w:kern w:val="0"/>
                      <w:sz w:val="21"/>
                      <w:szCs w:val="21"/>
                      <w:highlight w:val="none"/>
                      <w:u w:val="single" w:color="auto"/>
                      <w:lang w:bidi="ar"/>
                    </w:rPr>
                    <w:t>声源名称</w:t>
                  </w:r>
                </w:p>
              </w:tc>
              <w:tc>
                <w:tcPr>
                  <w:tcW w:w="2214" w:type="dxa"/>
                  <w:gridSpan w:val="3"/>
                  <w:tcBorders>
                    <w:tl2br w:val="nil"/>
                    <w:tr2bl w:val="nil"/>
                  </w:tcBorders>
                  <w:vAlign w:val="center"/>
                </w:tcPr>
                <w:p w14:paraId="527DC470">
                  <w:pPr>
                    <w:widowControl/>
                    <w:ind w:left="-63" w:leftChars="-30" w:right="-63" w:rightChars="-30"/>
                    <w:jc w:val="center"/>
                    <w:textAlignment w:val="center"/>
                    <w:rPr>
                      <w:b/>
                      <w:color w:val="auto"/>
                      <w:sz w:val="21"/>
                      <w:szCs w:val="21"/>
                      <w:highlight w:val="none"/>
                      <w:u w:val="single" w:color="auto"/>
                    </w:rPr>
                  </w:pPr>
                  <w:r>
                    <w:rPr>
                      <w:color w:val="auto"/>
                      <w:kern w:val="0"/>
                      <w:sz w:val="21"/>
                      <w:szCs w:val="21"/>
                      <w:highlight w:val="none"/>
                      <w:u w:val="single" w:color="auto"/>
                      <w:lang w:bidi="ar"/>
                    </w:rPr>
                    <w:t>空间相对位置</w:t>
                  </w:r>
                </w:p>
              </w:tc>
              <w:tc>
                <w:tcPr>
                  <w:tcW w:w="1022" w:type="dxa"/>
                  <w:vMerge w:val="restart"/>
                  <w:tcBorders>
                    <w:tl2br w:val="nil"/>
                    <w:tr2bl w:val="nil"/>
                  </w:tcBorders>
                  <w:vAlign w:val="center"/>
                </w:tcPr>
                <w:p w14:paraId="788F7148">
                  <w:pPr>
                    <w:widowControl/>
                    <w:ind w:left="-63" w:leftChars="-30" w:right="-63" w:rightChars="-30"/>
                    <w:jc w:val="center"/>
                    <w:textAlignment w:val="center"/>
                    <w:rPr>
                      <w:color w:val="auto"/>
                      <w:sz w:val="21"/>
                      <w:szCs w:val="21"/>
                      <w:highlight w:val="none"/>
                      <w:u w:val="single" w:color="auto"/>
                    </w:rPr>
                  </w:pPr>
                  <w:r>
                    <w:rPr>
                      <w:color w:val="auto"/>
                      <w:kern w:val="0"/>
                      <w:sz w:val="21"/>
                      <w:szCs w:val="21"/>
                      <w:highlight w:val="none"/>
                      <w:u w:val="single" w:color="auto"/>
                      <w:lang w:bidi="ar"/>
                    </w:rPr>
                    <w:t>声源源强dB（A）</w:t>
                  </w:r>
                </w:p>
              </w:tc>
              <w:tc>
                <w:tcPr>
                  <w:tcW w:w="1698" w:type="dxa"/>
                  <w:vMerge w:val="restart"/>
                  <w:tcBorders>
                    <w:tl2br w:val="nil"/>
                    <w:tr2bl w:val="nil"/>
                  </w:tcBorders>
                  <w:vAlign w:val="center"/>
                </w:tcPr>
                <w:p w14:paraId="697971C3">
                  <w:pPr>
                    <w:widowControl/>
                    <w:ind w:left="-63" w:leftChars="-30" w:right="-63" w:rightChars="-30"/>
                    <w:jc w:val="center"/>
                    <w:textAlignment w:val="center"/>
                    <w:rPr>
                      <w:color w:val="auto"/>
                      <w:sz w:val="21"/>
                      <w:szCs w:val="21"/>
                      <w:highlight w:val="none"/>
                      <w:u w:val="single" w:color="auto"/>
                    </w:rPr>
                  </w:pPr>
                  <w:r>
                    <w:rPr>
                      <w:color w:val="auto"/>
                      <w:kern w:val="0"/>
                      <w:sz w:val="21"/>
                      <w:szCs w:val="21"/>
                      <w:highlight w:val="none"/>
                      <w:u w:val="single" w:color="auto"/>
                      <w:lang w:bidi="ar"/>
                    </w:rPr>
                    <w:t>声源控制措施</w:t>
                  </w:r>
                </w:p>
              </w:tc>
              <w:tc>
                <w:tcPr>
                  <w:tcW w:w="876" w:type="dxa"/>
                  <w:vMerge w:val="restart"/>
                  <w:tcBorders>
                    <w:tl2br w:val="nil"/>
                    <w:tr2bl w:val="nil"/>
                  </w:tcBorders>
                  <w:vAlign w:val="center"/>
                </w:tcPr>
                <w:p w14:paraId="58F3C3C9">
                  <w:pPr>
                    <w:widowControl/>
                    <w:ind w:left="-63" w:leftChars="-30" w:right="-63" w:rightChars="-30"/>
                    <w:jc w:val="center"/>
                    <w:textAlignment w:val="center"/>
                    <w:rPr>
                      <w:color w:val="auto"/>
                      <w:sz w:val="21"/>
                      <w:szCs w:val="21"/>
                      <w:highlight w:val="none"/>
                      <w:u w:val="single" w:color="auto"/>
                    </w:rPr>
                  </w:pPr>
                  <w:r>
                    <w:rPr>
                      <w:color w:val="auto"/>
                      <w:kern w:val="0"/>
                      <w:sz w:val="21"/>
                      <w:szCs w:val="21"/>
                      <w:highlight w:val="none"/>
                      <w:u w:val="single" w:color="auto"/>
                      <w:lang w:bidi="ar"/>
                    </w:rPr>
                    <w:t>运行时段</w:t>
                  </w:r>
                </w:p>
              </w:tc>
            </w:tr>
            <w:tr w14:paraId="454AE0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488" w:type="dxa"/>
                  <w:vMerge w:val="continue"/>
                  <w:tcBorders>
                    <w:tl2br w:val="nil"/>
                    <w:tr2bl w:val="nil"/>
                  </w:tcBorders>
                </w:tcPr>
                <w:p w14:paraId="44DBE636">
                  <w:pPr>
                    <w:adjustRightInd w:val="0"/>
                    <w:snapToGrid w:val="0"/>
                    <w:spacing w:before="93" w:beforeLines="30" w:line="360" w:lineRule="auto"/>
                    <w:jc w:val="both"/>
                    <w:rPr>
                      <w:b/>
                      <w:color w:val="auto"/>
                      <w:sz w:val="21"/>
                      <w:szCs w:val="21"/>
                      <w:highlight w:val="none"/>
                      <w:u w:val="single" w:color="auto"/>
                    </w:rPr>
                  </w:pPr>
                </w:p>
              </w:tc>
              <w:tc>
                <w:tcPr>
                  <w:tcW w:w="1540" w:type="dxa"/>
                  <w:vMerge w:val="continue"/>
                  <w:tcBorders>
                    <w:tl2br w:val="nil"/>
                    <w:tr2bl w:val="nil"/>
                  </w:tcBorders>
                </w:tcPr>
                <w:p w14:paraId="32C8ECBF">
                  <w:pPr>
                    <w:adjustRightInd w:val="0"/>
                    <w:snapToGrid w:val="0"/>
                    <w:spacing w:before="93" w:beforeLines="30" w:line="360" w:lineRule="auto"/>
                    <w:jc w:val="both"/>
                    <w:rPr>
                      <w:b/>
                      <w:color w:val="auto"/>
                      <w:sz w:val="21"/>
                      <w:szCs w:val="21"/>
                      <w:highlight w:val="none"/>
                      <w:u w:val="single" w:color="auto"/>
                    </w:rPr>
                  </w:pPr>
                </w:p>
              </w:tc>
              <w:tc>
                <w:tcPr>
                  <w:tcW w:w="669" w:type="dxa"/>
                  <w:tcBorders>
                    <w:tl2br w:val="nil"/>
                    <w:tr2bl w:val="nil"/>
                  </w:tcBorders>
                  <w:vAlign w:val="center"/>
                </w:tcPr>
                <w:p w14:paraId="068F8196">
                  <w:pPr>
                    <w:widowControl/>
                    <w:ind w:left="-63" w:leftChars="-30" w:right="-63" w:rightChars="-30"/>
                    <w:jc w:val="center"/>
                    <w:textAlignment w:val="center"/>
                    <w:rPr>
                      <w:b/>
                      <w:color w:val="auto"/>
                      <w:sz w:val="21"/>
                      <w:szCs w:val="21"/>
                      <w:highlight w:val="none"/>
                      <w:u w:val="single" w:color="auto"/>
                    </w:rPr>
                  </w:pPr>
                  <w:r>
                    <w:rPr>
                      <w:color w:val="auto"/>
                      <w:kern w:val="0"/>
                      <w:sz w:val="21"/>
                      <w:szCs w:val="21"/>
                      <w:highlight w:val="none"/>
                      <w:u w:val="single" w:color="auto"/>
                      <w:lang w:bidi="ar"/>
                    </w:rPr>
                    <w:t>X</w:t>
                  </w:r>
                </w:p>
              </w:tc>
              <w:tc>
                <w:tcPr>
                  <w:tcW w:w="765" w:type="dxa"/>
                  <w:tcBorders>
                    <w:tl2br w:val="nil"/>
                    <w:tr2bl w:val="nil"/>
                  </w:tcBorders>
                  <w:vAlign w:val="center"/>
                </w:tcPr>
                <w:p w14:paraId="622129D8">
                  <w:pPr>
                    <w:widowControl/>
                    <w:ind w:left="-63" w:leftChars="-30" w:right="-63" w:rightChars="-30"/>
                    <w:jc w:val="center"/>
                    <w:textAlignment w:val="center"/>
                    <w:rPr>
                      <w:b/>
                      <w:color w:val="auto"/>
                      <w:sz w:val="21"/>
                      <w:szCs w:val="21"/>
                      <w:highlight w:val="none"/>
                      <w:u w:val="single" w:color="auto"/>
                    </w:rPr>
                  </w:pPr>
                  <w:r>
                    <w:rPr>
                      <w:color w:val="auto"/>
                      <w:kern w:val="0"/>
                      <w:sz w:val="21"/>
                      <w:szCs w:val="21"/>
                      <w:highlight w:val="none"/>
                      <w:u w:val="single" w:color="auto"/>
                      <w:lang w:bidi="ar"/>
                    </w:rPr>
                    <w:t>Y</w:t>
                  </w:r>
                </w:p>
              </w:tc>
              <w:tc>
                <w:tcPr>
                  <w:tcW w:w="780" w:type="dxa"/>
                  <w:tcBorders>
                    <w:tl2br w:val="nil"/>
                    <w:tr2bl w:val="nil"/>
                  </w:tcBorders>
                  <w:vAlign w:val="center"/>
                </w:tcPr>
                <w:p w14:paraId="0DE89AE6">
                  <w:pPr>
                    <w:widowControl/>
                    <w:ind w:left="-63" w:leftChars="-30" w:right="-63" w:rightChars="-30"/>
                    <w:jc w:val="center"/>
                    <w:textAlignment w:val="center"/>
                    <w:rPr>
                      <w:b/>
                      <w:color w:val="auto"/>
                      <w:sz w:val="21"/>
                      <w:szCs w:val="21"/>
                      <w:highlight w:val="none"/>
                      <w:u w:val="single" w:color="auto"/>
                    </w:rPr>
                  </w:pPr>
                  <w:r>
                    <w:rPr>
                      <w:color w:val="auto"/>
                      <w:kern w:val="0"/>
                      <w:sz w:val="21"/>
                      <w:szCs w:val="21"/>
                      <w:highlight w:val="none"/>
                      <w:u w:val="single" w:color="auto"/>
                      <w:lang w:bidi="ar"/>
                    </w:rPr>
                    <w:t>Z</w:t>
                  </w:r>
                </w:p>
              </w:tc>
              <w:tc>
                <w:tcPr>
                  <w:tcW w:w="1022" w:type="dxa"/>
                  <w:vMerge w:val="continue"/>
                  <w:tcBorders>
                    <w:tl2br w:val="nil"/>
                    <w:tr2bl w:val="nil"/>
                  </w:tcBorders>
                </w:tcPr>
                <w:p w14:paraId="4D3D2492">
                  <w:pPr>
                    <w:adjustRightInd w:val="0"/>
                    <w:snapToGrid w:val="0"/>
                    <w:spacing w:before="93" w:beforeLines="30" w:line="360" w:lineRule="auto"/>
                    <w:jc w:val="both"/>
                    <w:rPr>
                      <w:b/>
                      <w:color w:val="auto"/>
                      <w:sz w:val="21"/>
                      <w:szCs w:val="21"/>
                      <w:highlight w:val="none"/>
                      <w:u w:val="single" w:color="auto"/>
                    </w:rPr>
                  </w:pPr>
                </w:p>
              </w:tc>
              <w:tc>
                <w:tcPr>
                  <w:tcW w:w="1698" w:type="dxa"/>
                  <w:vMerge w:val="continue"/>
                  <w:tcBorders>
                    <w:tl2br w:val="nil"/>
                    <w:tr2bl w:val="nil"/>
                  </w:tcBorders>
                </w:tcPr>
                <w:p w14:paraId="704F8EAC">
                  <w:pPr>
                    <w:adjustRightInd w:val="0"/>
                    <w:snapToGrid w:val="0"/>
                    <w:spacing w:before="93" w:beforeLines="30" w:line="360" w:lineRule="auto"/>
                    <w:jc w:val="both"/>
                    <w:rPr>
                      <w:b/>
                      <w:color w:val="auto"/>
                      <w:sz w:val="21"/>
                      <w:szCs w:val="21"/>
                      <w:highlight w:val="none"/>
                      <w:u w:val="single" w:color="auto"/>
                    </w:rPr>
                  </w:pPr>
                </w:p>
              </w:tc>
              <w:tc>
                <w:tcPr>
                  <w:tcW w:w="876" w:type="dxa"/>
                  <w:vMerge w:val="continue"/>
                  <w:tcBorders>
                    <w:tl2br w:val="nil"/>
                    <w:tr2bl w:val="nil"/>
                  </w:tcBorders>
                </w:tcPr>
                <w:p w14:paraId="01B06E76">
                  <w:pPr>
                    <w:adjustRightInd w:val="0"/>
                    <w:snapToGrid w:val="0"/>
                    <w:spacing w:before="93" w:beforeLines="30" w:line="360" w:lineRule="auto"/>
                    <w:jc w:val="both"/>
                    <w:rPr>
                      <w:b/>
                      <w:color w:val="auto"/>
                      <w:sz w:val="21"/>
                      <w:szCs w:val="21"/>
                      <w:highlight w:val="none"/>
                      <w:u w:val="single" w:color="auto"/>
                    </w:rPr>
                  </w:pPr>
                </w:p>
              </w:tc>
            </w:tr>
            <w:tr w14:paraId="68CC13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88" w:type="dxa"/>
                  <w:tcBorders>
                    <w:tl2br w:val="nil"/>
                    <w:tr2bl w:val="nil"/>
                  </w:tcBorders>
                  <w:shd w:val="clear" w:color="auto" w:fill="auto"/>
                  <w:vAlign w:val="center"/>
                </w:tcPr>
                <w:p w14:paraId="1BF3D5AC">
                  <w:pPr>
                    <w:widowControl/>
                    <w:ind w:left="-63" w:leftChars="-30" w:right="-63" w:rightChars="-30"/>
                    <w:jc w:val="center"/>
                    <w:textAlignment w:val="center"/>
                    <w:rPr>
                      <w:rFonts w:hint="eastAsia" w:ascii="Times New Roman" w:hAnsi="Times New Roman" w:eastAsia="宋体" w:cs="Times New Roman"/>
                      <w:b/>
                      <w:color w:val="auto"/>
                      <w:kern w:val="2"/>
                      <w:sz w:val="21"/>
                      <w:szCs w:val="21"/>
                      <w:highlight w:val="none"/>
                      <w:u w:val="single" w:color="auto"/>
                      <w:lang w:val="en-US" w:eastAsia="zh-CN" w:bidi="ar-SA"/>
                    </w:rPr>
                  </w:pPr>
                  <w:r>
                    <w:rPr>
                      <w:rFonts w:hint="eastAsia"/>
                      <w:color w:val="auto"/>
                      <w:kern w:val="0"/>
                      <w:sz w:val="21"/>
                      <w:szCs w:val="21"/>
                      <w:highlight w:val="none"/>
                      <w:u w:val="single" w:color="auto"/>
                      <w:lang w:bidi="ar"/>
                    </w:rPr>
                    <w:t>1</w:t>
                  </w:r>
                </w:p>
              </w:tc>
              <w:tc>
                <w:tcPr>
                  <w:tcW w:w="1540" w:type="dxa"/>
                  <w:tcBorders>
                    <w:tl2br w:val="nil"/>
                    <w:tr2bl w:val="nil"/>
                  </w:tcBorders>
                  <w:vAlign w:val="center"/>
                </w:tcPr>
                <w:p w14:paraId="2FBAD18D">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sz w:val="21"/>
                      <w:szCs w:val="21"/>
                      <w:highlight w:val="none"/>
                      <w:u w:val="single" w:color="auto"/>
                      <w:lang w:val="en-US" w:eastAsia="zh-CN"/>
                    </w:rPr>
                  </w:pPr>
                  <w:r>
                    <w:rPr>
                      <w:rFonts w:hint="eastAsia" w:cs="Times New Roman"/>
                      <w:color w:val="auto"/>
                      <w:spacing w:val="7"/>
                      <w:sz w:val="21"/>
                      <w:szCs w:val="21"/>
                      <w:highlight w:val="none"/>
                      <w:u w:val="single" w:color="auto"/>
                      <w:lang w:val="en-US" w:eastAsia="zh-CN"/>
                    </w:rPr>
                    <w:t>鼓风机</w:t>
                  </w:r>
                </w:p>
              </w:tc>
              <w:tc>
                <w:tcPr>
                  <w:tcW w:w="669" w:type="dxa"/>
                  <w:tcBorders>
                    <w:tl2br w:val="nil"/>
                    <w:tr2bl w:val="nil"/>
                  </w:tcBorders>
                  <w:vAlign w:val="center"/>
                </w:tcPr>
                <w:p w14:paraId="6566FB14">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40</w:t>
                  </w:r>
                </w:p>
              </w:tc>
              <w:tc>
                <w:tcPr>
                  <w:tcW w:w="765" w:type="dxa"/>
                  <w:tcBorders>
                    <w:tl2br w:val="nil"/>
                    <w:tr2bl w:val="nil"/>
                  </w:tcBorders>
                  <w:vAlign w:val="center"/>
                </w:tcPr>
                <w:p w14:paraId="0DA22138">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8</w:t>
                  </w:r>
                </w:p>
              </w:tc>
              <w:tc>
                <w:tcPr>
                  <w:tcW w:w="780" w:type="dxa"/>
                  <w:tcBorders>
                    <w:tl2br w:val="nil"/>
                    <w:tr2bl w:val="nil"/>
                  </w:tcBorders>
                  <w:vAlign w:val="center"/>
                </w:tcPr>
                <w:p w14:paraId="65B475A7">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w:t>
                  </w:r>
                </w:p>
              </w:tc>
              <w:tc>
                <w:tcPr>
                  <w:tcW w:w="1022" w:type="dxa"/>
                  <w:tcBorders>
                    <w:tl2br w:val="nil"/>
                    <w:tr2bl w:val="nil"/>
                  </w:tcBorders>
                  <w:vAlign w:val="center"/>
                </w:tcPr>
                <w:p w14:paraId="5052B091">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85</w:t>
                  </w:r>
                </w:p>
              </w:tc>
              <w:tc>
                <w:tcPr>
                  <w:tcW w:w="1698" w:type="dxa"/>
                  <w:tcBorders>
                    <w:tl2br w:val="nil"/>
                    <w:tr2bl w:val="nil"/>
                  </w:tcBorders>
                  <w:vAlign w:val="center"/>
                </w:tcPr>
                <w:p w14:paraId="7A7A6A26">
                  <w:pPr>
                    <w:adjustRightInd w:val="0"/>
                    <w:snapToGrid w:val="0"/>
                    <w:jc w:val="center"/>
                    <w:rPr>
                      <w:rFonts w:hint="eastAsia"/>
                      <w:color w:val="auto"/>
                      <w:kern w:val="0"/>
                      <w:sz w:val="21"/>
                      <w:szCs w:val="21"/>
                      <w:highlight w:val="none"/>
                      <w:u w:val="single" w:color="auto"/>
                      <w:lang w:bidi="ar"/>
                    </w:rPr>
                  </w:pPr>
                  <w:r>
                    <w:rPr>
                      <w:rFonts w:hint="eastAsia"/>
                      <w:color w:val="auto"/>
                      <w:sz w:val="21"/>
                      <w:szCs w:val="21"/>
                      <w:highlight w:val="none"/>
                      <w:u w:val="single" w:color="auto"/>
                      <w:lang w:eastAsia="zh-CN"/>
                    </w:rPr>
                    <w:t>基础减振、</w:t>
                  </w:r>
                  <w:r>
                    <w:rPr>
                      <w:rFonts w:hint="eastAsia"/>
                      <w:color w:val="auto"/>
                      <w:kern w:val="0"/>
                      <w:sz w:val="21"/>
                      <w:szCs w:val="21"/>
                      <w:highlight w:val="none"/>
                      <w:u w:val="single" w:color="auto"/>
                      <w:lang w:bidi="ar"/>
                    </w:rPr>
                    <w:t>隔声罩</w:t>
                  </w:r>
                </w:p>
              </w:tc>
              <w:tc>
                <w:tcPr>
                  <w:tcW w:w="876" w:type="dxa"/>
                  <w:vMerge w:val="restart"/>
                  <w:tcBorders>
                    <w:tl2br w:val="nil"/>
                    <w:tr2bl w:val="nil"/>
                  </w:tcBorders>
                  <w:vAlign w:val="center"/>
                </w:tcPr>
                <w:p w14:paraId="28117CCE">
                  <w:pPr>
                    <w:widowControl/>
                    <w:ind w:left="-63" w:leftChars="-30" w:right="-63" w:rightChars="-30"/>
                    <w:jc w:val="center"/>
                    <w:textAlignment w:val="center"/>
                    <w:rPr>
                      <w:rFonts w:hint="default" w:eastAsia="宋体"/>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0:00-24:00</w:t>
                  </w:r>
                </w:p>
              </w:tc>
            </w:tr>
            <w:tr w14:paraId="481CAD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88" w:type="dxa"/>
                  <w:tcBorders>
                    <w:tl2br w:val="nil"/>
                    <w:tr2bl w:val="nil"/>
                  </w:tcBorders>
                  <w:shd w:val="clear" w:color="auto" w:fill="auto"/>
                  <w:vAlign w:val="center"/>
                </w:tcPr>
                <w:p w14:paraId="150EDFD8">
                  <w:pPr>
                    <w:widowControl/>
                    <w:ind w:left="-63" w:leftChars="-30" w:right="-63" w:rightChars="-30"/>
                    <w:jc w:val="center"/>
                    <w:textAlignment w:val="center"/>
                    <w:rPr>
                      <w:rFonts w:hint="eastAsia" w:ascii="Times New Roman" w:hAnsi="Times New Roman" w:eastAsia="宋体" w:cs="Times New Roman"/>
                      <w:b/>
                      <w:color w:val="auto"/>
                      <w:kern w:val="2"/>
                      <w:sz w:val="21"/>
                      <w:szCs w:val="21"/>
                      <w:highlight w:val="none"/>
                      <w:u w:val="single" w:color="auto"/>
                      <w:lang w:val="en-US" w:eastAsia="zh-CN" w:bidi="ar-SA"/>
                    </w:rPr>
                  </w:pPr>
                  <w:r>
                    <w:rPr>
                      <w:rFonts w:hint="eastAsia"/>
                      <w:color w:val="auto"/>
                      <w:kern w:val="0"/>
                      <w:sz w:val="21"/>
                      <w:szCs w:val="21"/>
                      <w:highlight w:val="none"/>
                      <w:u w:val="single" w:color="auto"/>
                      <w:lang w:bidi="ar"/>
                    </w:rPr>
                    <w:t>2</w:t>
                  </w:r>
                </w:p>
              </w:tc>
              <w:tc>
                <w:tcPr>
                  <w:tcW w:w="1540" w:type="dxa"/>
                  <w:tcBorders>
                    <w:tl2br w:val="nil"/>
                    <w:tr2bl w:val="nil"/>
                  </w:tcBorders>
                  <w:vAlign w:val="center"/>
                </w:tcPr>
                <w:p w14:paraId="20A76F1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sz w:val="21"/>
                      <w:szCs w:val="21"/>
                      <w:highlight w:val="none"/>
                      <w:u w:val="single" w:color="auto"/>
                      <w:lang w:val="en-US" w:eastAsia="zh-CN"/>
                    </w:rPr>
                  </w:pPr>
                  <w:r>
                    <w:rPr>
                      <w:rFonts w:hint="eastAsia" w:cs="Times New Roman"/>
                      <w:color w:val="auto"/>
                      <w:spacing w:val="7"/>
                      <w:sz w:val="21"/>
                      <w:szCs w:val="21"/>
                      <w:highlight w:val="none"/>
                      <w:u w:val="single" w:color="auto"/>
                      <w:lang w:val="en-US" w:eastAsia="zh-CN"/>
                    </w:rPr>
                    <w:t>引风机</w:t>
                  </w:r>
                </w:p>
              </w:tc>
              <w:tc>
                <w:tcPr>
                  <w:tcW w:w="669" w:type="dxa"/>
                  <w:tcBorders>
                    <w:tl2br w:val="nil"/>
                    <w:tr2bl w:val="nil"/>
                  </w:tcBorders>
                  <w:vAlign w:val="center"/>
                </w:tcPr>
                <w:p w14:paraId="4E6E4602">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32</w:t>
                  </w:r>
                </w:p>
              </w:tc>
              <w:tc>
                <w:tcPr>
                  <w:tcW w:w="765" w:type="dxa"/>
                  <w:tcBorders>
                    <w:tl2br w:val="nil"/>
                    <w:tr2bl w:val="nil"/>
                  </w:tcBorders>
                  <w:vAlign w:val="center"/>
                </w:tcPr>
                <w:p w14:paraId="5A229DD9">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10</w:t>
                  </w:r>
                </w:p>
              </w:tc>
              <w:tc>
                <w:tcPr>
                  <w:tcW w:w="780" w:type="dxa"/>
                  <w:tcBorders>
                    <w:tl2br w:val="nil"/>
                    <w:tr2bl w:val="nil"/>
                  </w:tcBorders>
                  <w:vAlign w:val="center"/>
                </w:tcPr>
                <w:p w14:paraId="611CAC16">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w:t>
                  </w:r>
                </w:p>
              </w:tc>
              <w:tc>
                <w:tcPr>
                  <w:tcW w:w="1022" w:type="dxa"/>
                  <w:tcBorders>
                    <w:tl2br w:val="nil"/>
                    <w:tr2bl w:val="nil"/>
                  </w:tcBorders>
                  <w:vAlign w:val="center"/>
                </w:tcPr>
                <w:p w14:paraId="7925D857">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85</w:t>
                  </w:r>
                </w:p>
              </w:tc>
              <w:tc>
                <w:tcPr>
                  <w:tcW w:w="1698" w:type="dxa"/>
                  <w:tcBorders>
                    <w:tl2br w:val="nil"/>
                    <w:tr2bl w:val="nil"/>
                  </w:tcBorders>
                  <w:vAlign w:val="center"/>
                </w:tcPr>
                <w:p w14:paraId="779890C4">
                  <w:pPr>
                    <w:adjustRightInd w:val="0"/>
                    <w:snapToGrid w:val="0"/>
                    <w:jc w:val="center"/>
                    <w:rPr>
                      <w:rFonts w:hint="eastAsia"/>
                      <w:color w:val="auto"/>
                      <w:kern w:val="0"/>
                      <w:sz w:val="21"/>
                      <w:szCs w:val="21"/>
                      <w:highlight w:val="none"/>
                      <w:u w:val="single" w:color="auto"/>
                      <w:lang w:bidi="ar"/>
                    </w:rPr>
                  </w:pPr>
                  <w:r>
                    <w:rPr>
                      <w:rFonts w:hint="eastAsia"/>
                      <w:color w:val="auto"/>
                      <w:sz w:val="21"/>
                      <w:szCs w:val="21"/>
                      <w:highlight w:val="none"/>
                      <w:u w:val="single" w:color="auto"/>
                      <w:lang w:eastAsia="zh-CN"/>
                    </w:rPr>
                    <w:t>基础减振、</w:t>
                  </w:r>
                  <w:r>
                    <w:rPr>
                      <w:rFonts w:hint="eastAsia"/>
                      <w:color w:val="auto"/>
                      <w:kern w:val="0"/>
                      <w:sz w:val="21"/>
                      <w:szCs w:val="21"/>
                      <w:highlight w:val="none"/>
                      <w:u w:val="single" w:color="auto"/>
                      <w:lang w:bidi="ar"/>
                    </w:rPr>
                    <w:t>隔声罩</w:t>
                  </w:r>
                </w:p>
              </w:tc>
              <w:tc>
                <w:tcPr>
                  <w:tcW w:w="876" w:type="dxa"/>
                  <w:vMerge w:val="continue"/>
                  <w:tcBorders>
                    <w:tl2br w:val="nil"/>
                    <w:tr2bl w:val="nil"/>
                  </w:tcBorders>
                  <w:vAlign w:val="center"/>
                </w:tcPr>
                <w:p w14:paraId="0058FCA6">
                  <w:pPr>
                    <w:widowControl/>
                    <w:ind w:left="-63" w:leftChars="-30" w:right="-63" w:rightChars="-30"/>
                    <w:jc w:val="center"/>
                    <w:textAlignment w:val="center"/>
                    <w:rPr>
                      <w:rFonts w:hint="eastAsia"/>
                      <w:color w:val="auto"/>
                      <w:kern w:val="0"/>
                      <w:sz w:val="21"/>
                      <w:szCs w:val="21"/>
                      <w:highlight w:val="none"/>
                      <w:u w:val="single" w:color="auto"/>
                      <w:lang w:val="en-US" w:eastAsia="zh-CN" w:bidi="ar"/>
                    </w:rPr>
                  </w:pPr>
                </w:p>
              </w:tc>
            </w:tr>
            <w:tr w14:paraId="33E93C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88" w:type="dxa"/>
                  <w:tcBorders>
                    <w:tl2br w:val="nil"/>
                    <w:tr2bl w:val="nil"/>
                  </w:tcBorders>
                  <w:shd w:val="clear" w:color="auto" w:fill="auto"/>
                  <w:vAlign w:val="center"/>
                </w:tcPr>
                <w:p w14:paraId="7D572D32">
                  <w:pPr>
                    <w:widowControl/>
                    <w:ind w:left="-63" w:leftChars="-30" w:right="-63" w:rightChars="-30"/>
                    <w:jc w:val="center"/>
                    <w:textAlignment w:val="center"/>
                    <w:rPr>
                      <w:rFonts w:ascii="Times New Roman" w:hAnsi="Times New Roman" w:eastAsia="宋体" w:cs="Times New Roman"/>
                      <w:b/>
                      <w:color w:val="auto"/>
                      <w:kern w:val="2"/>
                      <w:sz w:val="21"/>
                      <w:szCs w:val="21"/>
                      <w:highlight w:val="none"/>
                      <w:u w:val="single" w:color="auto"/>
                      <w:lang w:val="en-US" w:eastAsia="zh-CN" w:bidi="ar-SA"/>
                    </w:rPr>
                  </w:pPr>
                  <w:r>
                    <w:rPr>
                      <w:rFonts w:hint="eastAsia"/>
                      <w:color w:val="auto"/>
                      <w:kern w:val="0"/>
                      <w:sz w:val="21"/>
                      <w:szCs w:val="21"/>
                      <w:highlight w:val="none"/>
                      <w:u w:val="single" w:color="auto"/>
                      <w:lang w:bidi="ar"/>
                    </w:rPr>
                    <w:t>3</w:t>
                  </w:r>
                </w:p>
              </w:tc>
              <w:tc>
                <w:tcPr>
                  <w:tcW w:w="1540" w:type="dxa"/>
                  <w:tcBorders>
                    <w:tl2br w:val="nil"/>
                    <w:tr2bl w:val="nil"/>
                  </w:tcBorders>
                  <w:vAlign w:val="center"/>
                </w:tcPr>
                <w:p w14:paraId="1C0D670E">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bCs/>
                      <w:color w:val="auto"/>
                      <w:sz w:val="21"/>
                      <w:szCs w:val="21"/>
                      <w:highlight w:val="none"/>
                      <w:u w:val="single" w:color="auto"/>
                    </w:rPr>
                  </w:pPr>
                  <w:r>
                    <w:rPr>
                      <w:rFonts w:hint="default" w:ascii="Times New Roman" w:hAnsi="Times New Roman" w:eastAsia="宋体" w:cs="Times New Roman"/>
                      <w:color w:val="auto"/>
                      <w:spacing w:val="7"/>
                      <w:sz w:val="21"/>
                      <w:szCs w:val="21"/>
                      <w:highlight w:val="none"/>
                      <w:u w:val="single" w:color="auto"/>
                      <w:lang w:val="en-US" w:eastAsia="zh-CN"/>
                    </w:rPr>
                    <w:t>冷却风机</w:t>
                  </w:r>
                </w:p>
              </w:tc>
              <w:tc>
                <w:tcPr>
                  <w:tcW w:w="669" w:type="dxa"/>
                  <w:tcBorders>
                    <w:tl2br w:val="nil"/>
                    <w:tr2bl w:val="nil"/>
                  </w:tcBorders>
                  <w:vAlign w:val="center"/>
                </w:tcPr>
                <w:p w14:paraId="0A674FDE">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48</w:t>
                  </w:r>
                </w:p>
              </w:tc>
              <w:tc>
                <w:tcPr>
                  <w:tcW w:w="765" w:type="dxa"/>
                  <w:tcBorders>
                    <w:tl2br w:val="nil"/>
                    <w:tr2bl w:val="nil"/>
                  </w:tcBorders>
                  <w:vAlign w:val="center"/>
                </w:tcPr>
                <w:p w14:paraId="0A633EDC">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15</w:t>
                  </w:r>
                </w:p>
              </w:tc>
              <w:tc>
                <w:tcPr>
                  <w:tcW w:w="780" w:type="dxa"/>
                  <w:tcBorders>
                    <w:tl2br w:val="nil"/>
                    <w:tr2bl w:val="nil"/>
                  </w:tcBorders>
                  <w:vAlign w:val="center"/>
                </w:tcPr>
                <w:p w14:paraId="1D78AC49">
                  <w:pPr>
                    <w:jc w:val="center"/>
                    <w:rPr>
                      <w:rFonts w:hint="default" w:eastAsia="宋体"/>
                      <w:color w:val="auto"/>
                      <w:sz w:val="21"/>
                      <w:szCs w:val="21"/>
                      <w:highlight w:val="none"/>
                      <w:u w:val="single" w:color="auto"/>
                      <w:lang w:val="en-US" w:eastAsia="zh-CN"/>
                    </w:rPr>
                  </w:pPr>
                  <w:r>
                    <w:rPr>
                      <w:rFonts w:hint="eastAsia" w:eastAsia="宋体"/>
                      <w:color w:val="auto"/>
                      <w:sz w:val="21"/>
                      <w:szCs w:val="21"/>
                      <w:highlight w:val="none"/>
                      <w:u w:val="single" w:color="auto"/>
                      <w:lang w:val="en-US" w:eastAsia="zh-CN"/>
                    </w:rPr>
                    <w:t>0.5</w:t>
                  </w:r>
                </w:p>
              </w:tc>
              <w:tc>
                <w:tcPr>
                  <w:tcW w:w="1022" w:type="dxa"/>
                  <w:tcBorders>
                    <w:tl2br w:val="nil"/>
                    <w:tr2bl w:val="nil"/>
                  </w:tcBorders>
                  <w:vAlign w:val="center"/>
                </w:tcPr>
                <w:p w14:paraId="2BFA3CDF">
                  <w:pPr>
                    <w:jc w:val="center"/>
                    <w:rPr>
                      <w:rFonts w:hint="default" w:eastAsia="宋体"/>
                      <w:bCs/>
                      <w:color w:val="auto"/>
                      <w:sz w:val="21"/>
                      <w:szCs w:val="21"/>
                      <w:highlight w:val="none"/>
                      <w:u w:val="single" w:color="auto"/>
                      <w:lang w:val="en-US" w:eastAsia="zh-CN"/>
                    </w:rPr>
                  </w:pPr>
                  <w:r>
                    <w:rPr>
                      <w:rFonts w:hint="eastAsia"/>
                      <w:color w:val="auto"/>
                      <w:sz w:val="21"/>
                      <w:szCs w:val="21"/>
                      <w:highlight w:val="none"/>
                      <w:u w:val="single" w:color="auto"/>
                      <w:lang w:val="en-US" w:eastAsia="zh-CN"/>
                    </w:rPr>
                    <w:t>85</w:t>
                  </w:r>
                </w:p>
              </w:tc>
              <w:tc>
                <w:tcPr>
                  <w:tcW w:w="1698" w:type="dxa"/>
                  <w:tcBorders>
                    <w:tl2br w:val="nil"/>
                    <w:tr2bl w:val="nil"/>
                  </w:tcBorders>
                  <w:vAlign w:val="center"/>
                </w:tcPr>
                <w:p w14:paraId="09F0520F">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r>
                    <w:rPr>
                      <w:rFonts w:hint="eastAsia"/>
                      <w:color w:val="auto"/>
                      <w:kern w:val="0"/>
                      <w:sz w:val="21"/>
                      <w:szCs w:val="21"/>
                      <w:highlight w:val="none"/>
                      <w:u w:val="single" w:color="auto"/>
                      <w:lang w:eastAsia="zh-CN" w:bidi="ar"/>
                    </w:rPr>
                    <w:t>、</w:t>
                  </w:r>
                  <w:r>
                    <w:rPr>
                      <w:rFonts w:hint="eastAsia"/>
                      <w:color w:val="auto"/>
                      <w:kern w:val="0"/>
                      <w:sz w:val="21"/>
                      <w:szCs w:val="21"/>
                      <w:highlight w:val="none"/>
                      <w:u w:val="single" w:color="auto"/>
                      <w:lang w:bidi="ar"/>
                    </w:rPr>
                    <w:t>隔声罩</w:t>
                  </w:r>
                </w:p>
              </w:tc>
              <w:tc>
                <w:tcPr>
                  <w:tcW w:w="876" w:type="dxa"/>
                  <w:vMerge w:val="continue"/>
                  <w:tcBorders>
                    <w:tl2br w:val="nil"/>
                    <w:tr2bl w:val="nil"/>
                  </w:tcBorders>
                  <w:vAlign w:val="center"/>
                </w:tcPr>
                <w:p w14:paraId="09E17DDD">
                  <w:pPr>
                    <w:widowControl/>
                    <w:ind w:left="-63" w:leftChars="-30" w:right="-63" w:rightChars="-30"/>
                    <w:jc w:val="center"/>
                    <w:textAlignment w:val="center"/>
                    <w:rPr>
                      <w:rFonts w:hint="default" w:eastAsia="宋体"/>
                      <w:color w:val="auto"/>
                      <w:kern w:val="0"/>
                      <w:sz w:val="21"/>
                      <w:szCs w:val="21"/>
                      <w:highlight w:val="none"/>
                      <w:u w:val="single" w:color="auto"/>
                      <w:lang w:val="en-US" w:eastAsia="zh-CN" w:bidi="ar"/>
                    </w:rPr>
                  </w:pPr>
                </w:p>
              </w:tc>
            </w:tr>
            <w:tr w14:paraId="29F61B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88" w:type="dxa"/>
                  <w:tcBorders>
                    <w:tl2br w:val="nil"/>
                    <w:tr2bl w:val="nil"/>
                  </w:tcBorders>
                  <w:shd w:val="clear" w:color="auto" w:fill="auto"/>
                  <w:vAlign w:val="center"/>
                </w:tcPr>
                <w:p w14:paraId="247925AC">
                  <w:pPr>
                    <w:widowControl/>
                    <w:ind w:left="-63" w:leftChars="-30" w:right="-63" w:rightChars="-30"/>
                    <w:jc w:val="center"/>
                    <w:textAlignment w:val="center"/>
                    <w:rPr>
                      <w:rFonts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bidi="ar"/>
                    </w:rPr>
                    <w:t>4</w:t>
                  </w:r>
                </w:p>
              </w:tc>
              <w:tc>
                <w:tcPr>
                  <w:tcW w:w="1540" w:type="dxa"/>
                  <w:tcBorders>
                    <w:tl2br w:val="nil"/>
                    <w:tr2bl w:val="nil"/>
                  </w:tcBorders>
                  <w:vAlign w:val="center"/>
                </w:tcPr>
                <w:p w14:paraId="6BEDABBF">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eastAsia="宋体"/>
                      <w:bCs/>
                      <w:color w:val="auto"/>
                      <w:sz w:val="21"/>
                      <w:szCs w:val="21"/>
                      <w:highlight w:val="none"/>
                      <w:u w:val="single" w:color="auto"/>
                      <w:lang w:eastAsia="zh-CN"/>
                    </w:rPr>
                  </w:pPr>
                  <w:r>
                    <w:rPr>
                      <w:rFonts w:hint="default" w:ascii="Times New Roman" w:hAnsi="Times New Roman" w:eastAsia="宋体" w:cs="Times New Roman"/>
                      <w:color w:val="auto"/>
                      <w:spacing w:val="7"/>
                      <w:sz w:val="21"/>
                      <w:szCs w:val="21"/>
                      <w:highlight w:val="none"/>
                      <w:u w:val="single" w:color="auto"/>
                      <w:lang w:val="en-US" w:eastAsia="zh-CN"/>
                    </w:rPr>
                    <w:t>冷却风机</w:t>
                  </w:r>
                </w:p>
              </w:tc>
              <w:tc>
                <w:tcPr>
                  <w:tcW w:w="669" w:type="dxa"/>
                  <w:tcBorders>
                    <w:tl2br w:val="nil"/>
                    <w:tr2bl w:val="nil"/>
                  </w:tcBorders>
                  <w:vAlign w:val="center"/>
                </w:tcPr>
                <w:p w14:paraId="2A80067E">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49</w:t>
                  </w:r>
                </w:p>
              </w:tc>
              <w:tc>
                <w:tcPr>
                  <w:tcW w:w="765" w:type="dxa"/>
                  <w:tcBorders>
                    <w:tl2br w:val="nil"/>
                    <w:tr2bl w:val="nil"/>
                  </w:tcBorders>
                  <w:vAlign w:val="center"/>
                </w:tcPr>
                <w:p w14:paraId="385DD2C1">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12</w:t>
                  </w:r>
                </w:p>
              </w:tc>
              <w:tc>
                <w:tcPr>
                  <w:tcW w:w="780" w:type="dxa"/>
                  <w:tcBorders>
                    <w:tl2br w:val="nil"/>
                    <w:tr2bl w:val="nil"/>
                  </w:tcBorders>
                  <w:vAlign w:val="center"/>
                </w:tcPr>
                <w:p w14:paraId="3E5365EB">
                  <w:pPr>
                    <w:jc w:val="center"/>
                    <w:rPr>
                      <w:rFonts w:hint="eastAsia" w:eastAsia="宋体"/>
                      <w:color w:val="auto"/>
                      <w:sz w:val="21"/>
                      <w:szCs w:val="21"/>
                      <w:highlight w:val="none"/>
                      <w:u w:val="single" w:color="auto"/>
                      <w:lang w:val="en-US" w:eastAsia="zh-CN"/>
                    </w:rPr>
                  </w:pPr>
                  <w:r>
                    <w:rPr>
                      <w:rFonts w:hint="eastAsia" w:eastAsia="宋体"/>
                      <w:color w:val="auto"/>
                      <w:sz w:val="21"/>
                      <w:szCs w:val="21"/>
                      <w:highlight w:val="none"/>
                      <w:u w:val="single" w:color="auto"/>
                      <w:lang w:val="en-US" w:eastAsia="zh-CN"/>
                    </w:rPr>
                    <w:t>1</w:t>
                  </w:r>
                </w:p>
              </w:tc>
              <w:tc>
                <w:tcPr>
                  <w:tcW w:w="1022" w:type="dxa"/>
                  <w:tcBorders>
                    <w:tl2br w:val="nil"/>
                    <w:tr2bl w:val="nil"/>
                  </w:tcBorders>
                  <w:vAlign w:val="center"/>
                </w:tcPr>
                <w:p w14:paraId="58A23037">
                  <w:pPr>
                    <w:jc w:val="center"/>
                    <w:rPr>
                      <w:rFonts w:hint="default" w:eastAsia="宋体"/>
                      <w:b w:val="0"/>
                      <w:bCs/>
                      <w:color w:val="auto"/>
                      <w:sz w:val="21"/>
                      <w:szCs w:val="21"/>
                      <w:highlight w:val="none"/>
                      <w:u w:val="single" w:color="auto"/>
                      <w:lang w:val="en-US" w:eastAsia="zh-CN"/>
                    </w:rPr>
                  </w:pPr>
                  <w:r>
                    <w:rPr>
                      <w:rFonts w:hint="eastAsia"/>
                      <w:color w:val="auto"/>
                      <w:sz w:val="21"/>
                      <w:szCs w:val="21"/>
                      <w:highlight w:val="none"/>
                      <w:u w:val="single" w:color="auto"/>
                      <w:lang w:val="en-US" w:eastAsia="zh-CN"/>
                    </w:rPr>
                    <w:t>85</w:t>
                  </w:r>
                </w:p>
              </w:tc>
              <w:tc>
                <w:tcPr>
                  <w:tcW w:w="1698" w:type="dxa"/>
                  <w:tcBorders>
                    <w:tl2br w:val="nil"/>
                    <w:tr2bl w:val="nil"/>
                  </w:tcBorders>
                  <w:vAlign w:val="center"/>
                </w:tcPr>
                <w:p w14:paraId="384EC03E">
                  <w:pPr>
                    <w:widowControl/>
                    <w:ind w:left="-63" w:leftChars="-30" w:right="-63" w:rightChars="-30"/>
                    <w:jc w:val="center"/>
                    <w:textAlignment w:val="center"/>
                    <w:rPr>
                      <w:b/>
                      <w:color w:val="auto"/>
                      <w:sz w:val="21"/>
                      <w:szCs w:val="21"/>
                      <w:highlight w:val="none"/>
                      <w:u w:val="single" w:color="auto"/>
                    </w:rPr>
                  </w:pPr>
                  <w:r>
                    <w:rPr>
                      <w:rFonts w:hint="eastAsia"/>
                      <w:color w:val="auto"/>
                      <w:kern w:val="0"/>
                      <w:sz w:val="21"/>
                      <w:szCs w:val="21"/>
                      <w:highlight w:val="none"/>
                      <w:u w:val="single" w:color="auto"/>
                      <w:lang w:bidi="ar"/>
                    </w:rPr>
                    <w:t>基础减振</w:t>
                  </w:r>
                  <w:r>
                    <w:rPr>
                      <w:rFonts w:hint="eastAsia"/>
                      <w:color w:val="auto"/>
                      <w:kern w:val="0"/>
                      <w:sz w:val="21"/>
                      <w:szCs w:val="21"/>
                      <w:highlight w:val="none"/>
                      <w:u w:val="single" w:color="auto"/>
                      <w:lang w:eastAsia="zh-CN" w:bidi="ar"/>
                    </w:rPr>
                    <w:t>、</w:t>
                  </w:r>
                  <w:r>
                    <w:rPr>
                      <w:rFonts w:hint="eastAsia"/>
                      <w:color w:val="auto"/>
                      <w:kern w:val="0"/>
                      <w:sz w:val="21"/>
                      <w:szCs w:val="21"/>
                      <w:highlight w:val="none"/>
                      <w:u w:val="single" w:color="auto"/>
                      <w:lang w:bidi="ar"/>
                    </w:rPr>
                    <w:t>隔声罩</w:t>
                  </w:r>
                </w:p>
              </w:tc>
              <w:tc>
                <w:tcPr>
                  <w:tcW w:w="876" w:type="dxa"/>
                  <w:vMerge w:val="continue"/>
                  <w:tcBorders>
                    <w:tl2br w:val="nil"/>
                    <w:tr2bl w:val="nil"/>
                  </w:tcBorders>
                  <w:vAlign w:val="center"/>
                </w:tcPr>
                <w:p w14:paraId="5C431F2B">
                  <w:pPr>
                    <w:widowControl/>
                    <w:ind w:left="-63" w:leftChars="-30" w:right="-63" w:rightChars="-30"/>
                    <w:jc w:val="center"/>
                    <w:textAlignment w:val="center"/>
                    <w:rPr>
                      <w:b/>
                      <w:color w:val="auto"/>
                      <w:sz w:val="21"/>
                      <w:szCs w:val="21"/>
                      <w:highlight w:val="none"/>
                      <w:u w:val="single" w:color="auto"/>
                    </w:rPr>
                  </w:pPr>
                </w:p>
              </w:tc>
            </w:tr>
            <w:tr w14:paraId="79FCEB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88" w:type="dxa"/>
                  <w:tcBorders>
                    <w:tl2br w:val="nil"/>
                    <w:tr2bl w:val="nil"/>
                  </w:tcBorders>
                  <w:shd w:val="clear" w:color="auto" w:fill="auto"/>
                  <w:vAlign w:val="center"/>
                </w:tcPr>
                <w:p w14:paraId="1670AB88">
                  <w:pPr>
                    <w:widowControl/>
                    <w:ind w:left="-63" w:leftChars="-30" w:right="-63" w:rightChars="-30"/>
                    <w:jc w:val="center"/>
                    <w:textAlignment w:val="center"/>
                    <w:rPr>
                      <w:rFonts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bidi="ar"/>
                    </w:rPr>
                    <w:t>5</w:t>
                  </w:r>
                </w:p>
              </w:tc>
              <w:tc>
                <w:tcPr>
                  <w:tcW w:w="1540" w:type="dxa"/>
                  <w:tcBorders>
                    <w:tl2br w:val="nil"/>
                    <w:tr2bl w:val="nil"/>
                  </w:tcBorders>
                  <w:vAlign w:val="center"/>
                </w:tcPr>
                <w:p w14:paraId="523AB97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eastAsia="宋体"/>
                      <w:bCs/>
                      <w:color w:val="auto"/>
                      <w:sz w:val="21"/>
                      <w:szCs w:val="21"/>
                      <w:highlight w:val="none"/>
                      <w:u w:val="single" w:color="auto"/>
                      <w:lang w:val="en-US" w:eastAsia="zh-CN"/>
                    </w:rPr>
                  </w:pPr>
                  <w:r>
                    <w:rPr>
                      <w:rFonts w:hint="default" w:ascii="Times New Roman" w:hAnsi="Times New Roman" w:eastAsia="宋体" w:cs="Times New Roman"/>
                      <w:color w:val="auto"/>
                      <w:spacing w:val="7"/>
                      <w:sz w:val="21"/>
                      <w:szCs w:val="21"/>
                      <w:highlight w:val="none"/>
                      <w:u w:val="single" w:color="auto"/>
                      <w:lang w:val="en-US" w:eastAsia="zh-CN"/>
                    </w:rPr>
                    <w:t>热</w:t>
                  </w:r>
                  <w:r>
                    <w:rPr>
                      <w:rFonts w:hint="default" w:ascii="Times New Roman" w:hAnsi="Times New Roman" w:eastAsia="宋体" w:cs="Times New Roman"/>
                      <w:color w:val="auto"/>
                      <w:spacing w:val="7"/>
                      <w:sz w:val="21"/>
                      <w:szCs w:val="21"/>
                      <w:highlight w:val="none"/>
                      <w:u w:val="single" w:color="auto"/>
                    </w:rPr>
                    <w:t>风机</w:t>
                  </w:r>
                </w:p>
              </w:tc>
              <w:tc>
                <w:tcPr>
                  <w:tcW w:w="669" w:type="dxa"/>
                  <w:tcBorders>
                    <w:tl2br w:val="nil"/>
                    <w:tr2bl w:val="nil"/>
                  </w:tcBorders>
                  <w:vAlign w:val="center"/>
                </w:tcPr>
                <w:p w14:paraId="6C5F710E">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42</w:t>
                  </w:r>
                </w:p>
              </w:tc>
              <w:tc>
                <w:tcPr>
                  <w:tcW w:w="765" w:type="dxa"/>
                  <w:tcBorders>
                    <w:tl2br w:val="nil"/>
                    <w:tr2bl w:val="nil"/>
                  </w:tcBorders>
                  <w:vAlign w:val="center"/>
                </w:tcPr>
                <w:p w14:paraId="0222B68B">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10</w:t>
                  </w:r>
                </w:p>
              </w:tc>
              <w:tc>
                <w:tcPr>
                  <w:tcW w:w="780" w:type="dxa"/>
                  <w:tcBorders>
                    <w:tl2br w:val="nil"/>
                    <w:tr2bl w:val="nil"/>
                  </w:tcBorders>
                  <w:vAlign w:val="center"/>
                </w:tcPr>
                <w:p w14:paraId="470AB393">
                  <w:pPr>
                    <w:jc w:val="center"/>
                    <w:rPr>
                      <w:rFonts w:hint="eastAsia" w:eastAsia="宋体"/>
                      <w:color w:val="auto"/>
                      <w:sz w:val="21"/>
                      <w:szCs w:val="21"/>
                      <w:highlight w:val="none"/>
                      <w:u w:val="single" w:color="auto"/>
                      <w:lang w:val="en-US" w:eastAsia="zh-CN"/>
                    </w:rPr>
                  </w:pPr>
                  <w:r>
                    <w:rPr>
                      <w:rFonts w:hint="eastAsia" w:eastAsia="宋体"/>
                      <w:color w:val="auto"/>
                      <w:sz w:val="21"/>
                      <w:szCs w:val="21"/>
                      <w:highlight w:val="none"/>
                      <w:u w:val="single" w:color="auto"/>
                      <w:lang w:val="en-US" w:eastAsia="zh-CN"/>
                    </w:rPr>
                    <w:t>1</w:t>
                  </w:r>
                </w:p>
              </w:tc>
              <w:tc>
                <w:tcPr>
                  <w:tcW w:w="1022" w:type="dxa"/>
                  <w:tcBorders>
                    <w:tl2br w:val="nil"/>
                    <w:tr2bl w:val="nil"/>
                  </w:tcBorders>
                  <w:vAlign w:val="center"/>
                </w:tcPr>
                <w:p w14:paraId="39EF3E32">
                  <w:pPr>
                    <w:jc w:val="center"/>
                    <w:rPr>
                      <w:rFonts w:hint="default" w:eastAsia="宋体"/>
                      <w:b w:val="0"/>
                      <w:bCs/>
                      <w:color w:val="auto"/>
                      <w:sz w:val="21"/>
                      <w:szCs w:val="21"/>
                      <w:highlight w:val="none"/>
                      <w:u w:val="single" w:color="auto"/>
                      <w:lang w:val="en-US" w:eastAsia="zh-CN"/>
                    </w:rPr>
                  </w:pPr>
                  <w:r>
                    <w:rPr>
                      <w:rFonts w:hint="eastAsia"/>
                      <w:color w:val="auto"/>
                      <w:sz w:val="21"/>
                      <w:szCs w:val="21"/>
                      <w:highlight w:val="none"/>
                      <w:u w:val="single" w:color="auto"/>
                      <w:lang w:val="en-US" w:eastAsia="zh-CN"/>
                    </w:rPr>
                    <w:t>85</w:t>
                  </w:r>
                </w:p>
              </w:tc>
              <w:tc>
                <w:tcPr>
                  <w:tcW w:w="1698" w:type="dxa"/>
                  <w:tcBorders>
                    <w:tl2br w:val="nil"/>
                    <w:tr2bl w:val="nil"/>
                  </w:tcBorders>
                  <w:vAlign w:val="center"/>
                </w:tcPr>
                <w:p w14:paraId="77A6A5A6">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r>
                    <w:rPr>
                      <w:rFonts w:hint="eastAsia"/>
                      <w:color w:val="auto"/>
                      <w:kern w:val="0"/>
                      <w:sz w:val="21"/>
                      <w:szCs w:val="21"/>
                      <w:highlight w:val="none"/>
                      <w:u w:val="single" w:color="auto"/>
                      <w:lang w:eastAsia="zh-CN" w:bidi="ar"/>
                    </w:rPr>
                    <w:t>、</w:t>
                  </w:r>
                  <w:r>
                    <w:rPr>
                      <w:rFonts w:hint="eastAsia"/>
                      <w:color w:val="auto"/>
                      <w:kern w:val="0"/>
                      <w:sz w:val="21"/>
                      <w:szCs w:val="21"/>
                      <w:highlight w:val="none"/>
                      <w:u w:val="single" w:color="auto"/>
                      <w:lang w:bidi="ar"/>
                    </w:rPr>
                    <w:t>隔声罩</w:t>
                  </w:r>
                </w:p>
              </w:tc>
              <w:tc>
                <w:tcPr>
                  <w:tcW w:w="876" w:type="dxa"/>
                  <w:vMerge w:val="continue"/>
                  <w:tcBorders>
                    <w:tl2br w:val="nil"/>
                    <w:tr2bl w:val="nil"/>
                  </w:tcBorders>
                  <w:vAlign w:val="center"/>
                </w:tcPr>
                <w:p w14:paraId="26AD3CB6">
                  <w:pPr>
                    <w:widowControl/>
                    <w:ind w:left="-63" w:leftChars="-30" w:right="-63" w:rightChars="-30"/>
                    <w:jc w:val="center"/>
                    <w:textAlignment w:val="center"/>
                    <w:rPr>
                      <w:color w:val="auto"/>
                      <w:kern w:val="0"/>
                      <w:sz w:val="21"/>
                      <w:szCs w:val="21"/>
                      <w:highlight w:val="none"/>
                      <w:u w:val="single" w:color="auto"/>
                      <w:lang w:bidi="ar"/>
                    </w:rPr>
                  </w:pPr>
                </w:p>
              </w:tc>
            </w:tr>
            <w:tr w14:paraId="4C5152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88" w:type="dxa"/>
                  <w:tcBorders>
                    <w:tl2br w:val="nil"/>
                    <w:tr2bl w:val="nil"/>
                  </w:tcBorders>
                  <w:shd w:val="clear" w:color="auto" w:fill="auto"/>
                  <w:vAlign w:val="center"/>
                </w:tcPr>
                <w:p w14:paraId="2354D83C">
                  <w:pPr>
                    <w:widowControl/>
                    <w:ind w:left="-63" w:leftChars="-30" w:right="-63" w:rightChars="-30"/>
                    <w:jc w:val="center"/>
                    <w:textAlignment w:val="center"/>
                    <w:rPr>
                      <w:rFonts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bidi="ar"/>
                    </w:rPr>
                    <w:t>6</w:t>
                  </w:r>
                </w:p>
              </w:tc>
              <w:tc>
                <w:tcPr>
                  <w:tcW w:w="1540" w:type="dxa"/>
                  <w:tcBorders>
                    <w:tl2br w:val="nil"/>
                    <w:tr2bl w:val="nil"/>
                  </w:tcBorders>
                  <w:vAlign w:val="center"/>
                </w:tcPr>
                <w:p w14:paraId="5C758E4B">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eastAsia="宋体"/>
                      <w:b/>
                      <w:color w:val="auto"/>
                      <w:sz w:val="21"/>
                      <w:szCs w:val="21"/>
                      <w:highlight w:val="none"/>
                      <w:u w:val="single" w:color="auto"/>
                      <w:lang w:val="en-US" w:eastAsia="zh-CN"/>
                    </w:rPr>
                  </w:pPr>
                  <w:r>
                    <w:rPr>
                      <w:rFonts w:hint="default" w:ascii="Times New Roman" w:hAnsi="Times New Roman" w:eastAsia="宋体" w:cs="Times New Roman"/>
                      <w:color w:val="auto"/>
                      <w:spacing w:val="7"/>
                      <w:sz w:val="21"/>
                      <w:szCs w:val="21"/>
                      <w:highlight w:val="none"/>
                      <w:u w:val="single" w:color="auto"/>
                      <w:lang w:val="en-US" w:eastAsia="zh-CN"/>
                    </w:rPr>
                    <w:t>热</w:t>
                  </w:r>
                  <w:r>
                    <w:rPr>
                      <w:rFonts w:hint="default" w:ascii="Times New Roman" w:hAnsi="Times New Roman" w:eastAsia="宋体" w:cs="Times New Roman"/>
                      <w:color w:val="auto"/>
                      <w:spacing w:val="7"/>
                      <w:sz w:val="21"/>
                      <w:szCs w:val="21"/>
                      <w:highlight w:val="none"/>
                      <w:u w:val="single" w:color="auto"/>
                    </w:rPr>
                    <w:t>风机</w:t>
                  </w:r>
                </w:p>
              </w:tc>
              <w:tc>
                <w:tcPr>
                  <w:tcW w:w="669" w:type="dxa"/>
                  <w:tcBorders>
                    <w:tl2br w:val="nil"/>
                    <w:tr2bl w:val="nil"/>
                  </w:tcBorders>
                  <w:vAlign w:val="center"/>
                </w:tcPr>
                <w:p w14:paraId="088BFE15">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42</w:t>
                  </w:r>
                </w:p>
              </w:tc>
              <w:tc>
                <w:tcPr>
                  <w:tcW w:w="765" w:type="dxa"/>
                  <w:tcBorders>
                    <w:tl2br w:val="nil"/>
                    <w:tr2bl w:val="nil"/>
                  </w:tcBorders>
                  <w:vAlign w:val="center"/>
                </w:tcPr>
                <w:p w14:paraId="51FD6B02">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8</w:t>
                  </w:r>
                </w:p>
              </w:tc>
              <w:tc>
                <w:tcPr>
                  <w:tcW w:w="780" w:type="dxa"/>
                  <w:tcBorders>
                    <w:tl2br w:val="nil"/>
                    <w:tr2bl w:val="nil"/>
                  </w:tcBorders>
                  <w:vAlign w:val="center"/>
                </w:tcPr>
                <w:p w14:paraId="73898B22">
                  <w:pPr>
                    <w:jc w:val="center"/>
                    <w:rPr>
                      <w:rFonts w:hint="default" w:eastAsia="宋体"/>
                      <w:color w:val="auto"/>
                      <w:sz w:val="21"/>
                      <w:szCs w:val="21"/>
                      <w:highlight w:val="none"/>
                      <w:u w:val="single" w:color="auto"/>
                      <w:lang w:val="en-US" w:eastAsia="zh-CN"/>
                    </w:rPr>
                  </w:pPr>
                  <w:r>
                    <w:rPr>
                      <w:rFonts w:hint="eastAsia" w:eastAsia="宋体"/>
                      <w:color w:val="auto"/>
                      <w:sz w:val="21"/>
                      <w:szCs w:val="21"/>
                      <w:highlight w:val="none"/>
                      <w:u w:val="single" w:color="auto"/>
                      <w:lang w:val="en-US" w:eastAsia="zh-CN"/>
                    </w:rPr>
                    <w:t>1</w:t>
                  </w:r>
                </w:p>
              </w:tc>
              <w:tc>
                <w:tcPr>
                  <w:tcW w:w="1022" w:type="dxa"/>
                  <w:tcBorders>
                    <w:tl2br w:val="nil"/>
                    <w:tr2bl w:val="nil"/>
                  </w:tcBorders>
                  <w:vAlign w:val="center"/>
                </w:tcPr>
                <w:p w14:paraId="0F7474DD">
                  <w:pPr>
                    <w:jc w:val="center"/>
                    <w:rPr>
                      <w:rFonts w:hint="default" w:eastAsia="宋体"/>
                      <w:b w:val="0"/>
                      <w:bCs/>
                      <w:color w:val="auto"/>
                      <w:sz w:val="21"/>
                      <w:szCs w:val="21"/>
                      <w:highlight w:val="none"/>
                      <w:u w:val="single" w:color="auto"/>
                      <w:lang w:val="en-US" w:eastAsia="zh-CN"/>
                    </w:rPr>
                  </w:pPr>
                  <w:r>
                    <w:rPr>
                      <w:rFonts w:hint="eastAsia"/>
                      <w:color w:val="auto"/>
                      <w:sz w:val="21"/>
                      <w:szCs w:val="21"/>
                      <w:highlight w:val="none"/>
                      <w:u w:val="single" w:color="auto"/>
                      <w:lang w:val="en-US" w:eastAsia="zh-CN"/>
                    </w:rPr>
                    <w:t>85</w:t>
                  </w:r>
                </w:p>
              </w:tc>
              <w:tc>
                <w:tcPr>
                  <w:tcW w:w="1698" w:type="dxa"/>
                  <w:tcBorders>
                    <w:tl2br w:val="nil"/>
                    <w:tr2bl w:val="nil"/>
                  </w:tcBorders>
                  <w:vAlign w:val="center"/>
                </w:tcPr>
                <w:p w14:paraId="257EC8C2">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r>
                    <w:rPr>
                      <w:rFonts w:hint="eastAsia"/>
                      <w:color w:val="auto"/>
                      <w:kern w:val="0"/>
                      <w:sz w:val="21"/>
                      <w:szCs w:val="21"/>
                      <w:highlight w:val="none"/>
                      <w:u w:val="single" w:color="auto"/>
                      <w:lang w:eastAsia="zh-CN" w:bidi="ar"/>
                    </w:rPr>
                    <w:t>、</w:t>
                  </w:r>
                  <w:r>
                    <w:rPr>
                      <w:rFonts w:hint="eastAsia"/>
                      <w:color w:val="auto"/>
                      <w:kern w:val="0"/>
                      <w:sz w:val="21"/>
                      <w:szCs w:val="21"/>
                      <w:highlight w:val="none"/>
                      <w:u w:val="single" w:color="auto"/>
                      <w:lang w:bidi="ar"/>
                    </w:rPr>
                    <w:t>隔声罩</w:t>
                  </w:r>
                </w:p>
              </w:tc>
              <w:tc>
                <w:tcPr>
                  <w:tcW w:w="876" w:type="dxa"/>
                  <w:vMerge w:val="continue"/>
                  <w:tcBorders>
                    <w:tl2br w:val="nil"/>
                    <w:tr2bl w:val="nil"/>
                  </w:tcBorders>
                  <w:vAlign w:val="center"/>
                </w:tcPr>
                <w:p w14:paraId="4252BDEE">
                  <w:pPr>
                    <w:widowControl/>
                    <w:ind w:left="-63" w:leftChars="-30" w:right="-63" w:rightChars="-30"/>
                    <w:jc w:val="center"/>
                    <w:textAlignment w:val="center"/>
                    <w:rPr>
                      <w:color w:val="auto"/>
                      <w:kern w:val="0"/>
                      <w:sz w:val="21"/>
                      <w:szCs w:val="21"/>
                      <w:highlight w:val="none"/>
                      <w:u w:val="single" w:color="auto"/>
                      <w:lang w:bidi="ar"/>
                    </w:rPr>
                  </w:pPr>
                </w:p>
              </w:tc>
            </w:tr>
            <w:tr w14:paraId="28B335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88" w:type="dxa"/>
                  <w:tcBorders>
                    <w:tl2br w:val="nil"/>
                    <w:tr2bl w:val="nil"/>
                  </w:tcBorders>
                  <w:shd w:val="clear" w:color="auto" w:fill="auto"/>
                  <w:vAlign w:val="center"/>
                </w:tcPr>
                <w:p w14:paraId="1816B8C9">
                  <w:pPr>
                    <w:widowControl/>
                    <w:ind w:left="-63" w:leftChars="-30" w:right="-63" w:rightChars="-30"/>
                    <w:jc w:val="center"/>
                    <w:textAlignment w:val="center"/>
                    <w:rPr>
                      <w:rFonts w:hint="eastAsia"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7</w:t>
                  </w:r>
                </w:p>
              </w:tc>
              <w:tc>
                <w:tcPr>
                  <w:tcW w:w="1540" w:type="dxa"/>
                  <w:tcBorders>
                    <w:tl2br w:val="nil"/>
                    <w:tr2bl w:val="nil"/>
                  </w:tcBorders>
                  <w:vAlign w:val="center"/>
                </w:tcPr>
                <w:p w14:paraId="48BB901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color w:val="auto"/>
                      <w:kern w:val="0"/>
                      <w:sz w:val="21"/>
                      <w:szCs w:val="21"/>
                      <w:highlight w:val="none"/>
                      <w:u w:val="single" w:color="auto"/>
                      <w:lang w:val="en-US" w:bidi="ar"/>
                    </w:rPr>
                  </w:pPr>
                  <w:r>
                    <w:rPr>
                      <w:rFonts w:hint="default" w:ascii="Times New Roman" w:hAnsi="Times New Roman" w:eastAsia="宋体" w:cs="Times New Roman"/>
                      <w:color w:val="auto"/>
                      <w:spacing w:val="7"/>
                      <w:sz w:val="21"/>
                      <w:szCs w:val="21"/>
                      <w:highlight w:val="none"/>
                      <w:u w:val="single" w:color="auto"/>
                      <w:lang w:val="en-US" w:eastAsia="zh-CN"/>
                    </w:rPr>
                    <w:t>热</w:t>
                  </w:r>
                  <w:r>
                    <w:rPr>
                      <w:rFonts w:hint="default" w:ascii="Times New Roman" w:hAnsi="Times New Roman" w:eastAsia="宋体" w:cs="Times New Roman"/>
                      <w:color w:val="auto"/>
                      <w:spacing w:val="7"/>
                      <w:sz w:val="21"/>
                      <w:szCs w:val="21"/>
                      <w:highlight w:val="none"/>
                      <w:u w:val="single" w:color="auto"/>
                    </w:rPr>
                    <w:t>风机</w:t>
                  </w:r>
                </w:p>
              </w:tc>
              <w:tc>
                <w:tcPr>
                  <w:tcW w:w="669" w:type="dxa"/>
                  <w:tcBorders>
                    <w:tl2br w:val="nil"/>
                    <w:tr2bl w:val="nil"/>
                  </w:tcBorders>
                  <w:vAlign w:val="center"/>
                </w:tcPr>
                <w:p w14:paraId="24B49D81">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45</w:t>
                  </w:r>
                </w:p>
              </w:tc>
              <w:tc>
                <w:tcPr>
                  <w:tcW w:w="765" w:type="dxa"/>
                  <w:tcBorders>
                    <w:tl2br w:val="nil"/>
                    <w:tr2bl w:val="nil"/>
                  </w:tcBorders>
                  <w:vAlign w:val="center"/>
                </w:tcPr>
                <w:p w14:paraId="5D80A05C">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12</w:t>
                  </w:r>
                </w:p>
              </w:tc>
              <w:tc>
                <w:tcPr>
                  <w:tcW w:w="780" w:type="dxa"/>
                  <w:tcBorders>
                    <w:tl2br w:val="nil"/>
                    <w:tr2bl w:val="nil"/>
                  </w:tcBorders>
                  <w:vAlign w:val="center"/>
                </w:tcPr>
                <w:p w14:paraId="4E991E6A">
                  <w:pPr>
                    <w:jc w:val="center"/>
                    <w:rPr>
                      <w:rFonts w:hint="eastAsia" w:eastAsia="宋体"/>
                      <w:color w:val="auto"/>
                      <w:sz w:val="21"/>
                      <w:szCs w:val="21"/>
                      <w:highlight w:val="none"/>
                      <w:u w:val="single" w:color="auto"/>
                      <w:lang w:val="en-US" w:eastAsia="zh-CN"/>
                    </w:rPr>
                  </w:pPr>
                  <w:r>
                    <w:rPr>
                      <w:rFonts w:hint="eastAsia" w:eastAsia="宋体"/>
                      <w:color w:val="auto"/>
                      <w:sz w:val="21"/>
                      <w:szCs w:val="21"/>
                      <w:highlight w:val="none"/>
                      <w:u w:val="single" w:color="auto"/>
                      <w:lang w:val="en-US" w:eastAsia="zh-CN"/>
                    </w:rPr>
                    <w:t>1</w:t>
                  </w:r>
                </w:p>
              </w:tc>
              <w:tc>
                <w:tcPr>
                  <w:tcW w:w="1022" w:type="dxa"/>
                  <w:tcBorders>
                    <w:tl2br w:val="nil"/>
                    <w:tr2bl w:val="nil"/>
                  </w:tcBorders>
                  <w:vAlign w:val="center"/>
                </w:tcPr>
                <w:p w14:paraId="1CF42A28">
                  <w:pPr>
                    <w:jc w:val="center"/>
                    <w:rPr>
                      <w:rFonts w:hint="default" w:eastAsia="宋体"/>
                      <w:b w:val="0"/>
                      <w:bCs/>
                      <w:color w:val="auto"/>
                      <w:sz w:val="21"/>
                      <w:szCs w:val="21"/>
                      <w:highlight w:val="none"/>
                      <w:u w:val="single" w:color="auto"/>
                      <w:lang w:val="en-US" w:eastAsia="zh-CN"/>
                    </w:rPr>
                  </w:pPr>
                  <w:r>
                    <w:rPr>
                      <w:rFonts w:hint="eastAsia"/>
                      <w:color w:val="auto"/>
                      <w:sz w:val="21"/>
                      <w:szCs w:val="21"/>
                      <w:highlight w:val="none"/>
                      <w:u w:val="single" w:color="auto"/>
                      <w:lang w:val="en-US" w:eastAsia="zh-CN"/>
                    </w:rPr>
                    <w:t>85</w:t>
                  </w:r>
                </w:p>
              </w:tc>
              <w:tc>
                <w:tcPr>
                  <w:tcW w:w="1698" w:type="dxa"/>
                  <w:tcBorders>
                    <w:tl2br w:val="nil"/>
                    <w:tr2bl w:val="nil"/>
                  </w:tcBorders>
                  <w:vAlign w:val="center"/>
                </w:tcPr>
                <w:p w14:paraId="381627E0">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r>
                    <w:rPr>
                      <w:rFonts w:hint="eastAsia"/>
                      <w:color w:val="auto"/>
                      <w:kern w:val="0"/>
                      <w:sz w:val="21"/>
                      <w:szCs w:val="21"/>
                      <w:highlight w:val="none"/>
                      <w:u w:val="single" w:color="auto"/>
                      <w:lang w:eastAsia="zh-CN" w:bidi="ar"/>
                    </w:rPr>
                    <w:t>、</w:t>
                  </w:r>
                  <w:r>
                    <w:rPr>
                      <w:rFonts w:hint="eastAsia"/>
                      <w:color w:val="auto"/>
                      <w:kern w:val="0"/>
                      <w:sz w:val="21"/>
                      <w:szCs w:val="21"/>
                      <w:highlight w:val="none"/>
                      <w:u w:val="single" w:color="auto"/>
                      <w:lang w:bidi="ar"/>
                    </w:rPr>
                    <w:t>隔声罩</w:t>
                  </w:r>
                </w:p>
              </w:tc>
              <w:tc>
                <w:tcPr>
                  <w:tcW w:w="876" w:type="dxa"/>
                  <w:vMerge w:val="continue"/>
                  <w:tcBorders>
                    <w:tl2br w:val="nil"/>
                    <w:tr2bl w:val="nil"/>
                  </w:tcBorders>
                  <w:vAlign w:val="center"/>
                </w:tcPr>
                <w:p w14:paraId="170238A2">
                  <w:pPr>
                    <w:widowControl/>
                    <w:ind w:left="-63" w:leftChars="-30" w:right="-63" w:rightChars="-30"/>
                    <w:jc w:val="center"/>
                    <w:textAlignment w:val="center"/>
                    <w:rPr>
                      <w:color w:val="auto"/>
                      <w:kern w:val="0"/>
                      <w:sz w:val="21"/>
                      <w:szCs w:val="21"/>
                      <w:highlight w:val="none"/>
                      <w:u w:val="single" w:color="auto"/>
                      <w:lang w:bidi="ar"/>
                    </w:rPr>
                  </w:pPr>
                </w:p>
              </w:tc>
            </w:tr>
            <w:tr w14:paraId="18BAA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488" w:type="dxa"/>
                  <w:tcBorders>
                    <w:tl2br w:val="nil"/>
                    <w:tr2bl w:val="nil"/>
                  </w:tcBorders>
                  <w:shd w:val="clear" w:color="auto" w:fill="auto"/>
                  <w:vAlign w:val="center"/>
                </w:tcPr>
                <w:p w14:paraId="4ECC0F86">
                  <w:pPr>
                    <w:widowControl/>
                    <w:ind w:left="-63" w:leftChars="-30" w:right="-63" w:rightChars="-30"/>
                    <w:jc w:val="center"/>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8</w:t>
                  </w:r>
                </w:p>
              </w:tc>
              <w:tc>
                <w:tcPr>
                  <w:tcW w:w="1540" w:type="dxa"/>
                  <w:tcBorders>
                    <w:tl2br w:val="nil"/>
                    <w:tr2bl w:val="nil"/>
                  </w:tcBorders>
                  <w:vAlign w:val="center"/>
                </w:tcPr>
                <w:p w14:paraId="4F96C34C">
                  <w:pPr>
                    <w:widowControl/>
                    <w:jc w:val="center"/>
                    <w:textAlignment w:val="center"/>
                    <w:rPr>
                      <w:b/>
                      <w:color w:val="auto"/>
                      <w:sz w:val="21"/>
                      <w:szCs w:val="21"/>
                      <w:highlight w:val="none"/>
                      <w:u w:val="single" w:color="auto"/>
                    </w:rPr>
                  </w:pPr>
                  <w:r>
                    <w:rPr>
                      <w:rFonts w:hint="default" w:ascii="Times New Roman" w:hAnsi="Times New Roman" w:eastAsia="宋体" w:cs="Times New Roman"/>
                      <w:color w:val="auto"/>
                      <w:spacing w:val="7"/>
                      <w:sz w:val="21"/>
                      <w:szCs w:val="21"/>
                      <w:highlight w:val="none"/>
                      <w:u w:val="single" w:color="auto"/>
                      <w:lang w:val="en-US" w:eastAsia="zh-CN"/>
                    </w:rPr>
                    <w:t>圆筒筛</w:t>
                  </w:r>
                </w:p>
              </w:tc>
              <w:tc>
                <w:tcPr>
                  <w:tcW w:w="669" w:type="dxa"/>
                  <w:tcBorders>
                    <w:tl2br w:val="nil"/>
                    <w:tr2bl w:val="nil"/>
                  </w:tcBorders>
                  <w:vAlign w:val="center"/>
                </w:tcPr>
                <w:p w14:paraId="39519F6A">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56</w:t>
                  </w:r>
                </w:p>
              </w:tc>
              <w:tc>
                <w:tcPr>
                  <w:tcW w:w="765" w:type="dxa"/>
                  <w:tcBorders>
                    <w:tl2br w:val="nil"/>
                    <w:tr2bl w:val="nil"/>
                  </w:tcBorders>
                  <w:vAlign w:val="center"/>
                </w:tcPr>
                <w:p w14:paraId="509D2525">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22</w:t>
                  </w:r>
                </w:p>
              </w:tc>
              <w:tc>
                <w:tcPr>
                  <w:tcW w:w="780" w:type="dxa"/>
                  <w:tcBorders>
                    <w:tl2br w:val="nil"/>
                    <w:tr2bl w:val="nil"/>
                  </w:tcBorders>
                  <w:vAlign w:val="center"/>
                </w:tcPr>
                <w:p w14:paraId="06E6C043">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5</w:t>
                  </w:r>
                </w:p>
              </w:tc>
              <w:tc>
                <w:tcPr>
                  <w:tcW w:w="1022" w:type="dxa"/>
                  <w:tcBorders>
                    <w:tl2br w:val="nil"/>
                    <w:tr2bl w:val="nil"/>
                  </w:tcBorders>
                  <w:vAlign w:val="center"/>
                </w:tcPr>
                <w:p w14:paraId="1C2EEA5A">
                  <w:pPr>
                    <w:jc w:val="center"/>
                    <w:rPr>
                      <w:rFonts w:hint="default" w:eastAsia="宋体"/>
                      <w:b w:val="0"/>
                      <w:bCs/>
                      <w:color w:val="auto"/>
                      <w:sz w:val="21"/>
                      <w:szCs w:val="21"/>
                      <w:highlight w:val="none"/>
                      <w:u w:val="single" w:color="auto"/>
                      <w:lang w:val="en-US" w:eastAsia="zh-CN"/>
                    </w:rPr>
                  </w:pPr>
                  <w:r>
                    <w:rPr>
                      <w:rFonts w:hint="eastAsia"/>
                      <w:b w:val="0"/>
                      <w:bCs/>
                      <w:color w:val="auto"/>
                      <w:sz w:val="21"/>
                      <w:szCs w:val="21"/>
                      <w:highlight w:val="none"/>
                      <w:u w:val="single" w:color="auto"/>
                      <w:lang w:val="en-US" w:eastAsia="zh-CN"/>
                    </w:rPr>
                    <w:t>75</w:t>
                  </w:r>
                </w:p>
              </w:tc>
              <w:tc>
                <w:tcPr>
                  <w:tcW w:w="1698" w:type="dxa"/>
                  <w:tcBorders>
                    <w:tl2br w:val="nil"/>
                    <w:tr2bl w:val="nil"/>
                  </w:tcBorders>
                  <w:vAlign w:val="center"/>
                </w:tcPr>
                <w:p w14:paraId="536FCE57">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p>
              </w:tc>
              <w:tc>
                <w:tcPr>
                  <w:tcW w:w="876" w:type="dxa"/>
                  <w:vMerge w:val="continue"/>
                  <w:tcBorders>
                    <w:tl2br w:val="nil"/>
                    <w:tr2bl w:val="nil"/>
                  </w:tcBorders>
                  <w:vAlign w:val="center"/>
                </w:tcPr>
                <w:p w14:paraId="53E2EB11">
                  <w:pPr>
                    <w:widowControl/>
                    <w:ind w:left="-63" w:leftChars="-30" w:right="-63" w:rightChars="-30"/>
                    <w:jc w:val="center"/>
                    <w:textAlignment w:val="center"/>
                    <w:rPr>
                      <w:color w:val="auto"/>
                      <w:kern w:val="0"/>
                      <w:sz w:val="21"/>
                      <w:szCs w:val="21"/>
                      <w:highlight w:val="none"/>
                      <w:u w:val="single" w:color="auto"/>
                      <w:lang w:bidi="ar"/>
                    </w:rPr>
                  </w:pPr>
                </w:p>
              </w:tc>
            </w:tr>
            <w:tr w14:paraId="0E8B5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488" w:type="dxa"/>
                  <w:tcBorders>
                    <w:tl2br w:val="nil"/>
                    <w:tr2bl w:val="nil"/>
                  </w:tcBorders>
                  <w:shd w:val="clear" w:color="auto" w:fill="auto"/>
                  <w:vAlign w:val="center"/>
                </w:tcPr>
                <w:p w14:paraId="4796636A">
                  <w:pPr>
                    <w:widowControl/>
                    <w:ind w:left="-63" w:leftChars="-30" w:right="-63" w:rightChars="-30"/>
                    <w:jc w:val="center"/>
                    <w:textAlignment w:val="center"/>
                    <w:rPr>
                      <w:rFonts w:hint="eastAsia"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9</w:t>
                  </w:r>
                </w:p>
              </w:tc>
              <w:tc>
                <w:tcPr>
                  <w:tcW w:w="1540" w:type="dxa"/>
                  <w:tcBorders>
                    <w:tl2br w:val="nil"/>
                    <w:tr2bl w:val="nil"/>
                  </w:tcBorders>
                  <w:vAlign w:val="center"/>
                </w:tcPr>
                <w:p w14:paraId="7C26733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eastAsia="宋体"/>
                      <w:color w:val="auto"/>
                      <w:kern w:val="0"/>
                      <w:sz w:val="21"/>
                      <w:szCs w:val="21"/>
                      <w:highlight w:val="none"/>
                      <w:u w:val="single" w:color="auto"/>
                      <w:lang w:eastAsia="zh-CN" w:bidi="ar"/>
                    </w:rPr>
                  </w:pPr>
                  <w:r>
                    <w:rPr>
                      <w:rFonts w:hint="eastAsia" w:cs="Times New Roman"/>
                      <w:color w:val="auto"/>
                      <w:spacing w:val="7"/>
                      <w:sz w:val="21"/>
                      <w:szCs w:val="21"/>
                      <w:highlight w:val="none"/>
                      <w:u w:val="single" w:color="auto"/>
                      <w:lang w:eastAsia="zh-CN"/>
                    </w:rPr>
                    <w:t>主塔</w:t>
                  </w:r>
                  <w:r>
                    <w:rPr>
                      <w:rFonts w:hint="default" w:ascii="Times New Roman" w:hAnsi="Times New Roman" w:eastAsia="宋体" w:cs="Times New Roman"/>
                      <w:color w:val="auto"/>
                      <w:spacing w:val="7"/>
                      <w:sz w:val="21"/>
                      <w:szCs w:val="21"/>
                      <w:highlight w:val="none"/>
                      <w:u w:val="single" w:color="auto"/>
                    </w:rPr>
                    <w:t>提升机</w:t>
                  </w:r>
                </w:p>
              </w:tc>
              <w:tc>
                <w:tcPr>
                  <w:tcW w:w="669" w:type="dxa"/>
                  <w:tcBorders>
                    <w:tl2br w:val="nil"/>
                    <w:tr2bl w:val="nil"/>
                  </w:tcBorders>
                  <w:shd w:val="clear" w:color="auto" w:fill="auto"/>
                  <w:vAlign w:val="center"/>
                </w:tcPr>
                <w:p w14:paraId="380BFBB4">
                  <w:pPr>
                    <w:jc w:val="center"/>
                    <w:rPr>
                      <w:rFonts w:hint="default" w:ascii="Times New Roman" w:hAnsi="Times New Roman" w:eastAsia="宋体" w:cs="Times New Roman"/>
                      <w:color w:val="auto"/>
                      <w:kern w:val="2"/>
                      <w:sz w:val="21"/>
                      <w:szCs w:val="21"/>
                      <w:highlight w:val="none"/>
                      <w:u w:val="single" w:color="auto"/>
                      <w:lang w:val="en-US" w:eastAsia="zh-CN" w:bidi="ar-SA"/>
                    </w:rPr>
                  </w:pPr>
                  <w:r>
                    <w:rPr>
                      <w:rFonts w:hint="eastAsia" w:cs="Times New Roman"/>
                      <w:color w:val="auto"/>
                      <w:kern w:val="2"/>
                      <w:sz w:val="21"/>
                      <w:szCs w:val="21"/>
                      <w:highlight w:val="none"/>
                      <w:u w:val="single" w:color="auto"/>
                      <w:lang w:val="en-US" w:eastAsia="zh-CN" w:bidi="ar-SA"/>
                    </w:rPr>
                    <w:t>45</w:t>
                  </w:r>
                </w:p>
              </w:tc>
              <w:tc>
                <w:tcPr>
                  <w:tcW w:w="765" w:type="dxa"/>
                  <w:tcBorders>
                    <w:tl2br w:val="nil"/>
                    <w:tr2bl w:val="nil"/>
                  </w:tcBorders>
                  <w:shd w:val="clear" w:color="auto" w:fill="auto"/>
                  <w:vAlign w:val="center"/>
                </w:tcPr>
                <w:p w14:paraId="46B00677">
                  <w:pPr>
                    <w:jc w:val="center"/>
                    <w:rPr>
                      <w:rFonts w:hint="default" w:ascii="Times New Roman" w:hAnsi="Times New Roman" w:eastAsia="宋体" w:cs="Times New Roman"/>
                      <w:color w:val="auto"/>
                      <w:kern w:val="2"/>
                      <w:sz w:val="21"/>
                      <w:szCs w:val="21"/>
                      <w:highlight w:val="none"/>
                      <w:u w:val="single" w:color="auto"/>
                      <w:lang w:val="en-US" w:eastAsia="zh-CN" w:bidi="ar-SA"/>
                    </w:rPr>
                  </w:pPr>
                  <w:r>
                    <w:rPr>
                      <w:rFonts w:hint="eastAsia" w:cs="Times New Roman"/>
                      <w:color w:val="auto"/>
                      <w:kern w:val="2"/>
                      <w:sz w:val="21"/>
                      <w:szCs w:val="21"/>
                      <w:highlight w:val="none"/>
                      <w:u w:val="single" w:color="auto"/>
                      <w:lang w:val="en-US" w:eastAsia="zh-CN" w:bidi="ar-SA"/>
                    </w:rPr>
                    <w:t>12</w:t>
                  </w:r>
                </w:p>
              </w:tc>
              <w:tc>
                <w:tcPr>
                  <w:tcW w:w="780" w:type="dxa"/>
                  <w:tcBorders>
                    <w:tl2br w:val="nil"/>
                    <w:tr2bl w:val="nil"/>
                  </w:tcBorders>
                  <w:shd w:val="clear" w:color="auto" w:fill="auto"/>
                  <w:vAlign w:val="center"/>
                </w:tcPr>
                <w:p w14:paraId="58CAFA08">
                  <w:pPr>
                    <w:jc w:val="center"/>
                    <w:rPr>
                      <w:rFonts w:hint="default" w:ascii="Times New Roman" w:hAnsi="Times New Roman" w:eastAsia="Arial" w:cs="Times New Roman"/>
                      <w:color w:val="auto"/>
                      <w:kern w:val="2"/>
                      <w:sz w:val="21"/>
                      <w:szCs w:val="21"/>
                      <w:highlight w:val="none"/>
                      <w:u w:val="single" w:color="auto"/>
                      <w:lang w:val="en-US" w:eastAsia="zh-CN" w:bidi="ar-SA"/>
                    </w:rPr>
                  </w:pPr>
                  <w:r>
                    <w:rPr>
                      <w:rFonts w:hint="eastAsia" w:eastAsia="Arial" w:cs="Times New Roman"/>
                      <w:color w:val="auto"/>
                      <w:kern w:val="2"/>
                      <w:sz w:val="21"/>
                      <w:szCs w:val="21"/>
                      <w:highlight w:val="none"/>
                      <w:u w:val="single" w:color="auto"/>
                      <w:lang w:val="en-US" w:eastAsia="zh-CN" w:bidi="ar-SA"/>
                    </w:rPr>
                    <w:t>10</w:t>
                  </w:r>
                </w:p>
              </w:tc>
              <w:tc>
                <w:tcPr>
                  <w:tcW w:w="1022" w:type="dxa"/>
                  <w:tcBorders>
                    <w:tl2br w:val="nil"/>
                    <w:tr2bl w:val="nil"/>
                  </w:tcBorders>
                  <w:shd w:val="clear" w:color="auto" w:fill="auto"/>
                  <w:vAlign w:val="center"/>
                </w:tcPr>
                <w:p w14:paraId="04E85CE0">
                  <w:pPr>
                    <w:jc w:val="center"/>
                    <w:rPr>
                      <w:rFonts w:hint="default" w:ascii="Times New Roman" w:hAnsi="Times New Roman" w:eastAsia="宋体" w:cs="Times New Roman"/>
                      <w:b w:val="0"/>
                      <w:bCs/>
                      <w:color w:val="auto"/>
                      <w:kern w:val="2"/>
                      <w:sz w:val="21"/>
                      <w:szCs w:val="21"/>
                      <w:highlight w:val="none"/>
                      <w:u w:val="single" w:color="auto"/>
                      <w:lang w:val="en-US" w:eastAsia="zh-CN" w:bidi="ar-SA"/>
                    </w:rPr>
                  </w:pPr>
                  <w:r>
                    <w:rPr>
                      <w:rFonts w:hint="eastAsia"/>
                      <w:b w:val="0"/>
                      <w:bCs/>
                      <w:color w:val="auto"/>
                      <w:sz w:val="21"/>
                      <w:szCs w:val="21"/>
                      <w:highlight w:val="none"/>
                      <w:u w:val="single" w:color="auto"/>
                      <w:lang w:val="en-US" w:eastAsia="zh-CN"/>
                    </w:rPr>
                    <w:t>80</w:t>
                  </w:r>
                </w:p>
              </w:tc>
              <w:tc>
                <w:tcPr>
                  <w:tcW w:w="1698" w:type="dxa"/>
                  <w:tcBorders>
                    <w:tl2br w:val="nil"/>
                    <w:tr2bl w:val="nil"/>
                  </w:tcBorders>
                  <w:vAlign w:val="center"/>
                </w:tcPr>
                <w:p w14:paraId="7CAE54DE">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p>
              </w:tc>
              <w:tc>
                <w:tcPr>
                  <w:tcW w:w="876" w:type="dxa"/>
                  <w:vMerge w:val="continue"/>
                  <w:tcBorders>
                    <w:tl2br w:val="nil"/>
                    <w:tr2bl w:val="nil"/>
                  </w:tcBorders>
                  <w:shd w:val="clear" w:color="auto" w:fill="auto"/>
                  <w:vAlign w:val="center"/>
                </w:tcPr>
                <w:p w14:paraId="6E5E7C29">
                  <w:pPr>
                    <w:widowControl/>
                    <w:ind w:left="-63" w:leftChars="-30" w:right="-63" w:rightChars="-30"/>
                    <w:jc w:val="center"/>
                    <w:textAlignment w:val="center"/>
                    <w:rPr>
                      <w:rFonts w:hint="eastAsia" w:ascii="Times New Roman" w:hAnsi="Times New Roman" w:eastAsia="宋体" w:cs="Times New Roman"/>
                      <w:color w:val="auto"/>
                      <w:kern w:val="0"/>
                      <w:sz w:val="21"/>
                      <w:szCs w:val="21"/>
                      <w:highlight w:val="none"/>
                      <w:u w:val="single" w:color="auto"/>
                      <w:lang w:val="en-US" w:eastAsia="zh-CN" w:bidi="ar"/>
                    </w:rPr>
                  </w:pPr>
                </w:p>
              </w:tc>
            </w:tr>
            <w:tr w14:paraId="7F8F61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488" w:type="dxa"/>
                  <w:tcBorders>
                    <w:tl2br w:val="nil"/>
                    <w:tr2bl w:val="nil"/>
                  </w:tcBorders>
                  <w:shd w:val="clear" w:color="auto" w:fill="auto"/>
                  <w:vAlign w:val="center"/>
                </w:tcPr>
                <w:p w14:paraId="38FD8438">
                  <w:pPr>
                    <w:widowControl/>
                    <w:ind w:left="-63" w:leftChars="-30" w:right="-63" w:rightChars="-30"/>
                    <w:jc w:val="center"/>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10</w:t>
                  </w:r>
                </w:p>
              </w:tc>
              <w:tc>
                <w:tcPr>
                  <w:tcW w:w="1540" w:type="dxa"/>
                  <w:tcBorders>
                    <w:tl2br w:val="nil"/>
                    <w:tr2bl w:val="nil"/>
                  </w:tcBorders>
                  <w:vAlign w:val="center"/>
                </w:tcPr>
                <w:p w14:paraId="0A933A65">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color w:val="auto"/>
                      <w:kern w:val="0"/>
                      <w:sz w:val="21"/>
                      <w:szCs w:val="21"/>
                      <w:highlight w:val="none"/>
                      <w:u w:val="single" w:color="auto"/>
                      <w:lang w:eastAsia="zh-CN" w:bidi="ar"/>
                    </w:rPr>
                  </w:pPr>
                  <w:r>
                    <w:rPr>
                      <w:rFonts w:hint="eastAsia" w:cs="Times New Roman"/>
                      <w:color w:val="auto"/>
                      <w:spacing w:val="7"/>
                      <w:sz w:val="21"/>
                      <w:szCs w:val="21"/>
                      <w:highlight w:val="none"/>
                      <w:u w:val="single" w:color="auto"/>
                      <w:lang w:val="en-US" w:eastAsia="zh-CN"/>
                    </w:rPr>
                    <w:t>副塔</w:t>
                  </w:r>
                  <w:r>
                    <w:rPr>
                      <w:rFonts w:hint="default" w:ascii="Times New Roman" w:hAnsi="Times New Roman" w:eastAsia="宋体" w:cs="Times New Roman"/>
                      <w:color w:val="auto"/>
                      <w:spacing w:val="7"/>
                      <w:sz w:val="21"/>
                      <w:szCs w:val="21"/>
                      <w:highlight w:val="none"/>
                      <w:u w:val="single" w:color="auto"/>
                      <w:lang w:val="en-US" w:eastAsia="zh-CN"/>
                    </w:rPr>
                    <w:t>提升机</w:t>
                  </w:r>
                </w:p>
              </w:tc>
              <w:tc>
                <w:tcPr>
                  <w:tcW w:w="669" w:type="dxa"/>
                  <w:tcBorders>
                    <w:tl2br w:val="nil"/>
                    <w:tr2bl w:val="nil"/>
                  </w:tcBorders>
                  <w:shd w:val="clear" w:color="auto" w:fill="auto"/>
                  <w:vAlign w:val="center"/>
                </w:tcPr>
                <w:p w14:paraId="1D2BA961">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46</w:t>
                  </w:r>
                </w:p>
              </w:tc>
              <w:tc>
                <w:tcPr>
                  <w:tcW w:w="765" w:type="dxa"/>
                  <w:tcBorders>
                    <w:tl2br w:val="nil"/>
                    <w:tr2bl w:val="nil"/>
                  </w:tcBorders>
                  <w:shd w:val="clear" w:color="auto" w:fill="auto"/>
                  <w:vAlign w:val="center"/>
                </w:tcPr>
                <w:p w14:paraId="14C67DC5">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10</w:t>
                  </w:r>
                </w:p>
              </w:tc>
              <w:tc>
                <w:tcPr>
                  <w:tcW w:w="780" w:type="dxa"/>
                  <w:tcBorders>
                    <w:tl2br w:val="nil"/>
                    <w:tr2bl w:val="nil"/>
                  </w:tcBorders>
                  <w:shd w:val="clear" w:color="auto" w:fill="auto"/>
                  <w:vAlign w:val="center"/>
                </w:tcPr>
                <w:p w14:paraId="37A43759">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10</w:t>
                  </w:r>
                </w:p>
              </w:tc>
              <w:tc>
                <w:tcPr>
                  <w:tcW w:w="1022" w:type="dxa"/>
                  <w:tcBorders>
                    <w:tl2br w:val="nil"/>
                    <w:tr2bl w:val="nil"/>
                  </w:tcBorders>
                  <w:shd w:val="clear" w:color="auto" w:fill="auto"/>
                  <w:vAlign w:val="center"/>
                </w:tcPr>
                <w:p w14:paraId="1F95B537">
                  <w:pPr>
                    <w:jc w:val="center"/>
                    <w:rPr>
                      <w:rFonts w:hint="default" w:eastAsia="宋体"/>
                      <w:b w:val="0"/>
                      <w:bCs/>
                      <w:color w:val="auto"/>
                      <w:sz w:val="21"/>
                      <w:szCs w:val="21"/>
                      <w:highlight w:val="none"/>
                      <w:u w:val="single" w:color="auto"/>
                      <w:lang w:val="en-US" w:eastAsia="zh-CN"/>
                    </w:rPr>
                  </w:pPr>
                  <w:r>
                    <w:rPr>
                      <w:rFonts w:hint="eastAsia"/>
                      <w:b w:val="0"/>
                      <w:bCs/>
                      <w:color w:val="auto"/>
                      <w:sz w:val="21"/>
                      <w:szCs w:val="21"/>
                      <w:highlight w:val="none"/>
                      <w:u w:val="single" w:color="auto"/>
                      <w:lang w:val="en-US" w:eastAsia="zh-CN"/>
                    </w:rPr>
                    <w:t>80</w:t>
                  </w:r>
                </w:p>
              </w:tc>
              <w:tc>
                <w:tcPr>
                  <w:tcW w:w="1698" w:type="dxa"/>
                  <w:tcBorders>
                    <w:tl2br w:val="nil"/>
                    <w:tr2bl w:val="nil"/>
                  </w:tcBorders>
                  <w:vAlign w:val="center"/>
                </w:tcPr>
                <w:p w14:paraId="070D4310">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p>
              </w:tc>
              <w:tc>
                <w:tcPr>
                  <w:tcW w:w="876" w:type="dxa"/>
                  <w:vMerge w:val="continue"/>
                  <w:tcBorders>
                    <w:tl2br w:val="nil"/>
                    <w:tr2bl w:val="nil"/>
                  </w:tcBorders>
                  <w:shd w:val="clear" w:color="auto" w:fill="auto"/>
                  <w:vAlign w:val="center"/>
                </w:tcPr>
                <w:p w14:paraId="79DB14DB">
                  <w:pPr>
                    <w:widowControl/>
                    <w:ind w:left="-63" w:leftChars="-30" w:right="-63" w:rightChars="-30"/>
                    <w:jc w:val="center"/>
                    <w:textAlignment w:val="center"/>
                    <w:rPr>
                      <w:rFonts w:hint="eastAsia"/>
                      <w:color w:val="auto"/>
                      <w:kern w:val="0"/>
                      <w:sz w:val="21"/>
                      <w:szCs w:val="21"/>
                      <w:highlight w:val="none"/>
                      <w:u w:val="single" w:color="auto"/>
                      <w:lang w:bidi="ar"/>
                    </w:rPr>
                  </w:pPr>
                </w:p>
              </w:tc>
            </w:tr>
            <w:tr w14:paraId="3E8B81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488" w:type="dxa"/>
                  <w:tcBorders>
                    <w:tl2br w:val="nil"/>
                    <w:tr2bl w:val="nil"/>
                  </w:tcBorders>
                  <w:shd w:val="clear" w:color="auto" w:fill="auto"/>
                  <w:vAlign w:val="center"/>
                </w:tcPr>
                <w:p w14:paraId="6EADA47B">
                  <w:pPr>
                    <w:widowControl/>
                    <w:ind w:left="-63" w:leftChars="-30" w:right="-63" w:rightChars="-30"/>
                    <w:jc w:val="center"/>
                    <w:textAlignment w:val="center"/>
                    <w:rPr>
                      <w:rFonts w:hint="eastAsia"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11</w:t>
                  </w:r>
                </w:p>
              </w:tc>
              <w:tc>
                <w:tcPr>
                  <w:tcW w:w="1540" w:type="dxa"/>
                  <w:tcBorders>
                    <w:tl2br w:val="nil"/>
                    <w:tr2bl w:val="nil"/>
                  </w:tcBorders>
                  <w:vAlign w:val="center"/>
                </w:tcPr>
                <w:p w14:paraId="33DCC530">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spacing w:val="7"/>
                      <w:sz w:val="21"/>
                      <w:szCs w:val="21"/>
                      <w:highlight w:val="none"/>
                      <w:u w:val="single" w:color="auto"/>
                      <w:lang w:val="en-US" w:eastAsia="zh-CN"/>
                    </w:rPr>
                  </w:pPr>
                  <w:r>
                    <w:rPr>
                      <w:rFonts w:hint="default" w:ascii="Times New Roman" w:hAnsi="Times New Roman" w:eastAsia="宋体" w:cs="Times New Roman"/>
                      <w:color w:val="auto"/>
                      <w:spacing w:val="7"/>
                      <w:sz w:val="21"/>
                      <w:szCs w:val="21"/>
                      <w:highlight w:val="none"/>
                      <w:u w:val="single" w:color="auto"/>
                      <w:lang w:val="en-US" w:eastAsia="zh-CN"/>
                    </w:rPr>
                    <w:t>皮带输送机</w:t>
                  </w:r>
                  <w:r>
                    <w:rPr>
                      <w:rFonts w:hint="eastAsia" w:cs="Times New Roman"/>
                      <w:color w:val="auto"/>
                      <w:spacing w:val="7"/>
                      <w:sz w:val="21"/>
                      <w:szCs w:val="21"/>
                      <w:highlight w:val="none"/>
                      <w:u w:val="single" w:color="auto"/>
                      <w:lang w:val="en-US" w:eastAsia="zh-CN"/>
                    </w:rPr>
                    <w:t>1</w:t>
                  </w:r>
                </w:p>
              </w:tc>
              <w:tc>
                <w:tcPr>
                  <w:tcW w:w="669" w:type="dxa"/>
                  <w:tcBorders>
                    <w:tl2br w:val="nil"/>
                    <w:tr2bl w:val="nil"/>
                  </w:tcBorders>
                  <w:shd w:val="clear" w:color="auto" w:fill="auto"/>
                  <w:vAlign w:val="center"/>
                </w:tcPr>
                <w:p w14:paraId="551EC058">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23</w:t>
                  </w:r>
                </w:p>
              </w:tc>
              <w:tc>
                <w:tcPr>
                  <w:tcW w:w="765" w:type="dxa"/>
                  <w:tcBorders>
                    <w:tl2br w:val="nil"/>
                    <w:tr2bl w:val="nil"/>
                  </w:tcBorders>
                  <w:shd w:val="clear" w:color="auto" w:fill="auto"/>
                  <w:vAlign w:val="center"/>
                </w:tcPr>
                <w:p w14:paraId="6EA03F06">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25</w:t>
                  </w:r>
                </w:p>
              </w:tc>
              <w:tc>
                <w:tcPr>
                  <w:tcW w:w="780" w:type="dxa"/>
                  <w:tcBorders>
                    <w:tl2br w:val="nil"/>
                    <w:tr2bl w:val="nil"/>
                  </w:tcBorders>
                  <w:shd w:val="clear" w:color="auto" w:fill="auto"/>
                  <w:vAlign w:val="center"/>
                </w:tcPr>
                <w:p w14:paraId="4B59BAE8">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20</w:t>
                  </w:r>
                </w:p>
              </w:tc>
              <w:tc>
                <w:tcPr>
                  <w:tcW w:w="1022" w:type="dxa"/>
                  <w:tcBorders>
                    <w:tl2br w:val="nil"/>
                    <w:tr2bl w:val="nil"/>
                  </w:tcBorders>
                  <w:shd w:val="clear" w:color="auto" w:fill="auto"/>
                  <w:vAlign w:val="center"/>
                </w:tcPr>
                <w:p w14:paraId="5582EDA4">
                  <w:pPr>
                    <w:jc w:val="center"/>
                    <w:rPr>
                      <w:rFonts w:hint="default" w:eastAsia="宋体"/>
                      <w:b w:val="0"/>
                      <w:bCs/>
                      <w:color w:val="auto"/>
                      <w:sz w:val="21"/>
                      <w:szCs w:val="21"/>
                      <w:highlight w:val="none"/>
                      <w:u w:val="single" w:color="auto"/>
                      <w:lang w:val="en-US" w:eastAsia="zh-CN"/>
                    </w:rPr>
                  </w:pPr>
                  <w:r>
                    <w:rPr>
                      <w:rFonts w:hint="eastAsia"/>
                      <w:b w:val="0"/>
                      <w:bCs/>
                      <w:color w:val="auto"/>
                      <w:sz w:val="21"/>
                      <w:szCs w:val="21"/>
                      <w:highlight w:val="none"/>
                      <w:u w:val="single" w:color="auto"/>
                      <w:lang w:val="en-US" w:eastAsia="zh-CN"/>
                    </w:rPr>
                    <w:t>75</w:t>
                  </w:r>
                </w:p>
              </w:tc>
              <w:tc>
                <w:tcPr>
                  <w:tcW w:w="1698" w:type="dxa"/>
                  <w:tcBorders>
                    <w:tl2br w:val="nil"/>
                    <w:tr2bl w:val="nil"/>
                  </w:tcBorders>
                  <w:vAlign w:val="center"/>
                </w:tcPr>
                <w:p w14:paraId="26127367">
                  <w:pPr>
                    <w:widowControl/>
                    <w:ind w:left="-63" w:leftChars="-30" w:right="-63" w:rightChars="-30"/>
                    <w:jc w:val="center"/>
                    <w:textAlignment w:val="center"/>
                    <w:rPr>
                      <w:rFonts w:hint="eastAsia"/>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p>
              </w:tc>
              <w:tc>
                <w:tcPr>
                  <w:tcW w:w="876" w:type="dxa"/>
                  <w:vMerge w:val="continue"/>
                  <w:tcBorders>
                    <w:tl2br w:val="nil"/>
                    <w:tr2bl w:val="nil"/>
                  </w:tcBorders>
                  <w:shd w:val="clear" w:color="auto" w:fill="auto"/>
                  <w:vAlign w:val="center"/>
                </w:tcPr>
                <w:p w14:paraId="14278DEA">
                  <w:pPr>
                    <w:widowControl/>
                    <w:ind w:left="-63" w:leftChars="-30" w:right="-63" w:rightChars="-30"/>
                    <w:jc w:val="center"/>
                    <w:textAlignment w:val="center"/>
                    <w:rPr>
                      <w:rFonts w:hint="eastAsia"/>
                      <w:color w:val="auto"/>
                      <w:kern w:val="0"/>
                      <w:sz w:val="21"/>
                      <w:szCs w:val="21"/>
                      <w:highlight w:val="none"/>
                      <w:u w:val="single" w:color="auto"/>
                      <w:lang w:bidi="ar"/>
                    </w:rPr>
                  </w:pPr>
                </w:p>
              </w:tc>
            </w:tr>
            <w:tr w14:paraId="0ADB50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488" w:type="dxa"/>
                  <w:tcBorders>
                    <w:tl2br w:val="nil"/>
                    <w:tr2bl w:val="nil"/>
                  </w:tcBorders>
                  <w:shd w:val="clear" w:color="auto" w:fill="auto"/>
                  <w:vAlign w:val="center"/>
                </w:tcPr>
                <w:p w14:paraId="565E4150">
                  <w:pPr>
                    <w:widowControl/>
                    <w:ind w:left="-63" w:leftChars="-30" w:right="-63" w:rightChars="-30"/>
                    <w:jc w:val="center"/>
                    <w:textAlignment w:val="center"/>
                    <w:rPr>
                      <w:rFonts w:hint="default" w:ascii="Times New Roman" w:hAnsi="Times New Roman" w:eastAsia="宋体" w:cs="Times New Roman"/>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12</w:t>
                  </w:r>
                </w:p>
              </w:tc>
              <w:tc>
                <w:tcPr>
                  <w:tcW w:w="1540" w:type="dxa"/>
                  <w:tcBorders>
                    <w:tl2br w:val="nil"/>
                    <w:tr2bl w:val="nil"/>
                  </w:tcBorders>
                  <w:vAlign w:val="center"/>
                </w:tcPr>
                <w:p w14:paraId="3F8E7437">
                  <w:pPr>
                    <w:widowControl/>
                    <w:jc w:val="center"/>
                    <w:textAlignment w:val="center"/>
                    <w:rPr>
                      <w:rFonts w:hint="default"/>
                      <w:color w:val="auto"/>
                      <w:kern w:val="0"/>
                      <w:sz w:val="21"/>
                      <w:szCs w:val="21"/>
                      <w:highlight w:val="none"/>
                      <w:u w:val="single" w:color="auto"/>
                      <w:lang w:val="en-US" w:eastAsia="zh-CN" w:bidi="ar"/>
                    </w:rPr>
                  </w:pPr>
                  <w:r>
                    <w:rPr>
                      <w:rFonts w:hint="eastAsia"/>
                      <w:color w:val="auto"/>
                      <w:kern w:val="0"/>
                      <w:sz w:val="21"/>
                      <w:szCs w:val="21"/>
                      <w:highlight w:val="none"/>
                      <w:u w:val="single" w:color="auto"/>
                      <w:lang w:eastAsia="zh-CN" w:bidi="ar"/>
                    </w:rPr>
                    <w:t>皮带输送机</w:t>
                  </w:r>
                  <w:r>
                    <w:rPr>
                      <w:rFonts w:hint="eastAsia"/>
                      <w:color w:val="auto"/>
                      <w:kern w:val="0"/>
                      <w:sz w:val="21"/>
                      <w:szCs w:val="21"/>
                      <w:highlight w:val="none"/>
                      <w:u w:val="single" w:color="auto"/>
                      <w:lang w:val="en-US" w:eastAsia="zh-CN" w:bidi="ar"/>
                    </w:rPr>
                    <w:t>2</w:t>
                  </w:r>
                </w:p>
              </w:tc>
              <w:tc>
                <w:tcPr>
                  <w:tcW w:w="669" w:type="dxa"/>
                  <w:tcBorders>
                    <w:tl2br w:val="nil"/>
                    <w:tr2bl w:val="nil"/>
                  </w:tcBorders>
                  <w:shd w:val="clear" w:color="auto" w:fill="auto"/>
                  <w:vAlign w:val="center"/>
                </w:tcPr>
                <w:p w14:paraId="4633F82D">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48</w:t>
                  </w:r>
                </w:p>
              </w:tc>
              <w:tc>
                <w:tcPr>
                  <w:tcW w:w="765" w:type="dxa"/>
                  <w:tcBorders>
                    <w:tl2br w:val="nil"/>
                    <w:tr2bl w:val="nil"/>
                  </w:tcBorders>
                  <w:shd w:val="clear" w:color="auto" w:fill="auto"/>
                  <w:vAlign w:val="center"/>
                </w:tcPr>
                <w:p w14:paraId="0215FC4E">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28</w:t>
                  </w:r>
                </w:p>
              </w:tc>
              <w:tc>
                <w:tcPr>
                  <w:tcW w:w="780" w:type="dxa"/>
                  <w:tcBorders>
                    <w:tl2br w:val="nil"/>
                    <w:tr2bl w:val="nil"/>
                  </w:tcBorders>
                  <w:shd w:val="clear" w:color="auto" w:fill="auto"/>
                  <w:vAlign w:val="center"/>
                </w:tcPr>
                <w:p w14:paraId="18DC1293">
                  <w:pPr>
                    <w:jc w:val="center"/>
                    <w:rPr>
                      <w:rFonts w:hint="eastAsia"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10</w:t>
                  </w:r>
                </w:p>
              </w:tc>
              <w:tc>
                <w:tcPr>
                  <w:tcW w:w="1022" w:type="dxa"/>
                  <w:tcBorders>
                    <w:tl2br w:val="nil"/>
                    <w:tr2bl w:val="nil"/>
                  </w:tcBorders>
                  <w:shd w:val="clear" w:color="auto" w:fill="auto"/>
                  <w:vAlign w:val="center"/>
                </w:tcPr>
                <w:p w14:paraId="5D4C0673">
                  <w:pPr>
                    <w:jc w:val="center"/>
                    <w:rPr>
                      <w:rFonts w:hint="default" w:eastAsia="宋体"/>
                      <w:b w:val="0"/>
                      <w:bCs/>
                      <w:color w:val="auto"/>
                      <w:sz w:val="21"/>
                      <w:szCs w:val="21"/>
                      <w:highlight w:val="none"/>
                      <w:u w:val="single" w:color="auto"/>
                      <w:lang w:val="en-US" w:eastAsia="zh-CN"/>
                    </w:rPr>
                  </w:pPr>
                  <w:r>
                    <w:rPr>
                      <w:rFonts w:hint="eastAsia"/>
                      <w:b w:val="0"/>
                      <w:bCs/>
                      <w:color w:val="auto"/>
                      <w:sz w:val="21"/>
                      <w:szCs w:val="21"/>
                      <w:highlight w:val="none"/>
                      <w:u w:val="single" w:color="auto"/>
                      <w:lang w:val="en-US" w:eastAsia="zh-CN"/>
                    </w:rPr>
                    <w:t>75</w:t>
                  </w:r>
                </w:p>
              </w:tc>
              <w:tc>
                <w:tcPr>
                  <w:tcW w:w="1698" w:type="dxa"/>
                  <w:tcBorders>
                    <w:tl2br w:val="nil"/>
                    <w:tr2bl w:val="nil"/>
                  </w:tcBorders>
                  <w:vAlign w:val="center"/>
                </w:tcPr>
                <w:p w14:paraId="496620A7">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p>
              </w:tc>
              <w:tc>
                <w:tcPr>
                  <w:tcW w:w="876" w:type="dxa"/>
                  <w:vMerge w:val="continue"/>
                  <w:tcBorders>
                    <w:tl2br w:val="nil"/>
                    <w:tr2bl w:val="nil"/>
                  </w:tcBorders>
                  <w:shd w:val="clear" w:color="auto" w:fill="auto"/>
                  <w:vAlign w:val="center"/>
                </w:tcPr>
                <w:p w14:paraId="56BF84E9">
                  <w:pPr>
                    <w:widowControl/>
                    <w:ind w:left="-63" w:leftChars="-30" w:right="-63" w:rightChars="-30"/>
                    <w:jc w:val="center"/>
                    <w:textAlignment w:val="center"/>
                    <w:rPr>
                      <w:rFonts w:hint="eastAsia"/>
                      <w:color w:val="auto"/>
                      <w:kern w:val="0"/>
                      <w:sz w:val="21"/>
                      <w:szCs w:val="21"/>
                      <w:highlight w:val="none"/>
                      <w:u w:val="single" w:color="auto"/>
                      <w:lang w:bidi="ar"/>
                    </w:rPr>
                  </w:pPr>
                </w:p>
              </w:tc>
            </w:tr>
            <w:tr w14:paraId="49A66E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488" w:type="dxa"/>
                  <w:tcBorders>
                    <w:tl2br w:val="nil"/>
                    <w:tr2bl w:val="nil"/>
                  </w:tcBorders>
                  <w:shd w:val="clear" w:color="auto" w:fill="auto"/>
                  <w:vAlign w:val="center"/>
                </w:tcPr>
                <w:p w14:paraId="583FF8B8">
                  <w:pPr>
                    <w:widowControl/>
                    <w:ind w:left="-63" w:leftChars="-30" w:right="-63" w:rightChars="-30"/>
                    <w:jc w:val="center"/>
                    <w:textAlignment w:val="center"/>
                    <w:rPr>
                      <w:rFonts w:hint="default"/>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13</w:t>
                  </w:r>
                </w:p>
              </w:tc>
              <w:tc>
                <w:tcPr>
                  <w:tcW w:w="1540" w:type="dxa"/>
                  <w:tcBorders>
                    <w:tl2br w:val="nil"/>
                    <w:tr2bl w:val="nil"/>
                  </w:tcBorders>
                  <w:vAlign w:val="center"/>
                </w:tcPr>
                <w:p w14:paraId="25A8478C">
                  <w:pPr>
                    <w:widowControl/>
                    <w:jc w:val="center"/>
                    <w:textAlignment w:val="center"/>
                    <w:rPr>
                      <w:rFonts w:hint="default"/>
                      <w:color w:val="auto"/>
                      <w:kern w:val="0"/>
                      <w:sz w:val="21"/>
                      <w:szCs w:val="21"/>
                      <w:highlight w:val="none"/>
                      <w:u w:val="single" w:color="auto"/>
                      <w:lang w:val="en-US" w:eastAsia="zh-CN" w:bidi="ar"/>
                    </w:rPr>
                  </w:pPr>
                  <w:r>
                    <w:rPr>
                      <w:rFonts w:hint="eastAsia"/>
                      <w:color w:val="auto"/>
                      <w:kern w:val="0"/>
                      <w:sz w:val="21"/>
                      <w:szCs w:val="21"/>
                      <w:highlight w:val="none"/>
                      <w:u w:val="single" w:color="auto"/>
                      <w:lang w:eastAsia="zh-CN" w:bidi="ar"/>
                    </w:rPr>
                    <w:t>皮带输送机</w:t>
                  </w:r>
                  <w:r>
                    <w:rPr>
                      <w:rFonts w:hint="eastAsia"/>
                      <w:color w:val="auto"/>
                      <w:kern w:val="0"/>
                      <w:sz w:val="21"/>
                      <w:szCs w:val="21"/>
                      <w:highlight w:val="none"/>
                      <w:u w:val="single" w:color="auto"/>
                      <w:lang w:val="en-US" w:eastAsia="zh-CN" w:bidi="ar"/>
                    </w:rPr>
                    <w:t>3</w:t>
                  </w:r>
                </w:p>
              </w:tc>
              <w:tc>
                <w:tcPr>
                  <w:tcW w:w="669" w:type="dxa"/>
                  <w:tcBorders>
                    <w:tl2br w:val="nil"/>
                    <w:tr2bl w:val="nil"/>
                  </w:tcBorders>
                  <w:shd w:val="clear" w:color="auto" w:fill="auto"/>
                  <w:vAlign w:val="center"/>
                </w:tcPr>
                <w:p w14:paraId="1AC14BA3">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54</w:t>
                  </w:r>
                </w:p>
              </w:tc>
              <w:tc>
                <w:tcPr>
                  <w:tcW w:w="765" w:type="dxa"/>
                  <w:tcBorders>
                    <w:tl2br w:val="nil"/>
                    <w:tr2bl w:val="nil"/>
                  </w:tcBorders>
                  <w:shd w:val="clear" w:color="auto" w:fill="auto"/>
                  <w:vAlign w:val="center"/>
                </w:tcPr>
                <w:p w14:paraId="41DC253B">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17</w:t>
                  </w:r>
                </w:p>
              </w:tc>
              <w:tc>
                <w:tcPr>
                  <w:tcW w:w="780" w:type="dxa"/>
                  <w:tcBorders>
                    <w:tl2br w:val="nil"/>
                    <w:tr2bl w:val="nil"/>
                  </w:tcBorders>
                  <w:shd w:val="clear" w:color="auto" w:fill="auto"/>
                  <w:vAlign w:val="center"/>
                </w:tcPr>
                <w:p w14:paraId="54E1E3F7">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10</w:t>
                  </w:r>
                </w:p>
              </w:tc>
              <w:tc>
                <w:tcPr>
                  <w:tcW w:w="1022" w:type="dxa"/>
                  <w:tcBorders>
                    <w:tl2br w:val="nil"/>
                    <w:tr2bl w:val="nil"/>
                  </w:tcBorders>
                  <w:shd w:val="clear" w:color="auto" w:fill="auto"/>
                  <w:vAlign w:val="center"/>
                </w:tcPr>
                <w:p w14:paraId="7AEBEB68">
                  <w:pPr>
                    <w:jc w:val="center"/>
                    <w:rPr>
                      <w:rFonts w:hint="default" w:eastAsia="宋体"/>
                      <w:b w:val="0"/>
                      <w:bCs/>
                      <w:color w:val="auto"/>
                      <w:sz w:val="21"/>
                      <w:szCs w:val="21"/>
                      <w:highlight w:val="none"/>
                      <w:u w:val="single" w:color="auto"/>
                      <w:lang w:val="en-US" w:eastAsia="zh-CN"/>
                    </w:rPr>
                  </w:pPr>
                  <w:r>
                    <w:rPr>
                      <w:rFonts w:hint="eastAsia"/>
                      <w:b w:val="0"/>
                      <w:bCs/>
                      <w:color w:val="auto"/>
                      <w:sz w:val="21"/>
                      <w:szCs w:val="21"/>
                      <w:highlight w:val="none"/>
                      <w:u w:val="single" w:color="auto"/>
                      <w:lang w:val="en-US" w:eastAsia="zh-CN"/>
                    </w:rPr>
                    <w:t>75</w:t>
                  </w:r>
                </w:p>
              </w:tc>
              <w:tc>
                <w:tcPr>
                  <w:tcW w:w="1698" w:type="dxa"/>
                  <w:tcBorders>
                    <w:tl2br w:val="nil"/>
                    <w:tr2bl w:val="nil"/>
                  </w:tcBorders>
                  <w:vAlign w:val="center"/>
                </w:tcPr>
                <w:p w14:paraId="59870F12">
                  <w:pPr>
                    <w:widowControl/>
                    <w:ind w:left="-63" w:leftChars="-30" w:right="-63" w:rightChars="-30"/>
                    <w:jc w:val="center"/>
                    <w:textAlignment w:val="center"/>
                    <w:rPr>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p>
              </w:tc>
              <w:tc>
                <w:tcPr>
                  <w:tcW w:w="876" w:type="dxa"/>
                  <w:vMerge w:val="continue"/>
                  <w:tcBorders>
                    <w:tl2br w:val="nil"/>
                    <w:tr2bl w:val="nil"/>
                  </w:tcBorders>
                  <w:shd w:val="clear" w:color="auto" w:fill="auto"/>
                  <w:vAlign w:val="center"/>
                </w:tcPr>
                <w:p w14:paraId="5A618295">
                  <w:pPr>
                    <w:widowControl/>
                    <w:ind w:left="-63" w:leftChars="-30" w:right="-63" w:rightChars="-30"/>
                    <w:jc w:val="center"/>
                    <w:textAlignment w:val="center"/>
                    <w:rPr>
                      <w:rFonts w:hint="eastAsia"/>
                      <w:color w:val="auto"/>
                      <w:kern w:val="0"/>
                      <w:sz w:val="21"/>
                      <w:szCs w:val="21"/>
                      <w:highlight w:val="none"/>
                      <w:u w:val="single" w:color="auto"/>
                      <w:lang w:bidi="ar"/>
                    </w:rPr>
                  </w:pPr>
                </w:p>
              </w:tc>
            </w:tr>
            <w:tr w14:paraId="62E775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488" w:type="dxa"/>
                  <w:tcBorders>
                    <w:tl2br w:val="nil"/>
                    <w:tr2bl w:val="nil"/>
                  </w:tcBorders>
                  <w:shd w:val="clear" w:color="auto" w:fill="auto"/>
                  <w:vAlign w:val="center"/>
                </w:tcPr>
                <w:p w14:paraId="017E7145">
                  <w:pPr>
                    <w:widowControl/>
                    <w:ind w:left="-63" w:leftChars="-30" w:right="-63" w:rightChars="-30"/>
                    <w:jc w:val="center"/>
                    <w:textAlignment w:val="center"/>
                    <w:rPr>
                      <w:rFonts w:hint="default"/>
                      <w:color w:val="auto"/>
                      <w:kern w:val="0"/>
                      <w:sz w:val="21"/>
                      <w:szCs w:val="21"/>
                      <w:highlight w:val="none"/>
                      <w:u w:val="single" w:color="auto"/>
                      <w:lang w:val="en-US" w:eastAsia="zh-CN" w:bidi="ar"/>
                    </w:rPr>
                  </w:pPr>
                  <w:r>
                    <w:rPr>
                      <w:rFonts w:hint="eastAsia"/>
                      <w:color w:val="auto"/>
                      <w:kern w:val="0"/>
                      <w:sz w:val="21"/>
                      <w:szCs w:val="21"/>
                      <w:highlight w:val="none"/>
                      <w:u w:val="single" w:color="auto"/>
                      <w:lang w:val="en-US" w:eastAsia="zh-CN" w:bidi="ar"/>
                    </w:rPr>
                    <w:t>14</w:t>
                  </w:r>
                </w:p>
              </w:tc>
              <w:tc>
                <w:tcPr>
                  <w:tcW w:w="1540" w:type="dxa"/>
                  <w:tcBorders>
                    <w:tl2br w:val="nil"/>
                    <w:tr2bl w:val="nil"/>
                  </w:tcBorders>
                  <w:vAlign w:val="center"/>
                </w:tcPr>
                <w:p w14:paraId="60892122">
                  <w:pPr>
                    <w:widowControl/>
                    <w:jc w:val="center"/>
                    <w:textAlignment w:val="center"/>
                    <w:rPr>
                      <w:rFonts w:hint="eastAsia"/>
                      <w:color w:val="auto"/>
                      <w:kern w:val="0"/>
                      <w:sz w:val="21"/>
                      <w:szCs w:val="21"/>
                      <w:highlight w:val="none"/>
                      <w:u w:val="single" w:color="auto"/>
                      <w:lang w:eastAsia="zh-CN" w:bidi="ar"/>
                    </w:rPr>
                  </w:pPr>
                  <w:r>
                    <w:rPr>
                      <w:rFonts w:hint="eastAsia"/>
                      <w:color w:val="auto"/>
                      <w:kern w:val="0"/>
                      <w:sz w:val="21"/>
                      <w:szCs w:val="21"/>
                      <w:highlight w:val="none"/>
                      <w:u w:val="single" w:color="auto"/>
                      <w:lang w:eastAsia="zh-CN" w:bidi="ar"/>
                    </w:rPr>
                    <w:t>皮带输送机</w:t>
                  </w:r>
                  <w:r>
                    <w:rPr>
                      <w:rFonts w:hint="eastAsia"/>
                      <w:color w:val="auto"/>
                      <w:kern w:val="0"/>
                      <w:sz w:val="21"/>
                      <w:szCs w:val="21"/>
                      <w:highlight w:val="none"/>
                      <w:u w:val="single" w:color="auto"/>
                      <w:lang w:val="en-US" w:eastAsia="zh-CN" w:bidi="ar"/>
                    </w:rPr>
                    <w:t>4</w:t>
                  </w:r>
                </w:p>
              </w:tc>
              <w:tc>
                <w:tcPr>
                  <w:tcW w:w="669" w:type="dxa"/>
                  <w:tcBorders>
                    <w:tl2br w:val="nil"/>
                    <w:tr2bl w:val="nil"/>
                  </w:tcBorders>
                  <w:shd w:val="clear" w:color="auto" w:fill="auto"/>
                  <w:vAlign w:val="center"/>
                </w:tcPr>
                <w:p w14:paraId="12195B76">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54</w:t>
                  </w:r>
                </w:p>
              </w:tc>
              <w:tc>
                <w:tcPr>
                  <w:tcW w:w="765" w:type="dxa"/>
                  <w:tcBorders>
                    <w:tl2br w:val="nil"/>
                    <w:tr2bl w:val="nil"/>
                  </w:tcBorders>
                  <w:shd w:val="clear" w:color="auto" w:fill="auto"/>
                  <w:vAlign w:val="center"/>
                </w:tcPr>
                <w:p w14:paraId="72A65399">
                  <w:pPr>
                    <w:jc w:val="center"/>
                    <w:rPr>
                      <w:rFonts w:hint="default"/>
                      <w:color w:val="auto"/>
                      <w:sz w:val="21"/>
                      <w:szCs w:val="21"/>
                      <w:highlight w:val="none"/>
                      <w:u w:val="single" w:color="auto"/>
                      <w:lang w:val="en-US" w:eastAsia="zh-CN"/>
                    </w:rPr>
                  </w:pPr>
                  <w:r>
                    <w:rPr>
                      <w:rFonts w:hint="eastAsia"/>
                      <w:color w:val="auto"/>
                      <w:sz w:val="21"/>
                      <w:szCs w:val="21"/>
                      <w:highlight w:val="none"/>
                      <w:u w:val="single" w:color="auto"/>
                      <w:lang w:val="en-US" w:eastAsia="zh-CN"/>
                    </w:rPr>
                    <w:t>7</w:t>
                  </w:r>
                </w:p>
              </w:tc>
              <w:tc>
                <w:tcPr>
                  <w:tcW w:w="780" w:type="dxa"/>
                  <w:tcBorders>
                    <w:tl2br w:val="nil"/>
                    <w:tr2bl w:val="nil"/>
                  </w:tcBorders>
                  <w:shd w:val="clear" w:color="auto" w:fill="auto"/>
                  <w:vAlign w:val="center"/>
                </w:tcPr>
                <w:p w14:paraId="2BD2D57F">
                  <w:pPr>
                    <w:jc w:val="center"/>
                    <w:rPr>
                      <w:rFonts w:hint="default" w:eastAsia="宋体"/>
                      <w:color w:val="auto"/>
                      <w:sz w:val="21"/>
                      <w:szCs w:val="21"/>
                      <w:highlight w:val="none"/>
                      <w:u w:val="single" w:color="auto"/>
                      <w:lang w:val="en-US" w:eastAsia="zh-CN"/>
                    </w:rPr>
                  </w:pPr>
                  <w:r>
                    <w:rPr>
                      <w:rFonts w:hint="eastAsia"/>
                      <w:color w:val="auto"/>
                      <w:sz w:val="21"/>
                      <w:szCs w:val="21"/>
                      <w:highlight w:val="none"/>
                      <w:u w:val="single" w:color="auto"/>
                      <w:lang w:val="en-US" w:eastAsia="zh-CN"/>
                    </w:rPr>
                    <w:t>10</w:t>
                  </w:r>
                </w:p>
              </w:tc>
              <w:tc>
                <w:tcPr>
                  <w:tcW w:w="1022" w:type="dxa"/>
                  <w:tcBorders>
                    <w:tl2br w:val="nil"/>
                    <w:tr2bl w:val="nil"/>
                  </w:tcBorders>
                  <w:shd w:val="clear" w:color="auto" w:fill="auto"/>
                  <w:vAlign w:val="center"/>
                </w:tcPr>
                <w:p w14:paraId="6A545A25">
                  <w:pPr>
                    <w:jc w:val="center"/>
                    <w:rPr>
                      <w:rFonts w:hint="default" w:eastAsia="宋体"/>
                      <w:b w:val="0"/>
                      <w:bCs/>
                      <w:color w:val="auto"/>
                      <w:sz w:val="21"/>
                      <w:szCs w:val="21"/>
                      <w:highlight w:val="none"/>
                      <w:u w:val="single" w:color="auto"/>
                      <w:lang w:val="en-US" w:eastAsia="zh-CN"/>
                    </w:rPr>
                  </w:pPr>
                  <w:r>
                    <w:rPr>
                      <w:rFonts w:hint="eastAsia"/>
                      <w:b w:val="0"/>
                      <w:bCs/>
                      <w:color w:val="auto"/>
                      <w:sz w:val="21"/>
                      <w:szCs w:val="21"/>
                      <w:highlight w:val="none"/>
                      <w:u w:val="single" w:color="auto"/>
                      <w:lang w:val="en-US" w:eastAsia="zh-CN"/>
                    </w:rPr>
                    <w:t>75</w:t>
                  </w:r>
                </w:p>
              </w:tc>
              <w:tc>
                <w:tcPr>
                  <w:tcW w:w="1698" w:type="dxa"/>
                  <w:tcBorders>
                    <w:tl2br w:val="nil"/>
                    <w:tr2bl w:val="nil"/>
                  </w:tcBorders>
                  <w:vAlign w:val="center"/>
                </w:tcPr>
                <w:p w14:paraId="087B40D3">
                  <w:pPr>
                    <w:widowControl/>
                    <w:ind w:left="-63" w:leftChars="-30" w:right="-63" w:rightChars="-30"/>
                    <w:jc w:val="center"/>
                    <w:textAlignment w:val="center"/>
                    <w:rPr>
                      <w:rFonts w:hint="eastAsia"/>
                      <w:color w:val="auto"/>
                      <w:kern w:val="0"/>
                      <w:sz w:val="21"/>
                      <w:szCs w:val="21"/>
                      <w:highlight w:val="none"/>
                      <w:u w:val="single" w:color="auto"/>
                      <w:lang w:bidi="ar"/>
                    </w:rPr>
                  </w:pPr>
                  <w:r>
                    <w:rPr>
                      <w:rFonts w:hint="eastAsia"/>
                      <w:color w:val="auto"/>
                      <w:kern w:val="0"/>
                      <w:sz w:val="21"/>
                      <w:szCs w:val="21"/>
                      <w:highlight w:val="none"/>
                      <w:u w:val="single" w:color="auto"/>
                      <w:lang w:bidi="ar"/>
                    </w:rPr>
                    <w:t>基础减振</w:t>
                  </w:r>
                </w:p>
              </w:tc>
              <w:tc>
                <w:tcPr>
                  <w:tcW w:w="876" w:type="dxa"/>
                  <w:vMerge w:val="continue"/>
                  <w:tcBorders>
                    <w:tl2br w:val="nil"/>
                    <w:tr2bl w:val="nil"/>
                  </w:tcBorders>
                  <w:shd w:val="clear" w:color="auto" w:fill="auto"/>
                  <w:vAlign w:val="center"/>
                </w:tcPr>
                <w:p w14:paraId="0CB09652">
                  <w:pPr>
                    <w:widowControl/>
                    <w:ind w:left="-63" w:leftChars="-30" w:right="-63" w:rightChars="-30"/>
                    <w:jc w:val="center"/>
                    <w:textAlignment w:val="center"/>
                    <w:rPr>
                      <w:rFonts w:hint="eastAsia"/>
                      <w:color w:val="auto"/>
                      <w:kern w:val="0"/>
                      <w:sz w:val="21"/>
                      <w:szCs w:val="21"/>
                      <w:highlight w:val="none"/>
                      <w:u w:val="single" w:color="auto"/>
                      <w:lang w:bidi="ar"/>
                    </w:rPr>
                  </w:pPr>
                </w:p>
              </w:tc>
            </w:tr>
            <w:tr w14:paraId="7A569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7838" w:type="dxa"/>
                  <w:gridSpan w:val="8"/>
                  <w:tcBorders>
                    <w:tl2br w:val="nil"/>
                    <w:tr2bl w:val="nil"/>
                  </w:tcBorders>
                  <w:shd w:val="clear" w:color="auto" w:fill="auto"/>
                  <w:vAlign w:val="center"/>
                </w:tcPr>
                <w:p w14:paraId="22845074">
                  <w:pPr>
                    <w:widowControl/>
                    <w:ind w:left="-63" w:leftChars="-30" w:right="-63" w:rightChars="-30"/>
                    <w:jc w:val="left"/>
                    <w:textAlignment w:val="center"/>
                    <w:rPr>
                      <w:rFonts w:hint="eastAsia"/>
                      <w:color w:val="auto"/>
                      <w:kern w:val="0"/>
                      <w:sz w:val="21"/>
                      <w:szCs w:val="21"/>
                      <w:highlight w:val="none"/>
                      <w:u w:val="single" w:color="auto"/>
                      <w:lang w:bidi="ar"/>
                    </w:rPr>
                  </w:pPr>
                  <w:r>
                    <w:rPr>
                      <w:rFonts w:hint="eastAsia"/>
                      <w:b w:val="0"/>
                      <w:bCs w:val="0"/>
                      <w:snapToGrid w:val="0"/>
                      <w:color w:val="auto"/>
                      <w:kern w:val="0"/>
                      <w:szCs w:val="21"/>
                      <w:highlight w:val="none"/>
                      <w:u w:val="single" w:color="auto"/>
                    </w:rPr>
                    <w:t>注：项目</w:t>
                  </w:r>
                  <w:r>
                    <w:rPr>
                      <w:rFonts w:hint="eastAsia"/>
                      <w:b w:val="0"/>
                      <w:bCs w:val="0"/>
                      <w:snapToGrid w:val="0"/>
                      <w:color w:val="auto"/>
                      <w:kern w:val="0"/>
                      <w:szCs w:val="21"/>
                      <w:highlight w:val="none"/>
                      <w:u w:val="single" w:color="auto"/>
                      <w:lang w:eastAsia="zh-CN"/>
                    </w:rPr>
                    <w:t>设施</w:t>
                  </w:r>
                  <w:r>
                    <w:rPr>
                      <w:rFonts w:hint="eastAsia"/>
                      <w:b w:val="0"/>
                      <w:bCs w:val="0"/>
                      <w:snapToGrid w:val="0"/>
                      <w:color w:val="auto"/>
                      <w:kern w:val="0"/>
                      <w:szCs w:val="21"/>
                      <w:highlight w:val="none"/>
                      <w:u w:val="single" w:color="auto"/>
                    </w:rPr>
                    <w:t>建设位置集中在厂区</w:t>
                  </w:r>
                  <w:r>
                    <w:rPr>
                      <w:rFonts w:hint="eastAsia"/>
                      <w:b w:val="0"/>
                      <w:bCs w:val="0"/>
                      <w:snapToGrid w:val="0"/>
                      <w:color w:val="auto"/>
                      <w:kern w:val="0"/>
                      <w:szCs w:val="21"/>
                      <w:highlight w:val="none"/>
                      <w:u w:val="single" w:color="auto"/>
                      <w:lang w:eastAsia="zh-CN"/>
                    </w:rPr>
                    <w:t>西南</w:t>
                  </w:r>
                  <w:r>
                    <w:rPr>
                      <w:rFonts w:hint="eastAsia"/>
                      <w:b w:val="0"/>
                      <w:bCs w:val="0"/>
                      <w:snapToGrid w:val="0"/>
                      <w:color w:val="auto"/>
                      <w:kern w:val="0"/>
                      <w:szCs w:val="21"/>
                      <w:highlight w:val="none"/>
                      <w:u w:val="single" w:color="auto"/>
                    </w:rPr>
                    <w:t>侧，则表中坐标以项目所在</w:t>
                  </w:r>
                  <w:r>
                    <w:rPr>
                      <w:rFonts w:hint="eastAsia"/>
                      <w:b w:val="0"/>
                      <w:bCs w:val="0"/>
                      <w:snapToGrid w:val="0"/>
                      <w:color w:val="auto"/>
                      <w:kern w:val="0"/>
                      <w:szCs w:val="21"/>
                      <w:highlight w:val="none"/>
                      <w:u w:val="single" w:color="auto"/>
                      <w:lang w:eastAsia="zh-CN"/>
                    </w:rPr>
                    <w:t>西南角为原点（126.18034154</w:t>
                  </w:r>
                  <w:r>
                    <w:rPr>
                      <w:rFonts w:hint="eastAsia"/>
                      <w:b w:val="0"/>
                      <w:bCs w:val="0"/>
                      <w:snapToGrid w:val="0"/>
                      <w:color w:val="auto"/>
                      <w:kern w:val="0"/>
                      <w:szCs w:val="21"/>
                      <w:highlight w:val="none"/>
                      <w:u w:val="single" w:color="auto"/>
                      <w:lang w:val="en-US" w:eastAsia="zh-CN"/>
                    </w:rPr>
                    <w:t>°</w:t>
                  </w:r>
                  <w:r>
                    <w:rPr>
                      <w:rFonts w:hint="eastAsia"/>
                      <w:b w:val="0"/>
                      <w:bCs w:val="0"/>
                      <w:snapToGrid w:val="0"/>
                      <w:color w:val="auto"/>
                      <w:kern w:val="0"/>
                      <w:szCs w:val="21"/>
                      <w:highlight w:val="none"/>
                      <w:u w:val="single" w:color="auto"/>
                    </w:rPr>
                    <w:t>，</w:t>
                  </w:r>
                  <w:r>
                    <w:rPr>
                      <w:rFonts w:hint="eastAsia"/>
                      <w:b w:val="0"/>
                      <w:bCs w:val="0"/>
                      <w:snapToGrid w:val="0"/>
                      <w:color w:val="auto"/>
                      <w:kern w:val="0"/>
                      <w:szCs w:val="21"/>
                      <w:highlight w:val="none"/>
                      <w:u w:val="single" w:color="auto"/>
                      <w:lang w:eastAsia="zh-CN"/>
                    </w:rPr>
                    <w:t>43.46416053</w:t>
                  </w:r>
                  <w:r>
                    <w:rPr>
                      <w:rFonts w:hint="eastAsia"/>
                      <w:b w:val="0"/>
                      <w:bCs w:val="0"/>
                      <w:snapToGrid w:val="0"/>
                      <w:color w:val="auto"/>
                      <w:kern w:val="0"/>
                      <w:szCs w:val="21"/>
                      <w:highlight w:val="none"/>
                      <w:u w:val="single" w:color="auto"/>
                      <w:lang w:val="en-US" w:eastAsia="zh-CN"/>
                    </w:rPr>
                    <w:t>°</w:t>
                  </w:r>
                  <w:r>
                    <w:rPr>
                      <w:rFonts w:hint="eastAsia"/>
                      <w:b w:val="0"/>
                      <w:bCs w:val="0"/>
                      <w:snapToGrid w:val="0"/>
                      <w:color w:val="auto"/>
                      <w:kern w:val="0"/>
                      <w:szCs w:val="21"/>
                      <w:highlight w:val="none"/>
                      <w:u w:val="single" w:color="auto"/>
                    </w:rPr>
                    <w:t>）为坐标原点，正东向为X轴正方向，正北向为Y轴正方向。</w:t>
                  </w:r>
                </w:p>
              </w:tc>
            </w:tr>
          </w:tbl>
          <w:p w14:paraId="64E6008A">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4.8</w:t>
            </w:r>
            <w:r>
              <w:rPr>
                <w:rFonts w:hint="default" w:ascii="Times New Roman" w:hAnsi="Times New Roman" w:cs="Times New Roman"/>
                <w:color w:val="auto"/>
                <w:position w:val="15"/>
                <w:sz w:val="24"/>
                <w:highlight w:val="none"/>
                <w:u w:val="none" w:color="auto"/>
                <w:lang w:val="en-US" w:eastAsia="zh-CN"/>
              </w:rPr>
              <w:t>.2</w:t>
            </w:r>
            <w:r>
              <w:rPr>
                <w:rFonts w:hint="default" w:ascii="Times New Roman" w:hAnsi="Times New Roman" w:cs="Times New Roman"/>
                <w:color w:val="auto"/>
                <w:position w:val="15"/>
                <w:sz w:val="24"/>
                <w:highlight w:val="none"/>
                <w:u w:val="none" w:color="auto"/>
              </w:rPr>
              <w:t>预测方法</w:t>
            </w:r>
          </w:p>
          <w:p w14:paraId="0F1FEC3A">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噪声预测方法采用《环境影响评价技术导则-声环境》（HJ2.4-2021）推荐的模式，根据已获得的声源源强的数据和各声源到预测点的传播条件资料，计算出噪声从各声源传播到预测点声衰减量，由此计算出各声源单独作用在预测点时产生的等效声级。预测公式见下表。</w:t>
            </w:r>
          </w:p>
          <w:p w14:paraId="58779CE9">
            <w:pPr>
              <w:adjustRightInd w:val="0"/>
              <w:snapToGrid w:val="0"/>
              <w:jc w:val="center"/>
              <w:rPr>
                <w:rFonts w:hint="default" w:ascii="Times New Roman" w:hAnsi="Times New Roman" w:cs="Times New Roman"/>
                <w:b/>
                <w:bCs/>
                <w:color w:val="auto"/>
                <w:spacing w:val="-2"/>
                <w:sz w:val="24"/>
                <w:highlight w:val="none"/>
                <w:u w:val="none" w:color="auto"/>
              </w:rPr>
            </w:pPr>
            <w:r>
              <w:rPr>
                <w:rFonts w:hint="default" w:ascii="Times New Roman" w:hAnsi="Times New Roman" w:cs="Times New Roman"/>
                <w:b/>
                <w:bCs/>
                <w:color w:val="auto"/>
                <w:spacing w:val="-2"/>
                <w:sz w:val="24"/>
                <w:highlight w:val="none"/>
                <w:u w:val="none" w:color="auto"/>
              </w:rPr>
              <w:t>表</w:t>
            </w:r>
            <w:r>
              <w:rPr>
                <w:rFonts w:hint="eastAsia" w:cs="Times New Roman"/>
                <w:b/>
                <w:bCs/>
                <w:color w:val="auto"/>
                <w:spacing w:val="-2"/>
                <w:sz w:val="24"/>
                <w:highlight w:val="none"/>
                <w:u w:val="none" w:color="auto"/>
                <w:lang w:val="en-US" w:eastAsia="zh-CN"/>
              </w:rPr>
              <w:t>4-12</w:t>
            </w:r>
            <w:r>
              <w:rPr>
                <w:rFonts w:hint="default" w:ascii="Times New Roman" w:hAnsi="Times New Roman" w:cs="Times New Roman"/>
                <w:b/>
                <w:bCs/>
                <w:color w:val="auto"/>
                <w:spacing w:val="-2"/>
                <w:sz w:val="24"/>
                <w:highlight w:val="none"/>
                <w:u w:val="none" w:color="auto"/>
              </w:rPr>
              <w:t>预测公式一览表</w:t>
            </w:r>
          </w:p>
          <w:tbl>
            <w:tblPr>
              <w:tblStyle w:val="28"/>
              <w:tblW w:w="7919" w:type="dxa"/>
              <w:tblInd w:w="6"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2528"/>
              <w:gridCol w:w="4104"/>
            </w:tblGrid>
            <w:tr w14:paraId="18F51F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287" w:type="dxa"/>
                  <w:tcBorders>
                    <w:tl2br w:val="nil"/>
                    <w:tr2bl w:val="nil"/>
                  </w:tcBorders>
                  <w:noWrap w:val="0"/>
                  <w:vAlign w:val="center"/>
                </w:tcPr>
                <w:p w14:paraId="74D40519">
                  <w:pPr>
                    <w:spacing w:beforeLines="0" w:afterLines="0" w:line="360" w:lineRule="exact"/>
                    <w:jc w:val="center"/>
                    <w:rPr>
                      <w:rFonts w:hint="eastAsia"/>
                      <w:color w:val="auto"/>
                      <w:sz w:val="21"/>
                      <w:szCs w:val="21"/>
                      <w:highlight w:val="none"/>
                      <w:u w:val="none" w:color="auto"/>
                    </w:rPr>
                  </w:pPr>
                  <w:r>
                    <w:rPr>
                      <w:rFonts w:hint="default" w:ascii="宋体" w:eastAsia="宋体"/>
                      <w:color w:val="auto"/>
                      <w:sz w:val="21"/>
                      <w:szCs w:val="21"/>
                      <w:highlight w:val="none"/>
                      <w:u w:val="none" w:color="auto"/>
                    </w:rPr>
                    <w:t>公式名称</w:t>
                  </w:r>
                </w:p>
              </w:tc>
              <w:tc>
                <w:tcPr>
                  <w:tcW w:w="2528" w:type="dxa"/>
                  <w:tcBorders>
                    <w:tl2br w:val="nil"/>
                    <w:tr2bl w:val="nil"/>
                  </w:tcBorders>
                  <w:noWrap w:val="0"/>
                  <w:vAlign w:val="center"/>
                </w:tcPr>
                <w:p w14:paraId="090F5254">
                  <w:pPr>
                    <w:spacing w:beforeLines="0" w:afterLines="0" w:line="360" w:lineRule="exact"/>
                    <w:jc w:val="center"/>
                    <w:rPr>
                      <w:rFonts w:hint="eastAsia"/>
                      <w:color w:val="auto"/>
                      <w:sz w:val="21"/>
                      <w:szCs w:val="21"/>
                      <w:highlight w:val="none"/>
                      <w:u w:val="none" w:color="auto"/>
                    </w:rPr>
                  </w:pPr>
                  <w:r>
                    <w:rPr>
                      <w:rFonts w:hint="default" w:ascii="宋体" w:eastAsia="宋体"/>
                      <w:color w:val="auto"/>
                      <w:sz w:val="21"/>
                      <w:szCs w:val="21"/>
                      <w:highlight w:val="none"/>
                      <w:u w:val="none" w:color="auto"/>
                    </w:rPr>
                    <w:t>公式</w:t>
                  </w:r>
                </w:p>
              </w:tc>
              <w:tc>
                <w:tcPr>
                  <w:tcW w:w="4104" w:type="dxa"/>
                  <w:tcBorders>
                    <w:tl2br w:val="nil"/>
                    <w:tr2bl w:val="nil"/>
                  </w:tcBorders>
                  <w:noWrap w:val="0"/>
                  <w:vAlign w:val="center"/>
                </w:tcPr>
                <w:p w14:paraId="7D3F8ADF">
                  <w:pPr>
                    <w:spacing w:beforeLines="0" w:afterLines="0" w:line="360" w:lineRule="exact"/>
                    <w:jc w:val="center"/>
                    <w:rPr>
                      <w:rFonts w:hint="eastAsia"/>
                      <w:color w:val="auto"/>
                      <w:sz w:val="21"/>
                      <w:szCs w:val="21"/>
                      <w:highlight w:val="none"/>
                      <w:u w:val="none" w:color="auto"/>
                    </w:rPr>
                  </w:pPr>
                  <w:r>
                    <w:rPr>
                      <w:rFonts w:hint="default" w:ascii="宋体" w:eastAsia="宋体"/>
                      <w:color w:val="auto"/>
                      <w:sz w:val="21"/>
                      <w:szCs w:val="21"/>
                      <w:highlight w:val="none"/>
                      <w:u w:val="none" w:color="auto"/>
                    </w:rPr>
                    <w:t>符号意义</w:t>
                  </w:r>
                </w:p>
              </w:tc>
            </w:tr>
            <w:tr w14:paraId="1A2D1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06" w:hRule="atLeast"/>
              </w:trPr>
              <w:tc>
                <w:tcPr>
                  <w:tcW w:w="1287" w:type="dxa"/>
                  <w:tcBorders>
                    <w:tl2br w:val="nil"/>
                    <w:tr2bl w:val="nil"/>
                  </w:tcBorders>
                  <w:noWrap w:val="0"/>
                  <w:vAlign w:val="center"/>
                </w:tcPr>
                <w:p w14:paraId="56370570">
                  <w:pPr>
                    <w:spacing w:beforeLines="0" w:afterLines="0" w:line="360" w:lineRule="exact"/>
                    <w:jc w:val="center"/>
                    <w:rPr>
                      <w:rFonts w:hint="eastAsia"/>
                      <w:color w:val="auto"/>
                      <w:sz w:val="21"/>
                      <w:szCs w:val="21"/>
                      <w:highlight w:val="none"/>
                      <w:u w:val="none" w:color="auto"/>
                    </w:rPr>
                  </w:pPr>
                  <w:r>
                    <w:rPr>
                      <w:rFonts w:hint="default" w:ascii="宋体" w:eastAsia="宋体"/>
                      <w:color w:val="auto"/>
                      <w:sz w:val="21"/>
                      <w:szCs w:val="21"/>
                      <w:highlight w:val="none"/>
                      <w:u w:val="none" w:color="auto"/>
                    </w:rPr>
                    <w:t>噪声户外传播衰减公式</w:t>
                  </w:r>
                </w:p>
              </w:tc>
              <w:tc>
                <w:tcPr>
                  <w:tcW w:w="2528" w:type="dxa"/>
                  <w:tcBorders>
                    <w:tl2br w:val="nil"/>
                    <w:tr2bl w:val="nil"/>
                  </w:tcBorders>
                  <w:noWrap w:val="0"/>
                  <w:vAlign w:val="center"/>
                </w:tcPr>
                <w:p w14:paraId="23084105">
                  <w:pPr>
                    <w:spacing w:beforeLines="0" w:afterLines="0"/>
                    <w:rPr>
                      <w:rFonts w:hint="eastAsia"/>
                      <w:color w:val="auto"/>
                      <w:sz w:val="21"/>
                      <w:szCs w:val="21"/>
                      <w:highlight w:val="none"/>
                      <w:u w:val="none" w:color="auto"/>
                    </w:rPr>
                  </w:pPr>
                  <w:r>
                    <w:rPr>
                      <w:rFonts w:hint="default" w:eastAsia="宋体"/>
                      <w:color w:val="auto"/>
                      <w:sz w:val="21"/>
                      <w:szCs w:val="21"/>
                      <w:highlight w:val="none"/>
                      <w:u w:val="none" w:color="auto"/>
                    </w:rPr>
                    <w:object>
                      <v:shape id="_x0000_i1027" o:spt="75" type="#_x0000_t75" style="height:37.95pt;width:95.9pt;" o:ole="t" filled="f" o:preferrelative="t" stroked="f" coordsize="21600,21600">
                        <v:path/>
                        <v:fill on="f" focussize="0,0"/>
                        <v:stroke on="f"/>
                        <v:imagedata r:id="rId18" o:title=""/>
                        <o:lock v:ext="edit" aspectratio="t"/>
                        <w10:wrap type="none"/>
                        <w10:anchorlock/>
                      </v:shape>
                      <o:OLEObject Type="Embed" ProgID="Equations" ShapeID="_x0000_i1027" DrawAspect="Content" ObjectID="_1468075727" r:id="rId17">
                        <o:LockedField>false</o:LockedField>
                      </o:OLEObject>
                    </w:object>
                  </w:r>
                </w:p>
              </w:tc>
              <w:tc>
                <w:tcPr>
                  <w:tcW w:w="4104" w:type="dxa"/>
                  <w:tcBorders>
                    <w:tl2br w:val="nil"/>
                    <w:tr2bl w:val="nil"/>
                  </w:tcBorders>
                  <w:noWrap w:val="0"/>
                  <w:vAlign w:val="center"/>
                </w:tcPr>
                <w:p w14:paraId="303DF424">
                  <w:pPr>
                    <w:spacing w:beforeLines="0" w:afterLines="0" w:line="360" w:lineRule="exact"/>
                    <w:rPr>
                      <w:rFonts w:hint="eastAsia" w:eastAsia="宋体"/>
                      <w:color w:val="auto"/>
                      <w:sz w:val="21"/>
                      <w:szCs w:val="21"/>
                      <w:highlight w:val="none"/>
                      <w:u w:val="none" w:color="auto"/>
                      <w:lang w:eastAsia="zh-CN"/>
                    </w:rPr>
                  </w:pPr>
                  <w:r>
                    <w:rPr>
                      <w:rFonts w:hint="eastAsia"/>
                      <w:color w:val="auto"/>
                      <w:sz w:val="21"/>
                      <w:szCs w:val="21"/>
                      <w:highlight w:val="none"/>
                      <w:u w:val="none" w:color="auto"/>
                    </w:rPr>
                    <w:t>L</w:t>
                  </w:r>
                  <w:r>
                    <w:rPr>
                      <w:rFonts w:hint="eastAsia"/>
                      <w:color w:val="auto"/>
                      <w:sz w:val="21"/>
                      <w:szCs w:val="21"/>
                      <w:highlight w:val="none"/>
                      <w:u w:val="none" w:color="auto"/>
                      <w:vertAlign w:val="subscript"/>
                    </w:rPr>
                    <w:t>p</w:t>
                  </w:r>
                  <w:r>
                    <w:rPr>
                      <w:rFonts w:hint="default" w:ascii="宋体" w:eastAsia="宋体"/>
                      <w:color w:val="auto"/>
                      <w:sz w:val="21"/>
                      <w:szCs w:val="21"/>
                      <w:highlight w:val="none"/>
                      <w:u w:val="none" w:color="auto"/>
                    </w:rPr>
                    <w:t>－距声源r米处的声压级，dB</w:t>
                  </w:r>
                  <w:r>
                    <w:rPr>
                      <w:rFonts w:hint="eastAsia" w:ascii="宋体"/>
                      <w:color w:val="auto"/>
                      <w:sz w:val="21"/>
                      <w:szCs w:val="21"/>
                      <w:highlight w:val="none"/>
                      <w:u w:val="none" w:color="auto"/>
                      <w:lang w:eastAsia="zh-CN"/>
                    </w:rPr>
                    <w:t>（</w:t>
                  </w:r>
                  <w:r>
                    <w:rPr>
                      <w:rFonts w:hint="default" w:ascii="宋体" w:eastAsia="宋体"/>
                      <w:color w:val="auto"/>
                      <w:sz w:val="21"/>
                      <w:szCs w:val="21"/>
                      <w:highlight w:val="none"/>
                      <w:u w:val="none" w:color="auto"/>
                    </w:rPr>
                    <w:t>A</w:t>
                  </w:r>
                  <w:r>
                    <w:rPr>
                      <w:rFonts w:hint="eastAsia" w:ascii="宋体"/>
                      <w:color w:val="auto"/>
                      <w:sz w:val="21"/>
                      <w:szCs w:val="21"/>
                      <w:highlight w:val="none"/>
                      <w:u w:val="none" w:color="auto"/>
                      <w:lang w:eastAsia="zh-CN"/>
                    </w:rPr>
                    <w:t>）</w:t>
                  </w:r>
                </w:p>
                <w:p w14:paraId="4262968B">
                  <w:pPr>
                    <w:spacing w:beforeLines="0" w:afterLines="0" w:line="360" w:lineRule="exact"/>
                    <w:rPr>
                      <w:rFonts w:hint="eastAsia" w:eastAsia="宋体"/>
                      <w:color w:val="auto"/>
                      <w:sz w:val="21"/>
                      <w:szCs w:val="21"/>
                      <w:highlight w:val="none"/>
                      <w:u w:val="none" w:color="auto"/>
                      <w:lang w:eastAsia="zh-CN"/>
                    </w:rPr>
                  </w:pPr>
                  <w:r>
                    <w:rPr>
                      <w:rFonts w:hint="eastAsia"/>
                      <w:color w:val="auto"/>
                      <w:sz w:val="21"/>
                      <w:szCs w:val="21"/>
                      <w:highlight w:val="none"/>
                      <w:u w:val="none" w:color="auto"/>
                    </w:rPr>
                    <w:t>L</w:t>
                  </w:r>
                  <w:r>
                    <w:rPr>
                      <w:rFonts w:hint="eastAsia"/>
                      <w:color w:val="auto"/>
                      <w:sz w:val="21"/>
                      <w:szCs w:val="21"/>
                      <w:highlight w:val="none"/>
                      <w:u w:val="none" w:color="auto"/>
                      <w:vertAlign w:val="subscript"/>
                    </w:rPr>
                    <w:t>PO</w:t>
                  </w:r>
                  <w:r>
                    <w:rPr>
                      <w:rFonts w:hint="default" w:ascii="宋体" w:eastAsia="宋体"/>
                      <w:color w:val="auto"/>
                      <w:sz w:val="21"/>
                      <w:szCs w:val="21"/>
                      <w:highlight w:val="none"/>
                      <w:u w:val="none" w:color="auto"/>
                    </w:rPr>
                    <w:t>－参考位置r</w:t>
                  </w:r>
                  <w:r>
                    <w:rPr>
                      <w:rFonts w:hint="eastAsia"/>
                      <w:color w:val="auto"/>
                      <w:sz w:val="21"/>
                      <w:szCs w:val="21"/>
                      <w:highlight w:val="none"/>
                      <w:u w:val="none" w:color="auto"/>
                      <w:vertAlign w:val="subscript"/>
                    </w:rPr>
                    <w:t>0</w:t>
                  </w:r>
                  <w:r>
                    <w:rPr>
                      <w:rFonts w:hint="default" w:ascii="宋体" w:eastAsia="宋体"/>
                      <w:color w:val="auto"/>
                      <w:sz w:val="21"/>
                      <w:szCs w:val="21"/>
                      <w:highlight w:val="none"/>
                      <w:u w:val="none" w:color="auto"/>
                    </w:rPr>
                    <w:t>的声压级，dB</w:t>
                  </w:r>
                  <w:r>
                    <w:rPr>
                      <w:rFonts w:hint="eastAsia" w:ascii="宋体"/>
                      <w:color w:val="auto"/>
                      <w:sz w:val="21"/>
                      <w:szCs w:val="21"/>
                      <w:highlight w:val="none"/>
                      <w:u w:val="none" w:color="auto"/>
                      <w:lang w:eastAsia="zh-CN"/>
                    </w:rPr>
                    <w:t>（</w:t>
                  </w:r>
                  <w:r>
                    <w:rPr>
                      <w:rFonts w:hint="default" w:ascii="宋体" w:eastAsia="宋体"/>
                      <w:color w:val="auto"/>
                      <w:sz w:val="21"/>
                      <w:szCs w:val="21"/>
                      <w:highlight w:val="none"/>
                      <w:u w:val="none" w:color="auto"/>
                    </w:rPr>
                    <w:t>A</w:t>
                  </w:r>
                  <w:r>
                    <w:rPr>
                      <w:rFonts w:hint="eastAsia" w:ascii="宋体"/>
                      <w:color w:val="auto"/>
                      <w:sz w:val="21"/>
                      <w:szCs w:val="21"/>
                      <w:highlight w:val="none"/>
                      <w:u w:val="none" w:color="auto"/>
                      <w:lang w:eastAsia="zh-CN"/>
                    </w:rPr>
                    <w:t>）</w:t>
                  </w:r>
                </w:p>
                <w:p w14:paraId="2136AB3B">
                  <w:pPr>
                    <w:spacing w:beforeLines="0" w:afterLines="0" w:line="360" w:lineRule="exact"/>
                    <w:rPr>
                      <w:rFonts w:hint="eastAsia"/>
                      <w:color w:val="auto"/>
                      <w:sz w:val="21"/>
                      <w:szCs w:val="21"/>
                      <w:highlight w:val="none"/>
                      <w:u w:val="none" w:color="auto"/>
                    </w:rPr>
                  </w:pPr>
                  <w:r>
                    <w:rPr>
                      <w:rFonts w:hint="eastAsia"/>
                      <w:color w:val="auto"/>
                      <w:sz w:val="21"/>
                      <w:szCs w:val="21"/>
                      <w:highlight w:val="none"/>
                      <w:u w:val="none" w:color="auto"/>
                    </w:rPr>
                    <w:t>r</w:t>
                  </w:r>
                  <w:r>
                    <w:rPr>
                      <w:rFonts w:hint="eastAsia"/>
                      <w:color w:val="auto"/>
                      <w:sz w:val="21"/>
                      <w:szCs w:val="21"/>
                      <w:highlight w:val="none"/>
                      <w:u w:val="none" w:color="auto"/>
                      <w:vertAlign w:val="subscript"/>
                    </w:rPr>
                    <w:t>0</w:t>
                  </w:r>
                  <w:r>
                    <w:rPr>
                      <w:rFonts w:hint="default" w:ascii="宋体" w:eastAsia="宋体"/>
                      <w:color w:val="auto"/>
                      <w:sz w:val="21"/>
                      <w:szCs w:val="21"/>
                      <w:highlight w:val="none"/>
                      <w:u w:val="none" w:color="auto"/>
                    </w:rPr>
                    <w:t>－参考位置距声源的距离，m</w:t>
                  </w:r>
                </w:p>
                <w:p w14:paraId="43AA86F1">
                  <w:pPr>
                    <w:spacing w:beforeLines="0" w:afterLines="0" w:line="360" w:lineRule="exact"/>
                    <w:rPr>
                      <w:rFonts w:hint="eastAsia"/>
                      <w:color w:val="auto"/>
                      <w:sz w:val="21"/>
                      <w:szCs w:val="21"/>
                      <w:highlight w:val="none"/>
                      <w:u w:val="none" w:color="auto"/>
                    </w:rPr>
                  </w:pPr>
                  <w:r>
                    <w:rPr>
                      <w:rFonts w:hint="eastAsia"/>
                      <w:color w:val="auto"/>
                      <w:sz w:val="21"/>
                      <w:szCs w:val="21"/>
                      <w:highlight w:val="none"/>
                      <w:u w:val="none" w:color="auto"/>
                    </w:rPr>
                    <w:t>r</w:t>
                  </w:r>
                  <w:r>
                    <w:rPr>
                      <w:rFonts w:hint="default" w:ascii="宋体" w:eastAsia="宋体"/>
                      <w:color w:val="auto"/>
                      <w:sz w:val="21"/>
                      <w:szCs w:val="21"/>
                      <w:highlight w:val="none"/>
                      <w:u w:val="none" w:color="auto"/>
                    </w:rPr>
                    <w:t>－预测点距声源的距离</w:t>
                  </w:r>
                </w:p>
              </w:tc>
            </w:tr>
            <w:tr w14:paraId="3B4322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06" w:hRule="atLeast"/>
              </w:trPr>
              <w:tc>
                <w:tcPr>
                  <w:tcW w:w="1287" w:type="dxa"/>
                  <w:tcBorders>
                    <w:tl2br w:val="nil"/>
                    <w:tr2bl w:val="nil"/>
                  </w:tcBorders>
                  <w:noWrap w:val="0"/>
                  <w:vAlign w:val="center"/>
                </w:tcPr>
                <w:p w14:paraId="12F6E264">
                  <w:pPr>
                    <w:spacing w:beforeLines="0" w:afterLines="0" w:line="360" w:lineRule="exact"/>
                    <w:rPr>
                      <w:rFonts w:hint="eastAsia"/>
                      <w:color w:val="auto"/>
                      <w:sz w:val="21"/>
                      <w:szCs w:val="21"/>
                      <w:highlight w:val="none"/>
                      <w:u w:val="none" w:color="auto"/>
                    </w:rPr>
                  </w:pPr>
                  <w:r>
                    <w:rPr>
                      <w:rFonts w:hint="default" w:ascii="宋体" w:eastAsia="宋体"/>
                      <w:color w:val="auto"/>
                      <w:sz w:val="21"/>
                      <w:szCs w:val="21"/>
                      <w:highlight w:val="none"/>
                      <w:u w:val="none" w:color="auto"/>
                    </w:rPr>
                    <w:t>多声源在某点声压级的叠加公式</w:t>
                  </w:r>
                </w:p>
              </w:tc>
              <w:tc>
                <w:tcPr>
                  <w:tcW w:w="2528" w:type="dxa"/>
                  <w:tcBorders>
                    <w:tl2br w:val="nil"/>
                    <w:tr2bl w:val="nil"/>
                  </w:tcBorders>
                  <w:noWrap w:val="0"/>
                  <w:vAlign w:val="center"/>
                </w:tcPr>
                <w:p w14:paraId="71127502">
                  <w:pPr>
                    <w:spacing w:beforeLines="0" w:afterLines="0"/>
                    <w:rPr>
                      <w:rFonts w:hint="eastAsia"/>
                      <w:color w:val="auto"/>
                      <w:sz w:val="21"/>
                      <w:szCs w:val="21"/>
                      <w:highlight w:val="none"/>
                      <w:u w:val="none" w:color="auto"/>
                    </w:rPr>
                  </w:pPr>
                  <w:r>
                    <w:rPr>
                      <w:rFonts w:hint="default" w:eastAsia="宋体"/>
                      <w:color w:val="auto"/>
                      <w:sz w:val="21"/>
                      <w:szCs w:val="21"/>
                      <w:highlight w:val="none"/>
                      <w:u w:val="none" w:color="auto"/>
                    </w:rPr>
                    <w:object>
                      <v:shape id="_x0000_i1028" o:spt="75" type="#_x0000_t75" style="height:37.45pt;width:117.4pt;" o:ole="t" filled="f" o:preferrelative="t" stroked="f" coordsize="21600,21600">
                        <v:path/>
                        <v:fill on="f" focussize="0,0"/>
                        <v:stroke on="f"/>
                        <v:imagedata r:id="rId20" o:title=""/>
                        <o:lock v:ext="edit" aspectratio="t"/>
                        <w10:wrap type="none"/>
                        <w10:anchorlock/>
                      </v:shape>
                      <o:OLEObject Type="Embed" ProgID="Equations" ShapeID="_x0000_i1028" DrawAspect="Content" ObjectID="_1468075728" r:id="rId19">
                        <o:LockedField>false</o:LockedField>
                      </o:OLEObject>
                    </w:object>
                  </w:r>
                </w:p>
              </w:tc>
              <w:tc>
                <w:tcPr>
                  <w:tcW w:w="4104" w:type="dxa"/>
                  <w:tcBorders>
                    <w:tl2br w:val="nil"/>
                    <w:tr2bl w:val="nil"/>
                  </w:tcBorders>
                  <w:noWrap w:val="0"/>
                  <w:vAlign w:val="center"/>
                </w:tcPr>
                <w:p w14:paraId="27A4C71A">
                  <w:pPr>
                    <w:spacing w:beforeLines="0" w:afterLines="0" w:line="360" w:lineRule="exact"/>
                    <w:rPr>
                      <w:rFonts w:hint="eastAsia" w:eastAsia="宋体"/>
                      <w:color w:val="auto"/>
                      <w:sz w:val="21"/>
                      <w:szCs w:val="21"/>
                      <w:highlight w:val="none"/>
                      <w:u w:val="none" w:color="auto"/>
                      <w:lang w:eastAsia="zh-CN"/>
                    </w:rPr>
                  </w:pPr>
                  <w:r>
                    <w:rPr>
                      <w:rFonts w:hint="eastAsia"/>
                      <w:color w:val="auto"/>
                      <w:sz w:val="21"/>
                      <w:szCs w:val="21"/>
                      <w:highlight w:val="none"/>
                      <w:u w:val="none" w:color="auto"/>
                    </w:rPr>
                    <w:t>L</w:t>
                  </w:r>
                  <w:r>
                    <w:rPr>
                      <w:rFonts w:hint="eastAsia"/>
                      <w:color w:val="auto"/>
                      <w:sz w:val="21"/>
                      <w:szCs w:val="21"/>
                      <w:highlight w:val="none"/>
                      <w:u w:val="none" w:color="auto"/>
                      <w:vertAlign w:val="subscript"/>
                    </w:rPr>
                    <w:t>P</w:t>
                  </w:r>
                  <w:r>
                    <w:rPr>
                      <w:rFonts w:hint="default" w:ascii="宋体" w:eastAsia="宋体"/>
                      <w:color w:val="auto"/>
                      <w:sz w:val="21"/>
                      <w:szCs w:val="21"/>
                      <w:highlight w:val="none"/>
                      <w:u w:val="none" w:color="auto"/>
                    </w:rPr>
                    <w:t>－多个声源在某点的声压级叠加后的总声压级，dB</w:t>
                  </w:r>
                  <w:r>
                    <w:rPr>
                      <w:rFonts w:hint="eastAsia" w:ascii="宋体"/>
                      <w:color w:val="auto"/>
                      <w:sz w:val="21"/>
                      <w:szCs w:val="21"/>
                      <w:highlight w:val="none"/>
                      <w:u w:val="none" w:color="auto"/>
                      <w:lang w:eastAsia="zh-CN"/>
                    </w:rPr>
                    <w:t>（</w:t>
                  </w:r>
                  <w:r>
                    <w:rPr>
                      <w:rFonts w:hint="default" w:ascii="宋体" w:eastAsia="宋体"/>
                      <w:color w:val="auto"/>
                      <w:sz w:val="21"/>
                      <w:szCs w:val="21"/>
                      <w:highlight w:val="none"/>
                      <w:u w:val="none" w:color="auto"/>
                    </w:rPr>
                    <w:t>A</w:t>
                  </w:r>
                  <w:r>
                    <w:rPr>
                      <w:rFonts w:hint="eastAsia" w:ascii="宋体"/>
                      <w:color w:val="auto"/>
                      <w:sz w:val="21"/>
                      <w:szCs w:val="21"/>
                      <w:highlight w:val="none"/>
                      <w:u w:val="none" w:color="auto"/>
                      <w:lang w:eastAsia="zh-CN"/>
                    </w:rPr>
                    <w:t>）</w:t>
                  </w:r>
                </w:p>
                <w:p w14:paraId="3D152FF7">
                  <w:pPr>
                    <w:spacing w:beforeLines="0" w:afterLines="0" w:line="360" w:lineRule="exact"/>
                    <w:rPr>
                      <w:rFonts w:hint="eastAsia" w:eastAsia="宋体"/>
                      <w:color w:val="auto"/>
                      <w:sz w:val="21"/>
                      <w:szCs w:val="21"/>
                      <w:highlight w:val="none"/>
                      <w:u w:val="none" w:color="auto"/>
                      <w:lang w:eastAsia="zh-CN"/>
                    </w:rPr>
                  </w:pPr>
                  <w:r>
                    <w:rPr>
                      <w:rFonts w:hint="eastAsia"/>
                      <w:color w:val="auto"/>
                      <w:sz w:val="21"/>
                      <w:szCs w:val="21"/>
                      <w:highlight w:val="none"/>
                      <w:u w:val="none" w:color="auto"/>
                    </w:rPr>
                    <w:t>L</w:t>
                  </w:r>
                  <w:r>
                    <w:rPr>
                      <w:rFonts w:hint="eastAsia"/>
                      <w:color w:val="auto"/>
                      <w:sz w:val="21"/>
                      <w:szCs w:val="21"/>
                      <w:highlight w:val="none"/>
                      <w:u w:val="none" w:color="auto"/>
                      <w:vertAlign w:val="subscript"/>
                    </w:rPr>
                    <w:t>Pi</w:t>
                  </w:r>
                  <w:r>
                    <w:rPr>
                      <w:rFonts w:hint="default" w:ascii="宋体" w:eastAsia="宋体"/>
                      <w:color w:val="auto"/>
                      <w:sz w:val="21"/>
                      <w:szCs w:val="21"/>
                      <w:highlight w:val="none"/>
                      <w:u w:val="none" w:color="auto"/>
                    </w:rPr>
                    <w:t>－第I个声源在某点的声压级，dB</w:t>
                  </w:r>
                  <w:r>
                    <w:rPr>
                      <w:rFonts w:hint="eastAsia" w:ascii="宋体"/>
                      <w:color w:val="auto"/>
                      <w:sz w:val="21"/>
                      <w:szCs w:val="21"/>
                      <w:highlight w:val="none"/>
                      <w:u w:val="none" w:color="auto"/>
                      <w:lang w:eastAsia="zh-CN"/>
                    </w:rPr>
                    <w:t>（</w:t>
                  </w:r>
                  <w:r>
                    <w:rPr>
                      <w:rFonts w:hint="default" w:ascii="宋体" w:eastAsia="宋体"/>
                      <w:color w:val="auto"/>
                      <w:sz w:val="21"/>
                      <w:szCs w:val="21"/>
                      <w:highlight w:val="none"/>
                      <w:u w:val="none" w:color="auto"/>
                    </w:rPr>
                    <w:t>A</w:t>
                  </w:r>
                  <w:r>
                    <w:rPr>
                      <w:rFonts w:hint="eastAsia" w:ascii="宋体"/>
                      <w:color w:val="auto"/>
                      <w:sz w:val="21"/>
                      <w:szCs w:val="21"/>
                      <w:highlight w:val="none"/>
                      <w:u w:val="none" w:color="auto"/>
                      <w:lang w:eastAsia="zh-CN"/>
                    </w:rPr>
                    <w:t>）</w:t>
                  </w:r>
                </w:p>
                <w:p w14:paraId="572BF832">
                  <w:pPr>
                    <w:spacing w:beforeLines="0" w:afterLines="0" w:line="360" w:lineRule="exact"/>
                    <w:rPr>
                      <w:rFonts w:hint="eastAsia"/>
                      <w:color w:val="auto"/>
                      <w:sz w:val="21"/>
                      <w:szCs w:val="21"/>
                      <w:highlight w:val="none"/>
                      <w:u w:val="none" w:color="auto"/>
                    </w:rPr>
                  </w:pPr>
                  <w:r>
                    <w:rPr>
                      <w:rFonts w:hint="eastAsia"/>
                      <w:color w:val="auto"/>
                      <w:sz w:val="21"/>
                      <w:szCs w:val="21"/>
                      <w:highlight w:val="none"/>
                      <w:u w:val="none" w:color="auto"/>
                    </w:rPr>
                    <w:t>n</w:t>
                  </w:r>
                  <w:r>
                    <w:rPr>
                      <w:rFonts w:hint="default" w:ascii="宋体" w:eastAsia="宋体"/>
                      <w:color w:val="auto"/>
                      <w:sz w:val="21"/>
                      <w:szCs w:val="21"/>
                      <w:highlight w:val="none"/>
                      <w:u w:val="none" w:color="auto"/>
                    </w:rPr>
                    <w:t>－噪声源个数</w:t>
                  </w:r>
                </w:p>
              </w:tc>
            </w:tr>
            <w:tr w14:paraId="4C5D14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287" w:type="dxa"/>
                  <w:tcBorders>
                    <w:tl2br w:val="nil"/>
                    <w:tr2bl w:val="nil"/>
                  </w:tcBorders>
                  <w:noWrap w:val="0"/>
                  <w:vAlign w:val="center"/>
                </w:tcPr>
                <w:p w14:paraId="721CB397">
                  <w:pPr>
                    <w:spacing w:beforeLines="0" w:afterLines="0" w:line="360" w:lineRule="exact"/>
                    <w:ind w:left="-105" w:leftChars="-50" w:right="-17" w:rightChars="-8"/>
                    <w:jc w:val="center"/>
                    <w:rPr>
                      <w:rFonts w:hint="eastAsia"/>
                      <w:color w:val="auto"/>
                      <w:sz w:val="21"/>
                      <w:szCs w:val="21"/>
                      <w:highlight w:val="none"/>
                      <w:u w:val="none" w:color="auto"/>
                    </w:rPr>
                  </w:pPr>
                  <w:r>
                    <w:rPr>
                      <w:rFonts w:hint="default" w:ascii="宋体" w:eastAsia="宋体"/>
                      <w:color w:val="auto"/>
                      <w:sz w:val="21"/>
                      <w:szCs w:val="21"/>
                      <w:highlight w:val="none"/>
                      <w:u w:val="none" w:color="auto"/>
                    </w:rPr>
                    <w:t>噪声从室内向外传播的声级差计算公式</w:t>
                  </w:r>
                </w:p>
              </w:tc>
              <w:tc>
                <w:tcPr>
                  <w:tcW w:w="2528" w:type="dxa"/>
                  <w:tcBorders>
                    <w:tl2br w:val="nil"/>
                    <w:tr2bl w:val="nil"/>
                  </w:tcBorders>
                  <w:noWrap w:val="0"/>
                  <w:vAlign w:val="center"/>
                </w:tcPr>
                <w:p w14:paraId="172EB61C">
                  <w:pPr>
                    <w:spacing w:beforeLines="0" w:afterLines="0"/>
                    <w:rPr>
                      <w:rFonts w:hint="eastAsia"/>
                      <w:color w:val="auto"/>
                      <w:sz w:val="21"/>
                      <w:szCs w:val="21"/>
                      <w:highlight w:val="none"/>
                      <w:u w:val="none" w:color="auto"/>
                    </w:rPr>
                  </w:pPr>
                  <w:r>
                    <w:rPr>
                      <w:rFonts w:hint="default" w:eastAsia="宋体"/>
                      <w:color w:val="auto"/>
                      <w:sz w:val="21"/>
                      <w:szCs w:val="21"/>
                      <w:highlight w:val="none"/>
                      <w:u w:val="none" w:color="auto"/>
                    </w:rPr>
                    <w:object>
                      <v:shape id="_x0000_i1029" o:spt="75" type="#_x0000_t75" style="height:18.95pt;width:73.5pt;" o:ole="t" filled="f" o:preferrelative="t" stroked="f" coordsize="21600,21600">
                        <v:path/>
                        <v:fill on="f" focussize="0,0"/>
                        <v:stroke on="f"/>
                        <v:imagedata r:id="rId22" o:title=""/>
                        <o:lock v:ext="edit" aspectratio="t"/>
                        <w10:wrap type="none"/>
                        <w10:anchorlock/>
                      </v:shape>
                      <o:OLEObject Type="Embed" ProgID="Equations" ShapeID="_x0000_i1029" DrawAspect="Content" ObjectID="_1468075729" r:id="rId21">
                        <o:LockedField>false</o:LockedField>
                      </o:OLEObject>
                    </w:object>
                  </w:r>
                </w:p>
              </w:tc>
              <w:tc>
                <w:tcPr>
                  <w:tcW w:w="4104" w:type="dxa"/>
                  <w:tcBorders>
                    <w:tl2br w:val="nil"/>
                    <w:tr2bl w:val="nil"/>
                  </w:tcBorders>
                  <w:noWrap w:val="0"/>
                  <w:vAlign w:val="center"/>
                </w:tcPr>
                <w:p w14:paraId="35DE5D03">
                  <w:pPr>
                    <w:spacing w:beforeLines="0" w:afterLines="0" w:line="360" w:lineRule="exact"/>
                    <w:rPr>
                      <w:rFonts w:hint="eastAsia" w:eastAsia="宋体"/>
                      <w:color w:val="auto"/>
                      <w:sz w:val="21"/>
                      <w:szCs w:val="21"/>
                      <w:highlight w:val="none"/>
                      <w:u w:val="none" w:color="auto"/>
                      <w:lang w:eastAsia="zh-CN"/>
                    </w:rPr>
                  </w:pPr>
                  <w:r>
                    <w:rPr>
                      <w:rFonts w:hint="eastAsia"/>
                      <w:color w:val="auto"/>
                      <w:sz w:val="21"/>
                      <w:szCs w:val="21"/>
                      <w:highlight w:val="none"/>
                      <w:u w:val="none" w:color="auto"/>
                    </w:rPr>
                    <w:t>L</w:t>
                  </w:r>
                  <w:r>
                    <w:rPr>
                      <w:rFonts w:hint="eastAsia"/>
                      <w:color w:val="auto"/>
                      <w:sz w:val="21"/>
                      <w:szCs w:val="21"/>
                      <w:highlight w:val="none"/>
                      <w:u w:val="none" w:color="auto"/>
                      <w:vertAlign w:val="subscript"/>
                    </w:rPr>
                    <w:t>2</w:t>
                  </w:r>
                  <w:r>
                    <w:rPr>
                      <w:rFonts w:hint="default" w:ascii="宋体" w:eastAsia="宋体"/>
                      <w:color w:val="auto"/>
                      <w:sz w:val="21"/>
                      <w:szCs w:val="21"/>
                      <w:highlight w:val="none"/>
                      <w:u w:val="none" w:color="auto"/>
                    </w:rPr>
                    <w:t>－靠近隔墙（或窗户）室外的声压级，dB</w:t>
                  </w:r>
                  <w:r>
                    <w:rPr>
                      <w:rFonts w:hint="eastAsia" w:ascii="宋体"/>
                      <w:color w:val="auto"/>
                      <w:sz w:val="21"/>
                      <w:szCs w:val="21"/>
                      <w:highlight w:val="none"/>
                      <w:u w:val="none" w:color="auto"/>
                      <w:lang w:eastAsia="zh-CN"/>
                    </w:rPr>
                    <w:t>（</w:t>
                  </w:r>
                  <w:r>
                    <w:rPr>
                      <w:rFonts w:hint="default" w:ascii="宋体" w:eastAsia="宋体"/>
                      <w:color w:val="auto"/>
                      <w:sz w:val="21"/>
                      <w:szCs w:val="21"/>
                      <w:highlight w:val="none"/>
                      <w:u w:val="none" w:color="auto"/>
                    </w:rPr>
                    <w:t>A</w:t>
                  </w:r>
                  <w:r>
                    <w:rPr>
                      <w:rFonts w:hint="eastAsia" w:ascii="宋体"/>
                      <w:color w:val="auto"/>
                      <w:sz w:val="21"/>
                      <w:szCs w:val="21"/>
                      <w:highlight w:val="none"/>
                      <w:u w:val="none" w:color="auto"/>
                      <w:lang w:eastAsia="zh-CN"/>
                    </w:rPr>
                    <w:t>）</w:t>
                  </w:r>
                </w:p>
                <w:p w14:paraId="5C59E05D">
                  <w:pPr>
                    <w:spacing w:beforeLines="0" w:afterLines="0" w:line="360" w:lineRule="exact"/>
                    <w:rPr>
                      <w:rFonts w:hint="eastAsia" w:eastAsia="宋体"/>
                      <w:color w:val="auto"/>
                      <w:sz w:val="21"/>
                      <w:szCs w:val="21"/>
                      <w:highlight w:val="none"/>
                      <w:u w:val="none" w:color="auto"/>
                      <w:lang w:eastAsia="zh-CN"/>
                    </w:rPr>
                  </w:pPr>
                  <w:r>
                    <w:rPr>
                      <w:rFonts w:hint="eastAsia"/>
                      <w:color w:val="auto"/>
                      <w:sz w:val="21"/>
                      <w:szCs w:val="21"/>
                      <w:highlight w:val="none"/>
                      <w:u w:val="none" w:color="auto"/>
                    </w:rPr>
                    <w:t>L</w:t>
                  </w:r>
                  <w:r>
                    <w:rPr>
                      <w:rFonts w:hint="eastAsia"/>
                      <w:color w:val="auto"/>
                      <w:sz w:val="21"/>
                      <w:szCs w:val="21"/>
                      <w:highlight w:val="none"/>
                      <w:u w:val="none" w:color="auto"/>
                      <w:vertAlign w:val="subscript"/>
                    </w:rPr>
                    <w:t>1</w:t>
                  </w:r>
                  <w:r>
                    <w:rPr>
                      <w:rFonts w:hint="default" w:ascii="宋体" w:eastAsia="宋体"/>
                      <w:color w:val="auto"/>
                      <w:sz w:val="21"/>
                      <w:szCs w:val="21"/>
                      <w:highlight w:val="none"/>
                      <w:u w:val="none" w:color="auto"/>
                    </w:rPr>
                    <w:t>－靠近隔墙（或窗户）室内的声压级，dB</w:t>
                  </w:r>
                  <w:r>
                    <w:rPr>
                      <w:rFonts w:hint="eastAsia" w:ascii="宋体"/>
                      <w:color w:val="auto"/>
                      <w:sz w:val="21"/>
                      <w:szCs w:val="21"/>
                      <w:highlight w:val="none"/>
                      <w:u w:val="none" w:color="auto"/>
                      <w:lang w:eastAsia="zh-CN"/>
                    </w:rPr>
                    <w:t>（</w:t>
                  </w:r>
                  <w:r>
                    <w:rPr>
                      <w:rFonts w:hint="default" w:ascii="宋体" w:eastAsia="宋体"/>
                      <w:color w:val="auto"/>
                      <w:sz w:val="21"/>
                      <w:szCs w:val="21"/>
                      <w:highlight w:val="none"/>
                      <w:u w:val="none" w:color="auto"/>
                    </w:rPr>
                    <w:t>A</w:t>
                  </w:r>
                  <w:r>
                    <w:rPr>
                      <w:rFonts w:hint="eastAsia" w:ascii="宋体"/>
                      <w:color w:val="auto"/>
                      <w:sz w:val="21"/>
                      <w:szCs w:val="21"/>
                      <w:highlight w:val="none"/>
                      <w:u w:val="none" w:color="auto"/>
                      <w:lang w:eastAsia="zh-CN"/>
                    </w:rPr>
                    <w:t>）</w:t>
                  </w:r>
                </w:p>
                <w:p w14:paraId="460F30EF">
                  <w:pPr>
                    <w:spacing w:beforeLines="0" w:afterLines="0" w:line="360" w:lineRule="exact"/>
                    <w:rPr>
                      <w:rFonts w:hint="eastAsia"/>
                      <w:color w:val="auto"/>
                      <w:sz w:val="21"/>
                      <w:szCs w:val="21"/>
                      <w:highlight w:val="none"/>
                      <w:u w:val="none" w:color="auto"/>
                    </w:rPr>
                  </w:pPr>
                  <w:r>
                    <w:rPr>
                      <w:rFonts w:hint="eastAsia"/>
                      <w:color w:val="auto"/>
                      <w:sz w:val="21"/>
                      <w:szCs w:val="21"/>
                      <w:highlight w:val="none"/>
                      <w:u w:val="none" w:color="auto"/>
                    </w:rPr>
                    <w:t>TL</w:t>
                  </w:r>
                  <w:r>
                    <w:rPr>
                      <w:rFonts w:hint="default" w:ascii="宋体" w:eastAsia="宋体"/>
                      <w:color w:val="auto"/>
                      <w:sz w:val="21"/>
                      <w:szCs w:val="21"/>
                      <w:highlight w:val="none"/>
                      <w:u w:val="none" w:color="auto"/>
                    </w:rPr>
                    <w:t>－隔墙（或窗户）的传播损失</w:t>
                  </w:r>
                </w:p>
              </w:tc>
            </w:tr>
          </w:tbl>
          <w:p w14:paraId="3EEC91CC">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4.8</w:t>
            </w:r>
            <w:r>
              <w:rPr>
                <w:rFonts w:hint="default" w:ascii="Times New Roman" w:hAnsi="Times New Roman" w:cs="Times New Roman"/>
                <w:color w:val="auto"/>
                <w:position w:val="15"/>
                <w:sz w:val="24"/>
                <w:highlight w:val="none"/>
                <w:u w:val="none" w:color="auto"/>
                <w:lang w:val="en-US" w:eastAsia="zh-CN"/>
              </w:rPr>
              <w:t>.3</w:t>
            </w:r>
            <w:r>
              <w:rPr>
                <w:rFonts w:hint="default" w:ascii="Times New Roman" w:hAnsi="Times New Roman" w:cs="Times New Roman"/>
                <w:color w:val="auto"/>
                <w:position w:val="15"/>
                <w:sz w:val="24"/>
                <w:highlight w:val="none"/>
                <w:u w:val="none" w:color="auto"/>
              </w:rPr>
              <w:t>预测结果</w:t>
            </w:r>
          </w:p>
          <w:p w14:paraId="3926F934">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预测及评价结果见下表。</w:t>
            </w:r>
          </w:p>
          <w:p w14:paraId="2DF11C4E">
            <w:pPr>
              <w:adjustRightInd w:val="0"/>
              <w:snapToGrid w:val="0"/>
              <w:jc w:val="right"/>
              <w:rPr>
                <w:rFonts w:hint="eastAsia" w:ascii="Times New Roman" w:hAnsi="Times New Roman" w:eastAsia="宋体" w:cs="Times New Roman"/>
                <w:b/>
                <w:bCs/>
                <w:color w:val="auto"/>
                <w:spacing w:val="-2"/>
                <w:sz w:val="24"/>
                <w:highlight w:val="none"/>
                <w:u w:val="single" w:color="auto"/>
                <w:lang w:eastAsia="zh-CN"/>
              </w:rPr>
            </w:pPr>
            <w:r>
              <w:rPr>
                <w:rFonts w:hint="default" w:ascii="Times New Roman" w:hAnsi="Times New Roman" w:cs="Times New Roman"/>
                <w:b/>
                <w:bCs/>
                <w:color w:val="auto"/>
                <w:spacing w:val="-2"/>
                <w:sz w:val="24"/>
                <w:highlight w:val="none"/>
                <w:u w:val="single" w:color="auto"/>
              </w:rPr>
              <w:t>表</w:t>
            </w:r>
            <w:r>
              <w:rPr>
                <w:rFonts w:hint="default" w:ascii="Times New Roman" w:hAnsi="Times New Roman" w:cs="Times New Roman"/>
                <w:b/>
                <w:bCs/>
                <w:color w:val="auto"/>
                <w:spacing w:val="-2"/>
                <w:sz w:val="24"/>
                <w:highlight w:val="none"/>
                <w:u w:val="single" w:color="auto"/>
                <w:lang w:val="en-US" w:eastAsia="zh-CN"/>
              </w:rPr>
              <w:t>4</w:t>
            </w:r>
            <w:r>
              <w:rPr>
                <w:rFonts w:hint="eastAsia" w:cs="Times New Roman"/>
                <w:b/>
                <w:bCs/>
                <w:color w:val="auto"/>
                <w:spacing w:val="-2"/>
                <w:sz w:val="24"/>
                <w:highlight w:val="none"/>
                <w:u w:val="single" w:color="auto"/>
                <w:lang w:val="en-US" w:eastAsia="zh-CN"/>
              </w:rPr>
              <w:t>-13</w:t>
            </w:r>
            <w:r>
              <w:rPr>
                <w:rFonts w:hint="default" w:ascii="Times New Roman" w:hAnsi="Times New Roman" w:cs="Times New Roman"/>
                <w:b/>
                <w:bCs/>
                <w:color w:val="auto"/>
                <w:spacing w:val="-2"/>
                <w:sz w:val="24"/>
                <w:highlight w:val="none"/>
                <w:u w:val="single" w:color="auto"/>
              </w:rPr>
              <w:t>环境噪声预测及评价结果表</w:t>
            </w:r>
            <w:r>
              <w:rPr>
                <w:rFonts w:hint="eastAsia" w:cs="Times New Roman"/>
                <w:b/>
                <w:bCs/>
                <w:color w:val="auto"/>
                <w:spacing w:val="-2"/>
                <w:sz w:val="24"/>
                <w:highlight w:val="none"/>
                <w:u w:val="single" w:color="auto"/>
                <w:lang w:val="en-US" w:eastAsia="zh-CN"/>
              </w:rPr>
              <w:t xml:space="preserve">      </w:t>
            </w:r>
            <w:r>
              <w:rPr>
                <w:rFonts w:hint="default" w:ascii="Times New Roman" w:hAnsi="Times New Roman" w:cs="Times New Roman"/>
                <w:b/>
                <w:bCs/>
                <w:color w:val="auto"/>
                <w:spacing w:val="-2"/>
                <w:sz w:val="24"/>
                <w:highlight w:val="none"/>
                <w:u w:val="single" w:color="auto"/>
              </w:rPr>
              <w:t>单位：dB</w:t>
            </w:r>
            <w:r>
              <w:rPr>
                <w:rFonts w:hint="eastAsia" w:cs="Times New Roman"/>
                <w:b/>
                <w:bCs/>
                <w:color w:val="auto"/>
                <w:spacing w:val="-2"/>
                <w:sz w:val="24"/>
                <w:highlight w:val="none"/>
                <w:u w:val="single" w:color="auto"/>
                <w:lang w:eastAsia="zh-CN"/>
              </w:rPr>
              <w:t>（</w:t>
            </w:r>
            <w:r>
              <w:rPr>
                <w:rFonts w:hint="default" w:ascii="Times New Roman" w:hAnsi="Times New Roman" w:cs="Times New Roman"/>
                <w:b/>
                <w:bCs/>
                <w:color w:val="auto"/>
                <w:spacing w:val="-2"/>
                <w:sz w:val="24"/>
                <w:highlight w:val="none"/>
                <w:u w:val="single" w:color="auto"/>
              </w:rPr>
              <w:t>A</w:t>
            </w:r>
            <w:r>
              <w:rPr>
                <w:rFonts w:hint="eastAsia" w:cs="Times New Roman"/>
                <w:b/>
                <w:bCs/>
                <w:color w:val="auto"/>
                <w:spacing w:val="-2"/>
                <w:sz w:val="24"/>
                <w:highlight w:val="none"/>
                <w:u w:val="single" w:color="auto"/>
                <w:lang w:eastAsia="zh-CN"/>
              </w:rPr>
              <w:t>）</w:t>
            </w:r>
          </w:p>
          <w:tbl>
            <w:tblPr>
              <w:tblStyle w:val="28"/>
              <w:tblW w:w="78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81"/>
              <w:gridCol w:w="1047"/>
              <w:gridCol w:w="762"/>
              <w:gridCol w:w="683"/>
              <w:gridCol w:w="1361"/>
              <w:gridCol w:w="679"/>
              <w:gridCol w:w="682"/>
              <w:gridCol w:w="803"/>
            </w:tblGrid>
            <w:tr w14:paraId="2580CD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190" w:type="pct"/>
                  <w:vMerge w:val="restart"/>
                  <w:tcBorders>
                    <w:tl2br w:val="nil"/>
                    <w:tr2bl w:val="nil"/>
                  </w:tcBorders>
                  <w:noWrap w:val="0"/>
                  <w:vAlign w:val="center"/>
                </w:tcPr>
                <w:p w14:paraId="685EE1E6">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预测点</w:t>
                  </w:r>
                </w:p>
              </w:tc>
              <w:tc>
                <w:tcPr>
                  <w:tcW w:w="1577" w:type="pct"/>
                  <w:gridSpan w:val="3"/>
                  <w:tcBorders>
                    <w:tl2br w:val="nil"/>
                    <w:tr2bl w:val="nil"/>
                  </w:tcBorders>
                  <w:noWrap w:val="0"/>
                  <w:vAlign w:val="center"/>
                </w:tcPr>
                <w:p w14:paraId="3371F336">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空间相对距离（m）</w:t>
                  </w:r>
                </w:p>
              </w:tc>
              <w:tc>
                <w:tcPr>
                  <w:tcW w:w="861" w:type="pct"/>
                  <w:vMerge w:val="restart"/>
                  <w:tcBorders>
                    <w:tl2br w:val="nil"/>
                    <w:tr2bl w:val="nil"/>
                  </w:tcBorders>
                  <w:noWrap w:val="0"/>
                  <w:vAlign w:val="center"/>
                </w:tcPr>
                <w:p w14:paraId="02F44300">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贡献值/dB（A）</w:t>
                  </w:r>
                </w:p>
              </w:tc>
              <w:tc>
                <w:tcPr>
                  <w:tcW w:w="861" w:type="pct"/>
                  <w:gridSpan w:val="2"/>
                  <w:tcBorders>
                    <w:tl2br w:val="nil"/>
                    <w:tr2bl w:val="nil"/>
                  </w:tcBorders>
                  <w:noWrap w:val="0"/>
                  <w:vAlign w:val="center"/>
                </w:tcPr>
                <w:p w14:paraId="34C48833">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标准值</w:t>
                  </w:r>
                  <w:r>
                    <w:rPr>
                      <w:rFonts w:hint="default" w:ascii="Times New Roman" w:hAnsi="Times New Roman" w:eastAsia="宋体" w:cs="Times New Roman"/>
                      <w:color w:val="auto"/>
                      <w:kern w:val="2"/>
                      <w:sz w:val="21"/>
                      <w:szCs w:val="24"/>
                      <w:highlight w:val="none"/>
                      <w:u w:val="single" w:color="auto"/>
                      <w:lang w:val="en-US" w:eastAsia="zh-CN" w:bidi="ar-SA"/>
                    </w:rPr>
                    <w:t>/dB</w:t>
                  </w:r>
                  <w:r>
                    <w:rPr>
                      <w:rFonts w:hint="eastAsia" w:cs="Times New Roman"/>
                      <w:color w:val="auto"/>
                      <w:kern w:val="2"/>
                      <w:sz w:val="21"/>
                      <w:szCs w:val="24"/>
                      <w:highlight w:val="none"/>
                      <w:u w:val="single" w:color="auto"/>
                      <w:lang w:val="en-US" w:eastAsia="zh-CN" w:bidi="ar-SA"/>
                    </w:rPr>
                    <w:t>（</w:t>
                  </w:r>
                  <w:r>
                    <w:rPr>
                      <w:rFonts w:hint="default" w:ascii="Times New Roman" w:hAnsi="Times New Roman" w:eastAsia="宋体" w:cs="Times New Roman"/>
                      <w:color w:val="auto"/>
                      <w:kern w:val="2"/>
                      <w:sz w:val="21"/>
                      <w:szCs w:val="24"/>
                      <w:highlight w:val="none"/>
                      <w:u w:val="single" w:color="auto"/>
                      <w:lang w:val="en-US" w:eastAsia="zh-CN" w:bidi="ar-SA"/>
                    </w:rPr>
                    <w:t>A</w:t>
                  </w:r>
                  <w:r>
                    <w:rPr>
                      <w:rFonts w:hint="eastAsia" w:cs="Times New Roman"/>
                      <w:color w:val="auto"/>
                      <w:kern w:val="2"/>
                      <w:sz w:val="21"/>
                      <w:szCs w:val="24"/>
                      <w:highlight w:val="none"/>
                      <w:u w:val="single" w:color="auto"/>
                      <w:lang w:val="en-US" w:eastAsia="zh-CN" w:bidi="ar-SA"/>
                    </w:rPr>
                    <w:t>）</w:t>
                  </w:r>
                </w:p>
              </w:tc>
              <w:tc>
                <w:tcPr>
                  <w:tcW w:w="508" w:type="pct"/>
                  <w:vMerge w:val="restart"/>
                  <w:tcBorders>
                    <w:tl2br w:val="nil"/>
                    <w:tr2bl w:val="nil"/>
                  </w:tcBorders>
                  <w:noWrap w:val="0"/>
                  <w:vAlign w:val="center"/>
                </w:tcPr>
                <w:p w14:paraId="6814BBB3">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是否达标</w:t>
                  </w:r>
                </w:p>
              </w:tc>
            </w:tr>
            <w:tr w14:paraId="1BBF2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90" w:type="pct"/>
                  <w:vMerge w:val="continue"/>
                  <w:tcBorders>
                    <w:tl2br w:val="nil"/>
                    <w:tr2bl w:val="nil"/>
                  </w:tcBorders>
                  <w:noWrap w:val="0"/>
                  <w:vAlign w:val="center"/>
                </w:tcPr>
                <w:p w14:paraId="00D48730">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p>
              </w:tc>
              <w:tc>
                <w:tcPr>
                  <w:tcW w:w="662" w:type="pct"/>
                  <w:tcBorders>
                    <w:tl2br w:val="nil"/>
                    <w:tr2bl w:val="nil"/>
                  </w:tcBorders>
                  <w:noWrap w:val="0"/>
                  <w:vAlign w:val="center"/>
                </w:tcPr>
                <w:p w14:paraId="3D2A3AE9">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X</w:t>
                  </w:r>
                </w:p>
              </w:tc>
              <w:tc>
                <w:tcPr>
                  <w:tcW w:w="482" w:type="pct"/>
                  <w:tcBorders>
                    <w:tl2br w:val="nil"/>
                    <w:tr2bl w:val="nil"/>
                  </w:tcBorders>
                  <w:noWrap w:val="0"/>
                  <w:vAlign w:val="center"/>
                </w:tcPr>
                <w:p w14:paraId="28B8ACAA">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Y</w:t>
                  </w:r>
                </w:p>
              </w:tc>
              <w:tc>
                <w:tcPr>
                  <w:tcW w:w="432" w:type="pct"/>
                  <w:tcBorders>
                    <w:tl2br w:val="nil"/>
                    <w:tr2bl w:val="nil"/>
                  </w:tcBorders>
                  <w:noWrap w:val="0"/>
                  <w:vAlign w:val="center"/>
                </w:tcPr>
                <w:p w14:paraId="6A6F62CC">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Z</w:t>
                  </w:r>
                </w:p>
              </w:tc>
              <w:tc>
                <w:tcPr>
                  <w:tcW w:w="861" w:type="pct"/>
                  <w:vMerge w:val="continue"/>
                  <w:tcBorders>
                    <w:tl2br w:val="nil"/>
                    <w:tr2bl w:val="nil"/>
                  </w:tcBorders>
                  <w:shd w:val="clear" w:color="auto" w:fill="auto"/>
                  <w:noWrap w:val="0"/>
                  <w:vAlign w:val="center"/>
                </w:tcPr>
                <w:p w14:paraId="4FAE19AB">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p>
              </w:tc>
              <w:tc>
                <w:tcPr>
                  <w:tcW w:w="429" w:type="pct"/>
                  <w:tcBorders>
                    <w:tl2br w:val="nil"/>
                    <w:tr2bl w:val="nil"/>
                  </w:tcBorders>
                  <w:shd w:val="clear" w:color="auto" w:fill="auto"/>
                  <w:noWrap w:val="0"/>
                  <w:vAlign w:val="center"/>
                </w:tcPr>
                <w:p w14:paraId="0A2A45B9">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昼间</w:t>
                  </w:r>
                </w:p>
              </w:tc>
              <w:tc>
                <w:tcPr>
                  <w:tcW w:w="431" w:type="pct"/>
                  <w:tcBorders>
                    <w:tl2br w:val="nil"/>
                    <w:tr2bl w:val="nil"/>
                  </w:tcBorders>
                  <w:shd w:val="clear" w:color="auto" w:fill="auto"/>
                  <w:noWrap w:val="0"/>
                  <w:vAlign w:val="center"/>
                </w:tcPr>
                <w:p w14:paraId="514D98AF">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夜间</w:t>
                  </w:r>
                </w:p>
              </w:tc>
              <w:tc>
                <w:tcPr>
                  <w:tcW w:w="508" w:type="pct"/>
                  <w:vMerge w:val="continue"/>
                  <w:tcBorders>
                    <w:tl2br w:val="nil"/>
                    <w:tr2bl w:val="nil"/>
                  </w:tcBorders>
                  <w:noWrap w:val="0"/>
                  <w:vAlign w:val="center"/>
                </w:tcPr>
                <w:p w14:paraId="3040EBF1">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p>
              </w:tc>
            </w:tr>
            <w:tr w14:paraId="0ED969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190" w:type="pct"/>
                  <w:tcBorders>
                    <w:tl2br w:val="nil"/>
                    <w:tr2bl w:val="nil"/>
                  </w:tcBorders>
                  <w:noWrap w:val="0"/>
                  <w:vAlign w:val="center"/>
                </w:tcPr>
                <w:p w14:paraId="3517CD40">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东侧厂界</w:t>
                  </w:r>
                </w:p>
              </w:tc>
              <w:tc>
                <w:tcPr>
                  <w:tcW w:w="662" w:type="pct"/>
                  <w:tcBorders>
                    <w:tl2br w:val="nil"/>
                    <w:tr2bl w:val="nil"/>
                  </w:tcBorders>
                  <w:noWrap w:val="0"/>
                  <w:vAlign w:val="center"/>
                </w:tcPr>
                <w:p w14:paraId="57E27C54">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76</w:t>
                  </w:r>
                </w:p>
              </w:tc>
              <w:tc>
                <w:tcPr>
                  <w:tcW w:w="482" w:type="pct"/>
                  <w:tcBorders>
                    <w:tl2br w:val="nil"/>
                    <w:tr2bl w:val="nil"/>
                  </w:tcBorders>
                  <w:noWrap w:val="0"/>
                  <w:vAlign w:val="center"/>
                </w:tcPr>
                <w:p w14:paraId="1304FF42">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28</w:t>
                  </w:r>
                </w:p>
              </w:tc>
              <w:tc>
                <w:tcPr>
                  <w:tcW w:w="432" w:type="pct"/>
                  <w:tcBorders>
                    <w:tl2br w:val="nil"/>
                    <w:tr2bl w:val="nil"/>
                  </w:tcBorders>
                  <w:noWrap w:val="0"/>
                  <w:vAlign w:val="center"/>
                </w:tcPr>
                <w:p w14:paraId="4C69D1A4">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1</w:t>
                  </w:r>
                </w:p>
              </w:tc>
              <w:tc>
                <w:tcPr>
                  <w:tcW w:w="861" w:type="pct"/>
                  <w:tcBorders>
                    <w:tl2br w:val="nil"/>
                    <w:tr2bl w:val="nil"/>
                  </w:tcBorders>
                  <w:noWrap w:val="0"/>
                  <w:vAlign w:val="center"/>
                </w:tcPr>
                <w:p w14:paraId="63779D82">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49.7</w:t>
                  </w:r>
                </w:p>
              </w:tc>
              <w:tc>
                <w:tcPr>
                  <w:tcW w:w="429" w:type="pct"/>
                  <w:tcBorders>
                    <w:tl2br w:val="nil"/>
                    <w:tr2bl w:val="nil"/>
                  </w:tcBorders>
                  <w:noWrap w:val="0"/>
                  <w:vAlign w:val="center"/>
                </w:tcPr>
                <w:p w14:paraId="3AB67E1B">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60</w:t>
                  </w:r>
                </w:p>
              </w:tc>
              <w:tc>
                <w:tcPr>
                  <w:tcW w:w="431" w:type="pct"/>
                  <w:tcBorders>
                    <w:tl2br w:val="nil"/>
                    <w:tr2bl w:val="nil"/>
                  </w:tcBorders>
                  <w:noWrap w:val="0"/>
                  <w:vAlign w:val="center"/>
                </w:tcPr>
                <w:p w14:paraId="105DF904">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50</w:t>
                  </w:r>
                </w:p>
              </w:tc>
              <w:tc>
                <w:tcPr>
                  <w:tcW w:w="508" w:type="pct"/>
                  <w:tcBorders>
                    <w:tl2br w:val="nil"/>
                    <w:tr2bl w:val="nil"/>
                  </w:tcBorders>
                  <w:noWrap w:val="0"/>
                  <w:vAlign w:val="center"/>
                </w:tcPr>
                <w:p w14:paraId="48CBDB0F">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达标</w:t>
                  </w:r>
                </w:p>
              </w:tc>
            </w:tr>
            <w:tr w14:paraId="1006D0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90" w:type="pct"/>
                  <w:tcBorders>
                    <w:tl2br w:val="nil"/>
                    <w:tr2bl w:val="nil"/>
                  </w:tcBorders>
                  <w:noWrap w:val="0"/>
                  <w:vAlign w:val="center"/>
                </w:tcPr>
                <w:p w14:paraId="4CE4D2B3">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南侧厂界</w:t>
                  </w:r>
                </w:p>
              </w:tc>
              <w:tc>
                <w:tcPr>
                  <w:tcW w:w="662" w:type="pct"/>
                  <w:tcBorders>
                    <w:tl2br w:val="nil"/>
                    <w:tr2bl w:val="nil"/>
                  </w:tcBorders>
                  <w:noWrap w:val="0"/>
                  <w:vAlign w:val="center"/>
                </w:tcPr>
                <w:p w14:paraId="59BE3C1A">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45</w:t>
                  </w:r>
                </w:p>
              </w:tc>
              <w:tc>
                <w:tcPr>
                  <w:tcW w:w="482" w:type="pct"/>
                  <w:tcBorders>
                    <w:tl2br w:val="nil"/>
                    <w:tr2bl w:val="nil"/>
                  </w:tcBorders>
                  <w:noWrap w:val="0"/>
                  <w:vAlign w:val="center"/>
                </w:tcPr>
                <w:p w14:paraId="7A590C10">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-24</w:t>
                  </w:r>
                </w:p>
              </w:tc>
              <w:tc>
                <w:tcPr>
                  <w:tcW w:w="432" w:type="pct"/>
                  <w:tcBorders>
                    <w:tl2br w:val="nil"/>
                    <w:tr2bl w:val="nil"/>
                  </w:tcBorders>
                  <w:noWrap w:val="0"/>
                  <w:vAlign w:val="center"/>
                </w:tcPr>
                <w:p w14:paraId="1BB1EE97">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1</w:t>
                  </w:r>
                </w:p>
              </w:tc>
              <w:tc>
                <w:tcPr>
                  <w:tcW w:w="861" w:type="pct"/>
                  <w:tcBorders>
                    <w:tl2br w:val="nil"/>
                    <w:tr2bl w:val="nil"/>
                  </w:tcBorders>
                  <w:noWrap w:val="0"/>
                  <w:vAlign w:val="center"/>
                </w:tcPr>
                <w:p w14:paraId="19E84A9E">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48</w:t>
                  </w:r>
                </w:p>
              </w:tc>
              <w:tc>
                <w:tcPr>
                  <w:tcW w:w="429" w:type="pct"/>
                  <w:tcBorders>
                    <w:tl2br w:val="nil"/>
                    <w:tr2bl w:val="nil"/>
                  </w:tcBorders>
                  <w:noWrap w:val="0"/>
                  <w:vAlign w:val="center"/>
                </w:tcPr>
                <w:p w14:paraId="45EF5888">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60</w:t>
                  </w:r>
                </w:p>
              </w:tc>
              <w:tc>
                <w:tcPr>
                  <w:tcW w:w="431" w:type="pct"/>
                  <w:tcBorders>
                    <w:tl2br w:val="nil"/>
                    <w:tr2bl w:val="nil"/>
                  </w:tcBorders>
                  <w:noWrap w:val="0"/>
                  <w:vAlign w:val="center"/>
                </w:tcPr>
                <w:p w14:paraId="437CC0DA">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50</w:t>
                  </w:r>
                </w:p>
              </w:tc>
              <w:tc>
                <w:tcPr>
                  <w:tcW w:w="508" w:type="pct"/>
                  <w:tcBorders>
                    <w:tl2br w:val="nil"/>
                    <w:tr2bl w:val="nil"/>
                  </w:tcBorders>
                  <w:noWrap w:val="0"/>
                  <w:vAlign w:val="center"/>
                </w:tcPr>
                <w:p w14:paraId="2CE59B38">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达标</w:t>
                  </w:r>
                </w:p>
              </w:tc>
            </w:tr>
            <w:tr w14:paraId="60077C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190" w:type="pct"/>
                  <w:tcBorders>
                    <w:tl2br w:val="nil"/>
                    <w:tr2bl w:val="nil"/>
                  </w:tcBorders>
                  <w:noWrap w:val="0"/>
                  <w:vAlign w:val="center"/>
                </w:tcPr>
                <w:p w14:paraId="0CA311D6">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西侧厂界</w:t>
                  </w:r>
                </w:p>
              </w:tc>
              <w:tc>
                <w:tcPr>
                  <w:tcW w:w="662" w:type="pct"/>
                  <w:tcBorders>
                    <w:tl2br w:val="nil"/>
                    <w:tr2bl w:val="nil"/>
                  </w:tcBorders>
                  <w:noWrap w:val="0"/>
                  <w:vAlign w:val="center"/>
                </w:tcPr>
                <w:p w14:paraId="2F7D6F20">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-2</w:t>
                  </w:r>
                </w:p>
              </w:tc>
              <w:tc>
                <w:tcPr>
                  <w:tcW w:w="482" w:type="pct"/>
                  <w:tcBorders>
                    <w:tl2br w:val="nil"/>
                    <w:tr2bl w:val="nil"/>
                  </w:tcBorders>
                  <w:noWrap w:val="0"/>
                  <w:vAlign w:val="center"/>
                </w:tcPr>
                <w:p w14:paraId="726E7FBC">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2</w:t>
                  </w:r>
                </w:p>
              </w:tc>
              <w:tc>
                <w:tcPr>
                  <w:tcW w:w="432" w:type="pct"/>
                  <w:tcBorders>
                    <w:tl2br w:val="nil"/>
                    <w:tr2bl w:val="nil"/>
                  </w:tcBorders>
                  <w:noWrap w:val="0"/>
                  <w:vAlign w:val="center"/>
                </w:tcPr>
                <w:p w14:paraId="23C85426">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1</w:t>
                  </w:r>
                </w:p>
              </w:tc>
              <w:tc>
                <w:tcPr>
                  <w:tcW w:w="861" w:type="pct"/>
                  <w:tcBorders>
                    <w:tl2br w:val="nil"/>
                    <w:tr2bl w:val="nil"/>
                  </w:tcBorders>
                  <w:noWrap w:val="0"/>
                  <w:vAlign w:val="center"/>
                </w:tcPr>
                <w:p w14:paraId="6E61126B">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44.1</w:t>
                  </w:r>
                </w:p>
              </w:tc>
              <w:tc>
                <w:tcPr>
                  <w:tcW w:w="429" w:type="pct"/>
                  <w:tcBorders>
                    <w:tl2br w:val="nil"/>
                    <w:tr2bl w:val="nil"/>
                  </w:tcBorders>
                  <w:noWrap w:val="0"/>
                  <w:vAlign w:val="center"/>
                </w:tcPr>
                <w:p w14:paraId="546B38AC">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60</w:t>
                  </w:r>
                </w:p>
              </w:tc>
              <w:tc>
                <w:tcPr>
                  <w:tcW w:w="431" w:type="pct"/>
                  <w:tcBorders>
                    <w:tl2br w:val="nil"/>
                    <w:tr2bl w:val="nil"/>
                  </w:tcBorders>
                  <w:noWrap w:val="0"/>
                  <w:vAlign w:val="center"/>
                </w:tcPr>
                <w:p w14:paraId="0590B8F9">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50</w:t>
                  </w:r>
                </w:p>
              </w:tc>
              <w:tc>
                <w:tcPr>
                  <w:tcW w:w="508" w:type="pct"/>
                  <w:tcBorders>
                    <w:tl2br w:val="nil"/>
                    <w:tr2bl w:val="nil"/>
                  </w:tcBorders>
                  <w:noWrap w:val="0"/>
                  <w:vAlign w:val="center"/>
                </w:tcPr>
                <w:p w14:paraId="445A4466">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达标</w:t>
                  </w:r>
                </w:p>
              </w:tc>
            </w:tr>
            <w:tr w14:paraId="3CFB7F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190" w:type="pct"/>
                  <w:tcBorders>
                    <w:tl2br w:val="nil"/>
                    <w:tr2bl w:val="nil"/>
                  </w:tcBorders>
                  <w:noWrap w:val="0"/>
                  <w:vAlign w:val="center"/>
                </w:tcPr>
                <w:p w14:paraId="6842BE42">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北侧厂界</w:t>
                  </w:r>
                </w:p>
              </w:tc>
              <w:tc>
                <w:tcPr>
                  <w:tcW w:w="662" w:type="pct"/>
                  <w:tcBorders>
                    <w:tl2br w:val="nil"/>
                    <w:tr2bl w:val="nil"/>
                  </w:tcBorders>
                  <w:noWrap w:val="0"/>
                  <w:vAlign w:val="center"/>
                </w:tcPr>
                <w:p w14:paraId="21BA3088">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28</w:t>
                  </w:r>
                </w:p>
              </w:tc>
              <w:tc>
                <w:tcPr>
                  <w:tcW w:w="482" w:type="pct"/>
                  <w:tcBorders>
                    <w:tl2br w:val="nil"/>
                    <w:tr2bl w:val="nil"/>
                  </w:tcBorders>
                  <w:noWrap w:val="0"/>
                  <w:vAlign w:val="center"/>
                </w:tcPr>
                <w:p w14:paraId="6E36C028">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38</w:t>
                  </w:r>
                </w:p>
              </w:tc>
              <w:tc>
                <w:tcPr>
                  <w:tcW w:w="432" w:type="pct"/>
                  <w:tcBorders>
                    <w:tl2br w:val="nil"/>
                    <w:tr2bl w:val="nil"/>
                  </w:tcBorders>
                  <w:noWrap w:val="0"/>
                  <w:vAlign w:val="center"/>
                </w:tcPr>
                <w:p w14:paraId="6C36999A">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1</w:t>
                  </w:r>
                </w:p>
              </w:tc>
              <w:tc>
                <w:tcPr>
                  <w:tcW w:w="861" w:type="pct"/>
                  <w:tcBorders>
                    <w:tl2br w:val="nil"/>
                    <w:tr2bl w:val="nil"/>
                  </w:tcBorders>
                  <w:noWrap w:val="0"/>
                  <w:vAlign w:val="center"/>
                </w:tcPr>
                <w:p w14:paraId="46D3B1F5">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cs="Times New Roman"/>
                      <w:color w:val="auto"/>
                      <w:kern w:val="2"/>
                      <w:sz w:val="21"/>
                      <w:szCs w:val="24"/>
                      <w:highlight w:val="none"/>
                      <w:u w:val="single" w:color="auto"/>
                      <w:lang w:val="en-US" w:eastAsia="zh-CN" w:bidi="ar-SA"/>
                    </w:rPr>
                    <w:t>48.8</w:t>
                  </w:r>
                </w:p>
              </w:tc>
              <w:tc>
                <w:tcPr>
                  <w:tcW w:w="429" w:type="pct"/>
                  <w:tcBorders>
                    <w:tl2br w:val="nil"/>
                    <w:tr2bl w:val="nil"/>
                  </w:tcBorders>
                  <w:noWrap w:val="0"/>
                  <w:vAlign w:val="center"/>
                </w:tcPr>
                <w:p w14:paraId="6F155EB7">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60</w:t>
                  </w:r>
                </w:p>
              </w:tc>
              <w:tc>
                <w:tcPr>
                  <w:tcW w:w="431" w:type="pct"/>
                  <w:tcBorders>
                    <w:tl2br w:val="nil"/>
                    <w:tr2bl w:val="nil"/>
                  </w:tcBorders>
                  <w:noWrap w:val="0"/>
                  <w:vAlign w:val="center"/>
                </w:tcPr>
                <w:p w14:paraId="020350AE">
                  <w:pPr>
                    <w:spacing w:beforeLines="0" w:afterLines="0"/>
                    <w:ind w:left="0" w:leftChars="0" w:right="0" w:rightChars="0" w:firstLine="0" w:firstLineChars="0"/>
                    <w:jc w:val="center"/>
                    <w:rPr>
                      <w:rFonts w:hint="default"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50</w:t>
                  </w:r>
                </w:p>
              </w:tc>
              <w:tc>
                <w:tcPr>
                  <w:tcW w:w="508" w:type="pct"/>
                  <w:tcBorders>
                    <w:tl2br w:val="nil"/>
                    <w:tr2bl w:val="nil"/>
                  </w:tcBorders>
                  <w:noWrap w:val="0"/>
                  <w:vAlign w:val="center"/>
                </w:tcPr>
                <w:p w14:paraId="4C7355AE">
                  <w:pPr>
                    <w:spacing w:beforeLines="0" w:afterLines="0"/>
                    <w:ind w:left="0" w:leftChars="0" w:right="0" w:rightChars="0" w:firstLine="0" w:firstLineChars="0"/>
                    <w:jc w:val="center"/>
                    <w:rPr>
                      <w:rFonts w:hint="eastAsia" w:ascii="Times New Roman" w:hAnsi="Times New Roman" w:eastAsia="宋体" w:cs="Times New Roman"/>
                      <w:color w:val="auto"/>
                      <w:kern w:val="2"/>
                      <w:sz w:val="21"/>
                      <w:szCs w:val="24"/>
                      <w:highlight w:val="none"/>
                      <w:u w:val="single" w:color="auto"/>
                      <w:lang w:val="en-US" w:eastAsia="zh-CN" w:bidi="ar-SA"/>
                    </w:rPr>
                  </w:pPr>
                  <w:r>
                    <w:rPr>
                      <w:rFonts w:hint="eastAsia" w:ascii="Times New Roman" w:hAnsi="Times New Roman" w:eastAsia="宋体" w:cs="Times New Roman"/>
                      <w:color w:val="auto"/>
                      <w:kern w:val="2"/>
                      <w:sz w:val="21"/>
                      <w:szCs w:val="24"/>
                      <w:highlight w:val="none"/>
                      <w:u w:val="single" w:color="auto"/>
                      <w:lang w:val="en-US" w:eastAsia="zh-CN" w:bidi="ar-SA"/>
                    </w:rPr>
                    <w:t>达标</w:t>
                  </w:r>
                </w:p>
              </w:tc>
            </w:tr>
          </w:tbl>
          <w:p w14:paraId="784DA3EB">
            <w:pPr>
              <w:pStyle w:val="22"/>
              <w:spacing w:line="240" w:lineRule="auto"/>
              <w:jc w:val="left"/>
              <w:rPr>
                <w:rFonts w:hint="default" w:ascii="Times New Roman" w:hAnsi="Times New Roman" w:cs="Times New Roman"/>
                <w:color w:val="auto"/>
                <w:highlight w:val="none"/>
                <w:u w:val="none" w:color="auto"/>
              </w:rPr>
            </w:pPr>
            <w:r>
              <w:rPr>
                <w:rFonts w:hint="default" w:ascii="Times New Roman" w:hAnsi="Times New Roman" w:cs="Times New Roman"/>
                <w:color w:val="auto"/>
                <w:szCs w:val="21"/>
                <w:highlight w:val="none"/>
                <w:u w:val="single" w:color="auto"/>
              </w:rPr>
              <w:t>注：</w:t>
            </w:r>
            <w:r>
              <w:rPr>
                <w:rFonts w:hint="default" w:ascii="Times New Roman" w:hAnsi="Times New Roman" w:cs="Times New Roman"/>
                <w:color w:val="auto"/>
                <w:kern w:val="0"/>
                <w:sz w:val="20"/>
                <w:szCs w:val="20"/>
                <w:highlight w:val="none"/>
                <w:u w:val="single" w:color="auto"/>
              </w:rPr>
              <w:t>表中以厂界</w:t>
            </w:r>
            <w:r>
              <w:rPr>
                <w:rFonts w:hint="eastAsia" w:cs="Times New Roman"/>
                <w:color w:val="auto"/>
                <w:kern w:val="0"/>
                <w:sz w:val="20"/>
                <w:szCs w:val="20"/>
                <w:highlight w:val="none"/>
                <w:u w:val="single" w:color="auto"/>
                <w:lang w:val="en-US" w:eastAsia="zh-CN"/>
              </w:rPr>
              <w:t>西</w:t>
            </w:r>
            <w:r>
              <w:rPr>
                <w:rFonts w:hint="default" w:ascii="Times New Roman" w:hAnsi="Times New Roman" w:cs="Times New Roman"/>
                <w:color w:val="auto"/>
                <w:kern w:val="0"/>
                <w:sz w:val="20"/>
                <w:szCs w:val="20"/>
                <w:highlight w:val="none"/>
                <w:u w:val="single" w:color="auto"/>
              </w:rPr>
              <w:t>南侧拐点（</w:t>
            </w:r>
            <w:r>
              <w:rPr>
                <w:rFonts w:hint="eastAsia" w:cs="Times New Roman"/>
                <w:color w:val="auto"/>
                <w:kern w:val="0"/>
                <w:sz w:val="20"/>
                <w:szCs w:val="20"/>
                <w:highlight w:val="none"/>
                <w:u w:val="single" w:color="auto"/>
                <w:lang w:eastAsia="zh-CN"/>
              </w:rPr>
              <w:t>126.18034154</w:t>
            </w:r>
            <w:r>
              <w:rPr>
                <w:rFonts w:hint="default" w:ascii="Times New Roman" w:hAnsi="Times New Roman" w:cs="Times New Roman"/>
                <w:color w:val="auto"/>
                <w:kern w:val="0"/>
                <w:sz w:val="20"/>
                <w:szCs w:val="20"/>
                <w:highlight w:val="none"/>
                <w:u w:val="single" w:color="auto"/>
              </w:rPr>
              <w:t>°，</w:t>
            </w:r>
            <w:r>
              <w:rPr>
                <w:rFonts w:hint="eastAsia" w:cs="Times New Roman"/>
                <w:color w:val="auto"/>
                <w:kern w:val="0"/>
                <w:sz w:val="20"/>
                <w:szCs w:val="20"/>
                <w:highlight w:val="none"/>
                <w:u w:val="single" w:color="auto"/>
                <w:lang w:eastAsia="zh-CN"/>
              </w:rPr>
              <w:t>43.46416053</w:t>
            </w:r>
            <w:r>
              <w:rPr>
                <w:rFonts w:hint="default" w:ascii="Times New Roman" w:hAnsi="Times New Roman" w:cs="Times New Roman"/>
                <w:color w:val="auto"/>
                <w:kern w:val="0"/>
                <w:sz w:val="20"/>
                <w:szCs w:val="20"/>
                <w:highlight w:val="none"/>
                <w:u w:val="single" w:color="auto"/>
              </w:rPr>
              <w:t>°）为坐标原点，正东向为X轴正方向，正北向为Y轴正方向</w:t>
            </w:r>
            <w:r>
              <w:rPr>
                <w:rFonts w:hint="default" w:ascii="Times New Roman" w:hAnsi="Times New Roman" w:cs="Times New Roman"/>
                <w:color w:val="auto"/>
                <w:kern w:val="0"/>
                <w:sz w:val="20"/>
                <w:szCs w:val="20"/>
                <w:highlight w:val="none"/>
                <w:u w:val="none" w:color="auto"/>
              </w:rPr>
              <w:t>。</w:t>
            </w:r>
          </w:p>
          <w:p w14:paraId="760838CE">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ascii="Times New Roman" w:hAnsi="Times New Roman" w:eastAsia="宋体" w:cs="Times New Roman"/>
                <w:color w:val="auto"/>
                <w:spacing w:val="0"/>
                <w:kern w:val="21"/>
                <w:sz w:val="24"/>
                <w:szCs w:val="24"/>
                <w:highlight w:val="none"/>
                <w:u w:val="none" w:color="auto"/>
                <w:lang w:val="en-US" w:eastAsia="zh-CN" w:bidi="ar-SA"/>
              </w:rPr>
              <w:t>由预测结果可知，本项目选用低噪声设备，安装减振基础</w:t>
            </w:r>
            <w:r>
              <w:rPr>
                <w:rFonts w:hint="eastAsia" w:cs="Times New Roman"/>
                <w:color w:val="auto"/>
                <w:spacing w:val="0"/>
                <w:kern w:val="21"/>
                <w:sz w:val="24"/>
                <w:szCs w:val="24"/>
                <w:highlight w:val="none"/>
                <w:u w:val="none" w:color="auto"/>
                <w:lang w:val="en-US" w:eastAsia="zh-CN" w:bidi="ar-SA"/>
              </w:rPr>
              <w:t>，风机安装隔声罩</w:t>
            </w:r>
            <w:r>
              <w:rPr>
                <w:rFonts w:hint="eastAsia" w:ascii="Times New Roman" w:hAnsi="Times New Roman" w:eastAsia="宋体" w:cs="Times New Roman"/>
                <w:color w:val="auto"/>
                <w:spacing w:val="0"/>
                <w:kern w:val="21"/>
                <w:sz w:val="24"/>
                <w:szCs w:val="24"/>
                <w:highlight w:val="none"/>
                <w:u w:val="none" w:color="auto"/>
                <w:lang w:val="en-US" w:eastAsia="zh-CN" w:bidi="ar-SA"/>
              </w:rPr>
              <w:t>，该项目投产后，噪声源产生的噪声通过减振、距离衰减、厂房隔声等措施后</w:t>
            </w:r>
            <w:r>
              <w:rPr>
                <w:rFonts w:hint="eastAsia" w:cs="Times New Roman"/>
                <w:color w:val="auto"/>
                <w:spacing w:val="0"/>
                <w:kern w:val="21"/>
                <w:sz w:val="24"/>
                <w:szCs w:val="24"/>
                <w:highlight w:val="none"/>
                <w:u w:val="none" w:color="auto"/>
                <w:lang w:val="en-US" w:eastAsia="zh-CN" w:bidi="ar-SA"/>
              </w:rPr>
              <w:t>厂界</w:t>
            </w:r>
            <w:r>
              <w:rPr>
                <w:rFonts w:hint="eastAsia" w:ascii="Times New Roman" w:hAnsi="Times New Roman" w:eastAsia="宋体" w:cs="Times New Roman"/>
                <w:color w:val="auto"/>
                <w:spacing w:val="0"/>
                <w:kern w:val="21"/>
                <w:sz w:val="24"/>
                <w:szCs w:val="24"/>
                <w:highlight w:val="none"/>
                <w:u w:val="none" w:color="auto"/>
                <w:lang w:val="en-US" w:eastAsia="zh-CN" w:bidi="ar-SA"/>
              </w:rPr>
              <w:t>满足《工业企业厂界环境噪声排放标准》（</w:t>
            </w:r>
            <w:r>
              <w:rPr>
                <w:rFonts w:hint="default" w:ascii="Times New Roman" w:hAnsi="Times New Roman" w:eastAsia="宋体" w:cs="Times New Roman"/>
                <w:color w:val="auto"/>
                <w:spacing w:val="0"/>
                <w:kern w:val="21"/>
                <w:sz w:val="24"/>
                <w:szCs w:val="24"/>
                <w:highlight w:val="none"/>
                <w:u w:val="none" w:color="auto"/>
                <w:lang w:val="en-US" w:eastAsia="zh-CN" w:bidi="ar-SA"/>
              </w:rPr>
              <w:t>GB12348-2008</w:t>
            </w:r>
            <w:r>
              <w:rPr>
                <w:rFonts w:hint="eastAsia" w:ascii="Times New Roman" w:hAnsi="Times New Roman" w:eastAsia="宋体" w:cs="Times New Roman"/>
                <w:color w:val="auto"/>
                <w:spacing w:val="0"/>
                <w:kern w:val="21"/>
                <w:sz w:val="24"/>
                <w:szCs w:val="24"/>
                <w:highlight w:val="none"/>
                <w:u w:val="none" w:color="auto"/>
                <w:lang w:val="en-US" w:eastAsia="zh-CN" w:bidi="ar-SA"/>
              </w:rPr>
              <w:t>）中</w:t>
            </w:r>
            <w:r>
              <w:rPr>
                <w:rFonts w:hint="eastAsia" w:cs="Times New Roman"/>
                <w:color w:val="auto"/>
                <w:spacing w:val="0"/>
                <w:kern w:val="21"/>
                <w:sz w:val="24"/>
                <w:szCs w:val="24"/>
                <w:highlight w:val="none"/>
                <w:u w:val="none" w:color="auto"/>
                <w:lang w:val="en-US" w:eastAsia="zh-CN" w:bidi="ar-SA"/>
              </w:rPr>
              <w:t>2</w:t>
            </w:r>
            <w:r>
              <w:rPr>
                <w:rFonts w:hint="eastAsia" w:ascii="Times New Roman" w:hAnsi="Times New Roman" w:eastAsia="宋体" w:cs="Times New Roman"/>
                <w:color w:val="auto"/>
                <w:spacing w:val="0"/>
                <w:kern w:val="21"/>
                <w:sz w:val="24"/>
                <w:szCs w:val="24"/>
                <w:highlight w:val="none"/>
                <w:u w:val="none" w:color="auto"/>
                <w:lang w:val="en-US" w:eastAsia="zh-CN" w:bidi="ar-SA"/>
              </w:rPr>
              <w:t>类标准。</w:t>
            </w:r>
          </w:p>
          <w:p w14:paraId="4FC99024">
            <w:pPr>
              <w:adjustRightInd w:val="0"/>
              <w:snapToGrid w:val="0"/>
              <w:spacing w:line="360" w:lineRule="auto"/>
              <w:ind w:firstLine="480" w:firstLineChars="200"/>
              <w:rPr>
                <w:rFonts w:hint="eastAsia" w:ascii="Times New Roman" w:hAnsi="Times New Roman" w:eastAsia="宋体" w:cs="Times New Roman"/>
                <w:color w:val="auto"/>
                <w:position w:val="15"/>
                <w:sz w:val="24"/>
                <w:highlight w:val="none"/>
                <w:u w:val="none" w:color="auto"/>
                <w:lang w:eastAsia="zh-CN"/>
              </w:rPr>
            </w:pPr>
            <w:r>
              <w:rPr>
                <w:rFonts w:hint="eastAsia" w:cs="Times New Roman"/>
                <w:color w:val="auto"/>
                <w:position w:val="15"/>
                <w:sz w:val="24"/>
                <w:highlight w:val="none"/>
                <w:u w:val="none" w:color="auto"/>
                <w:lang w:val="en-US" w:eastAsia="zh-CN"/>
              </w:rPr>
              <w:t>4.8</w:t>
            </w:r>
            <w:r>
              <w:rPr>
                <w:rFonts w:hint="default" w:ascii="Times New Roman" w:hAnsi="Times New Roman" w:cs="Times New Roman"/>
                <w:color w:val="auto"/>
                <w:position w:val="15"/>
                <w:sz w:val="24"/>
                <w:highlight w:val="none"/>
                <w:u w:val="none" w:color="auto"/>
                <w:lang w:val="en-US" w:eastAsia="zh-CN"/>
              </w:rPr>
              <w:t>.4</w:t>
            </w:r>
            <w:r>
              <w:rPr>
                <w:rFonts w:hint="default" w:ascii="Times New Roman" w:hAnsi="Times New Roman" w:cs="Times New Roman"/>
                <w:color w:val="auto"/>
                <w:position w:val="15"/>
                <w:sz w:val="24"/>
                <w:highlight w:val="none"/>
                <w:u w:val="none" w:color="auto"/>
              </w:rPr>
              <w:t>噪声污染防治</w:t>
            </w:r>
            <w:r>
              <w:rPr>
                <w:rFonts w:hint="default" w:ascii="Times New Roman" w:hAnsi="Times New Roman" w:eastAsia="宋体" w:cs="Times New Roman"/>
                <w:color w:val="auto"/>
                <w:position w:val="15"/>
                <w:sz w:val="24"/>
                <w:highlight w:val="none"/>
                <w:u w:val="none" w:color="auto"/>
              </w:rPr>
              <w:t>措施</w:t>
            </w:r>
            <w:r>
              <w:rPr>
                <w:rFonts w:hint="eastAsia" w:ascii="Times New Roman" w:hAnsi="Times New Roman" w:eastAsia="宋体" w:cs="Times New Roman"/>
                <w:color w:val="auto"/>
                <w:position w:val="15"/>
                <w:sz w:val="24"/>
                <w:highlight w:val="none"/>
                <w:u w:val="none" w:color="auto"/>
                <w:lang w:eastAsia="zh-CN"/>
              </w:rPr>
              <w:t>可行性分析</w:t>
            </w:r>
          </w:p>
          <w:p w14:paraId="34616FF8">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①在保证工艺生产的前提下尽量选择低噪声设备，降低噪声源强，同时采取必要的</w:t>
            </w:r>
            <w:r>
              <w:rPr>
                <w:rFonts w:hint="default" w:ascii="Times New Roman" w:hAnsi="Times New Roman" w:cs="Times New Roman"/>
                <w:color w:val="auto"/>
                <w:position w:val="15"/>
                <w:sz w:val="24"/>
                <w:highlight w:val="yellow"/>
                <w:u w:val="none" w:color="auto"/>
              </w:rPr>
              <w:t>减</w:t>
            </w:r>
            <w:r>
              <w:rPr>
                <w:rFonts w:hint="eastAsia" w:cs="Times New Roman"/>
                <w:color w:val="auto"/>
                <w:position w:val="15"/>
                <w:sz w:val="24"/>
                <w:highlight w:val="yellow"/>
                <w:u w:val="none" w:color="auto"/>
                <w:lang w:eastAsia="zh-CN"/>
              </w:rPr>
              <w:t>振</w:t>
            </w:r>
            <w:r>
              <w:rPr>
                <w:rFonts w:hint="default" w:ascii="Times New Roman" w:hAnsi="Times New Roman" w:cs="Times New Roman"/>
                <w:color w:val="auto"/>
                <w:position w:val="15"/>
                <w:sz w:val="24"/>
                <w:highlight w:val="yellow"/>
                <w:u w:val="none" w:color="auto"/>
              </w:rPr>
              <w:t>、隔</w:t>
            </w:r>
            <w:r>
              <w:rPr>
                <w:rFonts w:hint="eastAsia" w:cs="Times New Roman"/>
                <w:color w:val="auto"/>
                <w:position w:val="15"/>
                <w:sz w:val="24"/>
                <w:highlight w:val="yellow"/>
                <w:u w:val="none" w:color="auto"/>
                <w:lang w:eastAsia="zh-CN"/>
              </w:rPr>
              <w:t>振</w:t>
            </w:r>
            <w:r>
              <w:rPr>
                <w:rFonts w:hint="default" w:ascii="Times New Roman" w:hAnsi="Times New Roman" w:cs="Times New Roman"/>
                <w:color w:val="auto"/>
                <w:position w:val="15"/>
                <w:sz w:val="24"/>
                <w:highlight w:val="yellow"/>
                <w:u w:val="none" w:color="auto"/>
              </w:rPr>
              <w:t>措</w:t>
            </w:r>
            <w:r>
              <w:rPr>
                <w:rFonts w:hint="default" w:ascii="Times New Roman" w:hAnsi="Times New Roman" w:cs="Times New Roman"/>
                <w:color w:val="auto"/>
                <w:position w:val="15"/>
                <w:sz w:val="24"/>
                <w:highlight w:val="none"/>
                <w:u w:val="none" w:color="auto"/>
              </w:rPr>
              <w:t>施；设施设备应加强日常维护和保养，保证设施设备在正常情况下进行生产作业。</w:t>
            </w:r>
          </w:p>
          <w:p w14:paraId="6A4FF491">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②烘干塔热风机、冷风机采取减振、隔声罩等措施</w:t>
            </w:r>
            <w:r>
              <w:rPr>
                <w:rFonts w:hint="default" w:ascii="Times New Roman" w:hAnsi="Times New Roman" w:cs="Times New Roman"/>
                <w:color w:val="auto"/>
                <w:position w:val="15"/>
                <w:sz w:val="24"/>
                <w:highlight w:val="none"/>
                <w:u w:val="none" w:color="auto"/>
                <w:lang w:eastAsia="zh-CN"/>
              </w:rPr>
              <w:t>，</w:t>
            </w:r>
            <w:r>
              <w:rPr>
                <w:rFonts w:hint="default" w:ascii="Times New Roman" w:hAnsi="Times New Roman" w:cs="Times New Roman"/>
                <w:color w:val="auto"/>
                <w:position w:val="15"/>
                <w:sz w:val="24"/>
                <w:highlight w:val="none"/>
                <w:u w:val="none" w:color="auto"/>
              </w:rPr>
              <w:t>加强对设备的维修保养。</w:t>
            </w:r>
          </w:p>
          <w:p w14:paraId="7C93A503">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③加强管理，建立设备定期维护，保养的管理制度，以防止设备故障形成</w:t>
            </w:r>
            <w:r>
              <w:rPr>
                <w:rFonts w:hint="default" w:ascii="Times New Roman" w:hAnsi="Times New Roman" w:eastAsia="宋体" w:cs="Times New Roman"/>
                <w:color w:val="auto"/>
                <w:position w:val="15"/>
                <w:sz w:val="24"/>
                <w:highlight w:val="none"/>
                <w:u w:val="none" w:color="auto"/>
              </w:rPr>
              <w:t>的非正常生产噪声。</w:t>
            </w:r>
          </w:p>
          <w:p w14:paraId="29F7BBDC">
            <w:pPr>
              <w:adjustRightInd w:val="0"/>
              <w:snapToGrid w:val="0"/>
              <w:spacing w:line="360" w:lineRule="auto"/>
              <w:ind w:firstLine="480" w:firstLineChars="200"/>
              <w:rPr>
                <w:rFonts w:hint="default" w:ascii="Times New Roman" w:hAnsi="Times New Roman" w:eastAsia="宋体" w:cs="Times New Roman"/>
                <w:color w:val="auto"/>
                <w:position w:val="15"/>
                <w:sz w:val="24"/>
                <w:highlight w:val="none"/>
                <w:u w:val="none" w:color="auto"/>
              </w:rPr>
            </w:pPr>
            <w:r>
              <w:rPr>
                <w:rFonts w:hint="default" w:ascii="Times New Roman" w:hAnsi="Times New Roman" w:eastAsia="宋体" w:cs="Times New Roman"/>
                <w:color w:val="auto"/>
                <w:position w:val="15"/>
                <w:sz w:val="24"/>
                <w:highlight w:val="none"/>
                <w:u w:val="none" w:color="auto"/>
              </w:rPr>
              <w:t>通过采取以上降噪措施，可以有效降低噪声的影响。</w:t>
            </w:r>
          </w:p>
          <w:p w14:paraId="31A4109C">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4.8.5</w:t>
            </w:r>
            <w:r>
              <w:rPr>
                <w:rFonts w:hint="default" w:ascii="Times New Roman" w:hAnsi="Times New Roman" w:cs="Times New Roman"/>
                <w:color w:val="auto"/>
                <w:position w:val="15"/>
                <w:sz w:val="24"/>
                <w:highlight w:val="none"/>
                <w:u w:val="none" w:color="auto"/>
              </w:rPr>
              <w:t>噪声监测计划</w:t>
            </w:r>
          </w:p>
          <w:p w14:paraId="265AB736">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根据《排污许可证申请与核发技术规范</w:t>
            </w:r>
            <w:r>
              <w:rPr>
                <w:rFonts w:hint="eastAsia" w:cs="Times New Roman"/>
                <w:color w:val="auto"/>
                <w:position w:val="15"/>
                <w:sz w:val="24"/>
                <w:highlight w:val="none"/>
                <w:u w:val="none" w:color="auto"/>
                <w:lang w:val="en-US" w:eastAsia="zh-CN"/>
              </w:rPr>
              <w:t xml:space="preserve"> </w:t>
            </w:r>
            <w:r>
              <w:rPr>
                <w:rFonts w:hint="default" w:ascii="Times New Roman" w:hAnsi="Times New Roman" w:cs="Times New Roman"/>
                <w:color w:val="auto"/>
                <w:position w:val="15"/>
                <w:sz w:val="24"/>
                <w:highlight w:val="none"/>
                <w:u w:val="none" w:color="auto"/>
              </w:rPr>
              <w:t>工业噪声》（HJ</w:t>
            </w:r>
            <w:r>
              <w:rPr>
                <w:rFonts w:hint="eastAsia" w:cs="Times New Roman"/>
                <w:color w:val="auto"/>
                <w:position w:val="15"/>
                <w:sz w:val="24"/>
                <w:highlight w:val="none"/>
                <w:u w:val="none" w:color="auto"/>
                <w:lang w:val="en-US" w:eastAsia="zh-CN"/>
              </w:rPr>
              <w:t>1301</w:t>
            </w:r>
            <w:r>
              <w:rPr>
                <w:rFonts w:hint="default" w:ascii="Times New Roman" w:hAnsi="Times New Roman" w:cs="Times New Roman"/>
                <w:color w:val="auto"/>
                <w:position w:val="15"/>
                <w:sz w:val="24"/>
                <w:highlight w:val="none"/>
                <w:u w:val="none" w:color="auto"/>
              </w:rPr>
              <w:t>-20</w:t>
            </w:r>
            <w:r>
              <w:rPr>
                <w:rFonts w:hint="eastAsia" w:cs="Times New Roman"/>
                <w:color w:val="auto"/>
                <w:position w:val="15"/>
                <w:sz w:val="24"/>
                <w:highlight w:val="none"/>
                <w:u w:val="none" w:color="auto"/>
                <w:lang w:val="en-US" w:eastAsia="zh-CN"/>
              </w:rPr>
              <w:t>23</w:t>
            </w:r>
            <w:r>
              <w:rPr>
                <w:rFonts w:hint="default" w:ascii="Times New Roman" w:hAnsi="Times New Roman" w:cs="Times New Roman"/>
                <w:color w:val="auto"/>
                <w:position w:val="15"/>
                <w:sz w:val="24"/>
                <w:highlight w:val="none"/>
                <w:u w:val="none" w:color="auto"/>
              </w:rPr>
              <w:t>），并结合项目污染源分布、污染物性质与排放规律，以及厂区周边环境特征，制定污染源监测计划，噪声监测计划见表</w:t>
            </w:r>
            <w:r>
              <w:rPr>
                <w:rFonts w:hint="eastAsia" w:cs="Times New Roman"/>
                <w:color w:val="auto"/>
                <w:position w:val="15"/>
                <w:sz w:val="24"/>
                <w:highlight w:val="none"/>
                <w:u w:val="none" w:color="auto"/>
                <w:lang w:val="en-US" w:eastAsia="zh-CN"/>
              </w:rPr>
              <w:t>4-14</w:t>
            </w:r>
            <w:r>
              <w:rPr>
                <w:rFonts w:hint="default" w:ascii="Times New Roman" w:hAnsi="Times New Roman" w:cs="Times New Roman"/>
                <w:color w:val="auto"/>
                <w:position w:val="15"/>
                <w:sz w:val="24"/>
                <w:highlight w:val="none"/>
                <w:u w:val="none" w:color="auto"/>
              </w:rPr>
              <w:t>。</w:t>
            </w:r>
          </w:p>
          <w:p w14:paraId="09C744EE">
            <w:pPr>
              <w:adjustRightInd w:val="0"/>
              <w:snapToGrid w:val="0"/>
              <w:jc w:val="center"/>
              <w:rPr>
                <w:rFonts w:hint="default" w:ascii="Times New Roman" w:hAnsi="Times New Roman" w:cs="Times New Roman"/>
                <w:b/>
                <w:bCs/>
                <w:color w:val="auto"/>
                <w:spacing w:val="-2"/>
                <w:sz w:val="24"/>
                <w:highlight w:val="none"/>
                <w:u w:val="none" w:color="auto"/>
              </w:rPr>
            </w:pPr>
            <w:r>
              <w:rPr>
                <w:rFonts w:hint="default" w:ascii="Times New Roman" w:hAnsi="Times New Roman" w:cs="Times New Roman"/>
                <w:b/>
                <w:bCs/>
                <w:color w:val="auto"/>
                <w:spacing w:val="-2"/>
                <w:sz w:val="24"/>
                <w:highlight w:val="none"/>
                <w:u w:val="none" w:color="auto"/>
              </w:rPr>
              <w:t>表</w:t>
            </w:r>
            <w:r>
              <w:rPr>
                <w:rFonts w:hint="default" w:ascii="Times New Roman" w:hAnsi="Times New Roman" w:cs="Times New Roman"/>
                <w:b/>
                <w:bCs/>
                <w:color w:val="auto"/>
                <w:spacing w:val="-2"/>
                <w:sz w:val="24"/>
                <w:highlight w:val="none"/>
                <w:u w:val="none" w:color="auto"/>
                <w:lang w:val="en-US" w:eastAsia="zh-CN"/>
              </w:rPr>
              <w:t>4-</w:t>
            </w:r>
            <w:r>
              <w:rPr>
                <w:rFonts w:hint="eastAsia" w:cs="Times New Roman"/>
                <w:b/>
                <w:bCs/>
                <w:color w:val="auto"/>
                <w:spacing w:val="-2"/>
                <w:sz w:val="24"/>
                <w:highlight w:val="none"/>
                <w:u w:val="none" w:color="auto"/>
                <w:lang w:val="en-US" w:eastAsia="zh-CN"/>
              </w:rPr>
              <w:t>14</w:t>
            </w:r>
            <w:r>
              <w:rPr>
                <w:rFonts w:hint="default" w:ascii="Times New Roman" w:hAnsi="Times New Roman" w:cs="Times New Roman"/>
                <w:b/>
                <w:bCs/>
                <w:color w:val="auto"/>
                <w:spacing w:val="-2"/>
                <w:sz w:val="24"/>
                <w:highlight w:val="none"/>
                <w:u w:val="none" w:color="auto"/>
              </w:rPr>
              <w:t>污染源监测计划一览表</w:t>
            </w:r>
          </w:p>
          <w:tbl>
            <w:tblPr>
              <w:tblStyle w:val="29"/>
              <w:tblW w:w="76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854"/>
              <w:gridCol w:w="1425"/>
              <w:gridCol w:w="1414"/>
              <w:gridCol w:w="2363"/>
            </w:tblGrid>
            <w:tr w14:paraId="45D1B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405" w:type="pct"/>
                  <w:tcBorders>
                    <w:tl2br w:val="nil"/>
                    <w:tr2bl w:val="nil"/>
                  </w:tcBorders>
                  <w:noWrap w:val="0"/>
                  <w:vAlign w:val="center"/>
                </w:tcPr>
                <w:p w14:paraId="3B17DEEC">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类别</w:t>
                  </w:r>
                </w:p>
              </w:tc>
              <w:tc>
                <w:tcPr>
                  <w:tcW w:w="1207" w:type="pct"/>
                  <w:tcBorders>
                    <w:tl2br w:val="nil"/>
                    <w:tr2bl w:val="nil"/>
                  </w:tcBorders>
                  <w:noWrap w:val="0"/>
                  <w:vAlign w:val="center"/>
                </w:tcPr>
                <w:p w14:paraId="4C1EFAE4">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监测点位</w:t>
                  </w:r>
                </w:p>
              </w:tc>
              <w:tc>
                <w:tcPr>
                  <w:tcW w:w="927" w:type="pct"/>
                  <w:tcBorders>
                    <w:tl2br w:val="nil"/>
                    <w:tr2bl w:val="nil"/>
                  </w:tcBorders>
                  <w:noWrap w:val="0"/>
                  <w:vAlign w:val="center"/>
                </w:tcPr>
                <w:p w14:paraId="16BCFFD3">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监测频次</w:t>
                  </w:r>
                </w:p>
              </w:tc>
              <w:tc>
                <w:tcPr>
                  <w:tcW w:w="920" w:type="pct"/>
                  <w:tcBorders>
                    <w:tl2br w:val="nil"/>
                    <w:tr2bl w:val="nil"/>
                  </w:tcBorders>
                  <w:noWrap w:val="0"/>
                  <w:vAlign w:val="center"/>
                </w:tcPr>
                <w:p w14:paraId="283BB330">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color w:val="auto"/>
                      <w:kern w:val="2"/>
                      <w:sz w:val="21"/>
                      <w:szCs w:val="21"/>
                      <w:highlight w:val="none"/>
                      <w:u w:val="none" w:color="auto"/>
                      <w:lang w:val="en-US" w:eastAsia="zh-CN" w:bidi="ar"/>
                    </w:rPr>
                  </w:pPr>
                  <w:r>
                    <w:rPr>
                      <w:rFonts w:hint="eastAsia" w:ascii="宋体" w:hAnsi="宋体" w:cs="宋体"/>
                      <w:color w:val="auto"/>
                      <w:kern w:val="2"/>
                      <w:sz w:val="21"/>
                      <w:szCs w:val="21"/>
                      <w:highlight w:val="none"/>
                      <w:u w:val="none" w:color="auto"/>
                      <w:lang w:val="en-US" w:eastAsia="zh-CN" w:bidi="ar"/>
                    </w:rPr>
                    <w:t>监测内容</w:t>
                  </w:r>
                </w:p>
              </w:tc>
              <w:tc>
                <w:tcPr>
                  <w:tcW w:w="1538" w:type="pct"/>
                  <w:tcBorders>
                    <w:tl2br w:val="nil"/>
                    <w:tr2bl w:val="nil"/>
                  </w:tcBorders>
                  <w:noWrap w:val="0"/>
                  <w:vAlign w:val="center"/>
                </w:tcPr>
                <w:p w14:paraId="781F3180">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执行标准</w:t>
                  </w:r>
                </w:p>
              </w:tc>
            </w:tr>
            <w:tr w14:paraId="458ED6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405" w:type="pct"/>
                  <w:vMerge w:val="restart"/>
                  <w:tcBorders>
                    <w:tl2br w:val="nil"/>
                    <w:tr2bl w:val="nil"/>
                  </w:tcBorders>
                  <w:noWrap w:val="0"/>
                  <w:vAlign w:val="center"/>
                </w:tcPr>
                <w:p w14:paraId="0B2B44C9">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噪声</w:t>
                  </w:r>
                </w:p>
              </w:tc>
              <w:tc>
                <w:tcPr>
                  <w:tcW w:w="1207" w:type="pct"/>
                  <w:tcBorders>
                    <w:tl2br w:val="nil"/>
                    <w:tr2bl w:val="nil"/>
                  </w:tcBorders>
                  <w:noWrap w:val="0"/>
                  <w:vAlign w:val="center"/>
                </w:tcPr>
                <w:p w14:paraId="53A3503C">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厂界外</w:t>
                  </w:r>
                  <w:r>
                    <w:rPr>
                      <w:rFonts w:hint="default" w:ascii="Times New Roman" w:hAnsi="Times New Roman" w:eastAsia="宋体" w:cs="Times New Roman"/>
                      <w:color w:val="auto"/>
                      <w:kern w:val="2"/>
                      <w:sz w:val="21"/>
                      <w:szCs w:val="21"/>
                      <w:highlight w:val="none"/>
                      <w:u w:val="none" w:color="auto"/>
                      <w:lang w:val="en-US" w:eastAsia="zh-CN" w:bidi="ar"/>
                    </w:rPr>
                    <w:t>1m</w:t>
                  </w:r>
                  <w:r>
                    <w:rPr>
                      <w:rFonts w:hint="eastAsia" w:ascii="宋体" w:hAnsi="宋体" w:eastAsia="宋体" w:cs="宋体"/>
                      <w:color w:val="auto"/>
                      <w:kern w:val="2"/>
                      <w:sz w:val="21"/>
                      <w:szCs w:val="21"/>
                      <w:highlight w:val="none"/>
                      <w:u w:val="none" w:color="auto"/>
                      <w:lang w:val="en-US" w:eastAsia="zh-CN" w:bidi="ar"/>
                    </w:rPr>
                    <w:t>东侧</w:t>
                  </w:r>
                </w:p>
              </w:tc>
              <w:tc>
                <w:tcPr>
                  <w:tcW w:w="927" w:type="pct"/>
                  <w:vMerge w:val="restart"/>
                  <w:tcBorders>
                    <w:tl2br w:val="nil"/>
                    <w:tr2bl w:val="nil"/>
                  </w:tcBorders>
                  <w:noWrap w:val="0"/>
                  <w:vAlign w:val="center"/>
                </w:tcPr>
                <w:p w14:paraId="7A02328E">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default" w:ascii="Times New Roman" w:hAnsi="Times New Roman" w:eastAsia="宋体" w:cs="Times New Roman"/>
                      <w:color w:val="auto"/>
                      <w:kern w:val="2"/>
                      <w:sz w:val="21"/>
                      <w:szCs w:val="21"/>
                      <w:highlight w:val="none"/>
                      <w:u w:val="none" w:color="auto"/>
                      <w:lang w:val="en-US" w:eastAsia="zh-CN" w:bidi="ar"/>
                    </w:rPr>
                    <w:t>1</w:t>
                  </w:r>
                  <w:r>
                    <w:rPr>
                      <w:rFonts w:hint="eastAsia" w:ascii="宋体" w:hAnsi="宋体" w:eastAsia="宋体" w:cs="宋体"/>
                      <w:color w:val="auto"/>
                      <w:kern w:val="2"/>
                      <w:sz w:val="21"/>
                      <w:szCs w:val="21"/>
                      <w:highlight w:val="none"/>
                      <w:u w:val="none" w:color="auto"/>
                      <w:lang w:val="en-US" w:eastAsia="zh-CN" w:bidi="ar"/>
                    </w:rPr>
                    <w:t>次</w:t>
                  </w:r>
                  <w:r>
                    <w:rPr>
                      <w:rFonts w:hint="default" w:ascii="Times New Roman" w:hAnsi="Times New Roman" w:eastAsia="宋体" w:cs="Times New Roman"/>
                      <w:color w:val="auto"/>
                      <w:kern w:val="2"/>
                      <w:sz w:val="21"/>
                      <w:szCs w:val="21"/>
                      <w:highlight w:val="none"/>
                      <w:u w:val="none" w:color="auto"/>
                      <w:lang w:val="en-US" w:eastAsia="zh-CN" w:bidi="ar"/>
                    </w:rPr>
                    <w:t>/</w:t>
                  </w:r>
                  <w:r>
                    <w:rPr>
                      <w:rFonts w:hint="eastAsia" w:ascii="宋体" w:hAnsi="宋体" w:eastAsia="宋体" w:cs="宋体"/>
                      <w:color w:val="auto"/>
                      <w:kern w:val="2"/>
                      <w:sz w:val="21"/>
                      <w:szCs w:val="21"/>
                      <w:highlight w:val="none"/>
                      <w:u w:val="none" w:color="auto"/>
                      <w:lang w:val="en-US" w:eastAsia="zh-CN" w:bidi="ar"/>
                    </w:rPr>
                    <w:t>季度</w:t>
                  </w:r>
                </w:p>
              </w:tc>
              <w:tc>
                <w:tcPr>
                  <w:tcW w:w="920" w:type="pct"/>
                  <w:vMerge w:val="restart"/>
                  <w:tcBorders>
                    <w:tl2br w:val="nil"/>
                    <w:tr2bl w:val="nil"/>
                  </w:tcBorders>
                  <w:noWrap w:val="0"/>
                  <w:vAlign w:val="center"/>
                </w:tcPr>
                <w:p w14:paraId="0097B113">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bidi="ar"/>
                    </w:rPr>
                  </w:pPr>
                  <w:r>
                    <w:rPr>
                      <w:rFonts w:hint="default" w:ascii="Times New Roman" w:hAnsi="Times New Roman" w:eastAsia="宋体" w:cs="Times New Roman"/>
                      <w:color w:val="auto"/>
                      <w:kern w:val="2"/>
                      <w:sz w:val="21"/>
                      <w:szCs w:val="21"/>
                      <w:highlight w:val="none"/>
                      <w:u w:val="none" w:color="auto"/>
                      <w:lang w:val="en-US" w:eastAsia="zh-CN" w:bidi="ar"/>
                    </w:rPr>
                    <w:t>L</w:t>
                  </w:r>
                  <w:r>
                    <w:rPr>
                      <w:rFonts w:hint="default" w:ascii="Times New Roman" w:hAnsi="Times New Roman" w:eastAsia="宋体" w:cs="Times New Roman"/>
                      <w:color w:val="auto"/>
                      <w:kern w:val="2"/>
                      <w:sz w:val="21"/>
                      <w:szCs w:val="21"/>
                      <w:highlight w:val="none"/>
                      <w:u w:val="none" w:color="auto"/>
                      <w:vertAlign w:val="subscript"/>
                      <w:lang w:val="en-US" w:eastAsia="zh-CN" w:bidi="ar"/>
                    </w:rPr>
                    <w:t>eq</w:t>
                  </w:r>
                  <w:r>
                    <w:rPr>
                      <w:rFonts w:hint="default" w:ascii="Times New Roman" w:hAnsi="Times New Roman" w:eastAsia="宋体" w:cs="Times New Roman"/>
                      <w:color w:val="auto"/>
                      <w:kern w:val="2"/>
                      <w:sz w:val="21"/>
                      <w:szCs w:val="21"/>
                      <w:highlight w:val="none"/>
                      <w:u w:val="none" w:color="auto"/>
                      <w:lang w:val="en-US" w:eastAsia="zh-CN" w:bidi="ar"/>
                    </w:rPr>
                    <w:t>、L</w:t>
                  </w:r>
                  <w:r>
                    <w:rPr>
                      <w:rFonts w:hint="default" w:ascii="Times New Roman" w:hAnsi="Times New Roman" w:eastAsia="宋体" w:cs="Times New Roman"/>
                      <w:color w:val="auto"/>
                      <w:kern w:val="2"/>
                      <w:sz w:val="21"/>
                      <w:szCs w:val="21"/>
                      <w:highlight w:val="none"/>
                      <w:u w:val="none" w:color="auto"/>
                      <w:vertAlign w:val="subscript"/>
                      <w:lang w:val="en-US" w:eastAsia="zh-CN" w:bidi="ar"/>
                    </w:rPr>
                    <w:t>max</w:t>
                  </w:r>
                </w:p>
              </w:tc>
              <w:tc>
                <w:tcPr>
                  <w:tcW w:w="1538" w:type="pct"/>
                  <w:vMerge w:val="restart"/>
                  <w:tcBorders>
                    <w:tl2br w:val="nil"/>
                    <w:tr2bl w:val="nil"/>
                  </w:tcBorders>
                  <w:noWrap w:val="0"/>
                  <w:vAlign w:val="center"/>
                </w:tcPr>
                <w:p w14:paraId="72527E06">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default" w:ascii="Times New Roman" w:hAnsi="Times New Roman" w:eastAsia="宋体" w:cs="Times New Roman"/>
                      <w:color w:val="auto"/>
                      <w:kern w:val="2"/>
                      <w:sz w:val="21"/>
                      <w:szCs w:val="21"/>
                      <w:highlight w:val="none"/>
                      <w:u w:val="none" w:color="auto"/>
                      <w:lang w:val="en-US" w:eastAsia="zh-CN"/>
                    </w:rPr>
                    <w:t>厂界满足《工业企业厂界环境噪声排放标准》（GB12348-2008）中2类标准</w:t>
                  </w:r>
                </w:p>
              </w:tc>
            </w:tr>
            <w:tr w14:paraId="6BF089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vMerge w:val="continue"/>
                  <w:tcBorders>
                    <w:tl2br w:val="nil"/>
                    <w:tr2bl w:val="nil"/>
                  </w:tcBorders>
                  <w:noWrap w:val="0"/>
                  <w:vAlign w:val="center"/>
                </w:tcPr>
                <w:p w14:paraId="24168AEE">
                  <w:pPr>
                    <w:rPr>
                      <w:rFonts w:hint="default" w:ascii="Times New Roman" w:hAnsi="Times New Roman" w:cs="Times New Roman"/>
                      <w:color w:val="auto"/>
                      <w:sz w:val="20"/>
                      <w:szCs w:val="20"/>
                      <w:highlight w:val="none"/>
                      <w:u w:val="none" w:color="auto"/>
                      <w:lang w:val="en-US" w:eastAsia="zh-CN"/>
                    </w:rPr>
                  </w:pPr>
                </w:p>
              </w:tc>
              <w:tc>
                <w:tcPr>
                  <w:tcW w:w="1207" w:type="pct"/>
                  <w:tcBorders>
                    <w:tl2br w:val="nil"/>
                    <w:tr2bl w:val="nil"/>
                  </w:tcBorders>
                  <w:noWrap w:val="0"/>
                  <w:vAlign w:val="center"/>
                </w:tcPr>
                <w:p w14:paraId="02807139">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厂界外</w:t>
                  </w:r>
                  <w:r>
                    <w:rPr>
                      <w:rFonts w:hint="default" w:ascii="Times New Roman" w:hAnsi="Times New Roman" w:eastAsia="宋体" w:cs="Times New Roman"/>
                      <w:color w:val="auto"/>
                      <w:kern w:val="2"/>
                      <w:sz w:val="21"/>
                      <w:szCs w:val="21"/>
                      <w:highlight w:val="none"/>
                      <w:u w:val="none" w:color="auto"/>
                      <w:lang w:val="en-US" w:eastAsia="zh-CN" w:bidi="ar"/>
                    </w:rPr>
                    <w:t>1m</w:t>
                  </w:r>
                  <w:r>
                    <w:rPr>
                      <w:rFonts w:hint="eastAsia" w:ascii="宋体" w:hAnsi="宋体" w:eastAsia="宋体" w:cs="宋体"/>
                      <w:color w:val="auto"/>
                      <w:kern w:val="2"/>
                      <w:sz w:val="21"/>
                      <w:szCs w:val="21"/>
                      <w:highlight w:val="none"/>
                      <w:u w:val="none" w:color="auto"/>
                      <w:lang w:val="en-US" w:eastAsia="zh-CN" w:bidi="ar"/>
                    </w:rPr>
                    <w:t>南侧</w:t>
                  </w:r>
                </w:p>
              </w:tc>
              <w:tc>
                <w:tcPr>
                  <w:tcW w:w="927" w:type="pct"/>
                  <w:vMerge w:val="continue"/>
                  <w:tcBorders>
                    <w:tl2br w:val="nil"/>
                    <w:tr2bl w:val="nil"/>
                  </w:tcBorders>
                  <w:noWrap w:val="0"/>
                  <w:vAlign w:val="center"/>
                </w:tcPr>
                <w:p w14:paraId="3E4364F5">
                  <w:pPr>
                    <w:rPr>
                      <w:rFonts w:hint="default" w:ascii="Times New Roman" w:hAnsi="Times New Roman" w:cs="Times New Roman"/>
                      <w:color w:val="auto"/>
                      <w:sz w:val="20"/>
                      <w:szCs w:val="20"/>
                      <w:highlight w:val="none"/>
                      <w:u w:val="none" w:color="auto"/>
                      <w:lang w:val="en-US" w:eastAsia="zh-CN"/>
                    </w:rPr>
                  </w:pPr>
                </w:p>
              </w:tc>
              <w:tc>
                <w:tcPr>
                  <w:tcW w:w="920" w:type="pct"/>
                  <w:vMerge w:val="continue"/>
                  <w:tcBorders>
                    <w:tl2br w:val="nil"/>
                    <w:tr2bl w:val="nil"/>
                  </w:tcBorders>
                  <w:noWrap w:val="0"/>
                  <w:vAlign w:val="center"/>
                </w:tcPr>
                <w:p w14:paraId="1552F31B">
                  <w:pPr>
                    <w:rPr>
                      <w:rFonts w:hint="default" w:ascii="Times New Roman" w:hAnsi="Times New Roman" w:cs="Times New Roman"/>
                      <w:color w:val="auto"/>
                      <w:sz w:val="20"/>
                      <w:szCs w:val="20"/>
                      <w:highlight w:val="none"/>
                      <w:u w:val="none" w:color="auto"/>
                      <w:lang w:val="en-US" w:eastAsia="zh-CN"/>
                    </w:rPr>
                  </w:pPr>
                </w:p>
              </w:tc>
              <w:tc>
                <w:tcPr>
                  <w:tcW w:w="1538" w:type="pct"/>
                  <w:vMerge w:val="continue"/>
                  <w:tcBorders>
                    <w:tl2br w:val="nil"/>
                    <w:tr2bl w:val="nil"/>
                  </w:tcBorders>
                  <w:noWrap w:val="0"/>
                  <w:vAlign w:val="center"/>
                </w:tcPr>
                <w:p w14:paraId="63EAADD9">
                  <w:pPr>
                    <w:rPr>
                      <w:rFonts w:hint="default" w:ascii="Times New Roman" w:hAnsi="Times New Roman" w:cs="Times New Roman"/>
                      <w:color w:val="auto"/>
                      <w:sz w:val="20"/>
                      <w:szCs w:val="20"/>
                      <w:highlight w:val="none"/>
                      <w:u w:val="none" w:color="auto"/>
                      <w:lang w:val="en-US" w:eastAsia="zh-CN"/>
                    </w:rPr>
                  </w:pPr>
                </w:p>
              </w:tc>
            </w:tr>
            <w:tr w14:paraId="2645BB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405" w:type="pct"/>
                  <w:vMerge w:val="continue"/>
                  <w:tcBorders>
                    <w:tl2br w:val="nil"/>
                    <w:tr2bl w:val="nil"/>
                  </w:tcBorders>
                  <w:noWrap w:val="0"/>
                  <w:vAlign w:val="center"/>
                </w:tcPr>
                <w:p w14:paraId="153817D4">
                  <w:pPr>
                    <w:rPr>
                      <w:rFonts w:hint="default" w:ascii="Times New Roman" w:hAnsi="Times New Roman" w:cs="Times New Roman"/>
                      <w:color w:val="auto"/>
                      <w:sz w:val="20"/>
                      <w:szCs w:val="20"/>
                      <w:highlight w:val="none"/>
                      <w:u w:val="none" w:color="auto"/>
                      <w:lang w:val="en-US" w:eastAsia="zh-CN"/>
                    </w:rPr>
                  </w:pPr>
                </w:p>
              </w:tc>
              <w:tc>
                <w:tcPr>
                  <w:tcW w:w="1207" w:type="pct"/>
                  <w:tcBorders>
                    <w:tl2br w:val="nil"/>
                    <w:tr2bl w:val="nil"/>
                  </w:tcBorders>
                  <w:noWrap w:val="0"/>
                  <w:vAlign w:val="center"/>
                </w:tcPr>
                <w:p w14:paraId="162BDC28">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厂界外</w:t>
                  </w:r>
                  <w:r>
                    <w:rPr>
                      <w:rFonts w:hint="default" w:ascii="Times New Roman" w:hAnsi="Times New Roman" w:eastAsia="宋体" w:cs="Times New Roman"/>
                      <w:color w:val="auto"/>
                      <w:kern w:val="2"/>
                      <w:sz w:val="21"/>
                      <w:szCs w:val="21"/>
                      <w:highlight w:val="none"/>
                      <w:u w:val="none" w:color="auto"/>
                      <w:lang w:val="en-US" w:eastAsia="zh-CN" w:bidi="ar"/>
                    </w:rPr>
                    <w:t>1m</w:t>
                  </w:r>
                  <w:r>
                    <w:rPr>
                      <w:rFonts w:hint="eastAsia" w:ascii="宋体" w:hAnsi="宋体" w:eastAsia="宋体" w:cs="宋体"/>
                      <w:color w:val="auto"/>
                      <w:kern w:val="2"/>
                      <w:sz w:val="21"/>
                      <w:szCs w:val="21"/>
                      <w:highlight w:val="none"/>
                      <w:u w:val="none" w:color="auto"/>
                      <w:lang w:val="en-US" w:eastAsia="zh-CN" w:bidi="ar"/>
                    </w:rPr>
                    <w:t>西侧</w:t>
                  </w:r>
                </w:p>
              </w:tc>
              <w:tc>
                <w:tcPr>
                  <w:tcW w:w="927" w:type="pct"/>
                  <w:vMerge w:val="continue"/>
                  <w:tcBorders>
                    <w:tl2br w:val="nil"/>
                    <w:tr2bl w:val="nil"/>
                  </w:tcBorders>
                  <w:noWrap w:val="0"/>
                  <w:vAlign w:val="center"/>
                </w:tcPr>
                <w:p w14:paraId="5DE903DB">
                  <w:pPr>
                    <w:rPr>
                      <w:rFonts w:hint="default" w:ascii="Times New Roman" w:hAnsi="Times New Roman" w:cs="Times New Roman"/>
                      <w:color w:val="auto"/>
                      <w:sz w:val="20"/>
                      <w:szCs w:val="20"/>
                      <w:highlight w:val="none"/>
                      <w:u w:val="none" w:color="auto"/>
                      <w:lang w:val="en-US" w:eastAsia="zh-CN"/>
                    </w:rPr>
                  </w:pPr>
                </w:p>
              </w:tc>
              <w:tc>
                <w:tcPr>
                  <w:tcW w:w="920" w:type="pct"/>
                  <w:vMerge w:val="continue"/>
                  <w:tcBorders>
                    <w:tl2br w:val="nil"/>
                    <w:tr2bl w:val="nil"/>
                  </w:tcBorders>
                  <w:noWrap w:val="0"/>
                  <w:vAlign w:val="center"/>
                </w:tcPr>
                <w:p w14:paraId="0E9CD698">
                  <w:pPr>
                    <w:rPr>
                      <w:rFonts w:hint="default" w:ascii="Times New Roman" w:hAnsi="Times New Roman" w:cs="Times New Roman"/>
                      <w:color w:val="auto"/>
                      <w:sz w:val="20"/>
                      <w:szCs w:val="20"/>
                      <w:highlight w:val="none"/>
                      <w:u w:val="none" w:color="auto"/>
                      <w:lang w:val="en-US" w:eastAsia="zh-CN"/>
                    </w:rPr>
                  </w:pPr>
                </w:p>
              </w:tc>
              <w:tc>
                <w:tcPr>
                  <w:tcW w:w="1538" w:type="pct"/>
                  <w:vMerge w:val="continue"/>
                  <w:tcBorders>
                    <w:tl2br w:val="nil"/>
                    <w:tr2bl w:val="nil"/>
                  </w:tcBorders>
                  <w:noWrap w:val="0"/>
                  <w:vAlign w:val="center"/>
                </w:tcPr>
                <w:p w14:paraId="24CF8203">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p>
              </w:tc>
            </w:tr>
            <w:tr w14:paraId="1081BA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405" w:type="pct"/>
                  <w:vMerge w:val="continue"/>
                  <w:tcBorders>
                    <w:tl2br w:val="nil"/>
                    <w:tr2bl w:val="nil"/>
                  </w:tcBorders>
                  <w:noWrap w:val="0"/>
                  <w:vAlign w:val="center"/>
                </w:tcPr>
                <w:p w14:paraId="4095F40D">
                  <w:pPr>
                    <w:rPr>
                      <w:rFonts w:hint="default" w:ascii="Times New Roman" w:hAnsi="Times New Roman" w:cs="Times New Roman"/>
                      <w:color w:val="auto"/>
                      <w:sz w:val="20"/>
                      <w:szCs w:val="20"/>
                      <w:highlight w:val="none"/>
                      <w:u w:val="none" w:color="auto"/>
                      <w:lang w:val="en-US" w:eastAsia="zh-CN"/>
                    </w:rPr>
                  </w:pPr>
                </w:p>
              </w:tc>
              <w:tc>
                <w:tcPr>
                  <w:tcW w:w="1207" w:type="pct"/>
                  <w:tcBorders>
                    <w:tl2br w:val="nil"/>
                    <w:tr2bl w:val="nil"/>
                  </w:tcBorders>
                  <w:noWrap w:val="0"/>
                  <w:vAlign w:val="center"/>
                </w:tcPr>
                <w:p w14:paraId="6DD71D7B">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ascii="宋体" w:hAnsi="宋体" w:eastAsia="宋体" w:cs="宋体"/>
                      <w:color w:val="auto"/>
                      <w:kern w:val="2"/>
                      <w:sz w:val="21"/>
                      <w:szCs w:val="21"/>
                      <w:highlight w:val="none"/>
                      <w:u w:val="none" w:color="auto"/>
                      <w:lang w:val="en-US" w:eastAsia="zh-CN" w:bidi="ar"/>
                    </w:rPr>
                    <w:t>厂界外</w:t>
                  </w:r>
                  <w:r>
                    <w:rPr>
                      <w:rFonts w:hint="default" w:ascii="Times New Roman" w:hAnsi="Times New Roman" w:eastAsia="宋体" w:cs="Times New Roman"/>
                      <w:color w:val="auto"/>
                      <w:kern w:val="2"/>
                      <w:sz w:val="21"/>
                      <w:szCs w:val="21"/>
                      <w:highlight w:val="none"/>
                      <w:u w:val="none" w:color="auto"/>
                      <w:lang w:val="en-US" w:eastAsia="zh-CN" w:bidi="ar"/>
                    </w:rPr>
                    <w:t>1m</w:t>
                  </w:r>
                  <w:r>
                    <w:rPr>
                      <w:rFonts w:hint="eastAsia" w:ascii="宋体" w:hAnsi="宋体" w:eastAsia="宋体" w:cs="宋体"/>
                      <w:color w:val="auto"/>
                      <w:kern w:val="2"/>
                      <w:sz w:val="21"/>
                      <w:szCs w:val="21"/>
                      <w:highlight w:val="none"/>
                      <w:u w:val="none" w:color="auto"/>
                      <w:lang w:val="en-US" w:eastAsia="zh-CN" w:bidi="ar"/>
                    </w:rPr>
                    <w:t>北侧</w:t>
                  </w:r>
                </w:p>
              </w:tc>
              <w:tc>
                <w:tcPr>
                  <w:tcW w:w="927" w:type="pct"/>
                  <w:vMerge w:val="continue"/>
                  <w:tcBorders>
                    <w:tl2br w:val="nil"/>
                    <w:tr2bl w:val="nil"/>
                  </w:tcBorders>
                  <w:noWrap w:val="0"/>
                  <w:vAlign w:val="center"/>
                </w:tcPr>
                <w:p w14:paraId="3492022F">
                  <w:pPr>
                    <w:rPr>
                      <w:rFonts w:hint="default" w:ascii="Times New Roman" w:hAnsi="Times New Roman" w:cs="Times New Roman"/>
                      <w:color w:val="auto"/>
                      <w:sz w:val="20"/>
                      <w:szCs w:val="20"/>
                      <w:highlight w:val="none"/>
                      <w:u w:val="none" w:color="auto"/>
                      <w:lang w:val="en-US" w:eastAsia="zh-CN"/>
                    </w:rPr>
                  </w:pPr>
                </w:p>
              </w:tc>
              <w:tc>
                <w:tcPr>
                  <w:tcW w:w="920" w:type="pct"/>
                  <w:vMerge w:val="continue"/>
                  <w:tcBorders>
                    <w:tl2br w:val="nil"/>
                    <w:tr2bl w:val="nil"/>
                  </w:tcBorders>
                  <w:noWrap w:val="0"/>
                  <w:vAlign w:val="center"/>
                </w:tcPr>
                <w:p w14:paraId="4658B315">
                  <w:pPr>
                    <w:rPr>
                      <w:rFonts w:hint="default" w:ascii="Times New Roman" w:hAnsi="Times New Roman" w:cs="Times New Roman"/>
                      <w:color w:val="auto"/>
                      <w:sz w:val="20"/>
                      <w:szCs w:val="20"/>
                      <w:highlight w:val="none"/>
                      <w:u w:val="none" w:color="auto"/>
                      <w:lang w:val="en-US" w:eastAsia="zh-CN"/>
                    </w:rPr>
                  </w:pPr>
                </w:p>
              </w:tc>
              <w:tc>
                <w:tcPr>
                  <w:tcW w:w="1538" w:type="pct"/>
                  <w:vMerge w:val="continue"/>
                  <w:tcBorders>
                    <w:tl2br w:val="nil"/>
                    <w:tr2bl w:val="nil"/>
                  </w:tcBorders>
                  <w:noWrap w:val="0"/>
                  <w:vAlign w:val="center"/>
                </w:tcPr>
                <w:p w14:paraId="3DA63C52">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p>
              </w:tc>
            </w:tr>
            <w:tr w14:paraId="3EB3F4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5000" w:type="pct"/>
                  <w:gridSpan w:val="5"/>
                  <w:tcBorders>
                    <w:tl2br w:val="nil"/>
                    <w:tr2bl w:val="nil"/>
                  </w:tcBorders>
                  <w:noWrap w:val="0"/>
                  <w:vAlign w:val="center"/>
                </w:tcPr>
                <w:p w14:paraId="3581261F">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u w:val="none" w:color="auto"/>
                      <w:lang w:val="en-US" w:eastAsia="zh-CN"/>
                    </w:rPr>
                  </w:pPr>
                  <w:r>
                    <w:rPr>
                      <w:rFonts w:hint="eastAsia" w:cs="Times New Roman"/>
                      <w:color w:val="auto"/>
                      <w:kern w:val="2"/>
                      <w:sz w:val="21"/>
                      <w:szCs w:val="21"/>
                      <w:highlight w:val="none"/>
                      <w:u w:val="none" w:color="auto"/>
                      <w:lang w:val="en-US" w:eastAsia="zh-CN"/>
                    </w:rPr>
                    <w:t>注：昼间、夜间均生产的需分别监测昼间L</w:t>
                  </w:r>
                  <w:r>
                    <w:rPr>
                      <w:rFonts w:hint="eastAsia" w:cs="Times New Roman"/>
                      <w:color w:val="auto"/>
                      <w:kern w:val="2"/>
                      <w:sz w:val="21"/>
                      <w:szCs w:val="21"/>
                      <w:highlight w:val="none"/>
                      <w:u w:val="none" w:color="auto"/>
                      <w:vertAlign w:val="subscript"/>
                      <w:lang w:val="en-US" w:eastAsia="zh-CN"/>
                    </w:rPr>
                    <w:t>eq</w:t>
                  </w:r>
                  <w:r>
                    <w:rPr>
                      <w:rFonts w:hint="eastAsia" w:cs="Times New Roman"/>
                      <w:color w:val="auto"/>
                      <w:kern w:val="2"/>
                      <w:sz w:val="21"/>
                      <w:szCs w:val="21"/>
                      <w:highlight w:val="none"/>
                      <w:u w:val="none" w:color="auto"/>
                      <w:lang w:val="en-US" w:eastAsia="zh-CN"/>
                    </w:rPr>
                    <w:t>和夜间L</w:t>
                  </w:r>
                  <w:r>
                    <w:rPr>
                      <w:rFonts w:hint="eastAsia" w:cs="Times New Roman"/>
                      <w:color w:val="auto"/>
                      <w:kern w:val="2"/>
                      <w:sz w:val="21"/>
                      <w:szCs w:val="21"/>
                      <w:highlight w:val="none"/>
                      <w:u w:val="none" w:color="auto"/>
                      <w:vertAlign w:val="subscript"/>
                      <w:lang w:val="en-US" w:eastAsia="zh-CN"/>
                    </w:rPr>
                    <w:t>eq</w:t>
                  </w:r>
                  <w:r>
                    <w:rPr>
                      <w:rFonts w:hint="eastAsia" w:cs="Times New Roman"/>
                      <w:color w:val="auto"/>
                      <w:kern w:val="2"/>
                      <w:sz w:val="21"/>
                      <w:szCs w:val="21"/>
                      <w:highlight w:val="none"/>
                      <w:u w:val="none" w:color="auto"/>
                      <w:lang w:val="en-US" w:eastAsia="zh-CN"/>
                    </w:rPr>
                    <w:t>。夜间频发、偶发噪声需监测最大A声级L</w:t>
                  </w:r>
                  <w:r>
                    <w:rPr>
                      <w:rFonts w:hint="eastAsia" w:cs="Times New Roman"/>
                      <w:color w:val="auto"/>
                      <w:kern w:val="2"/>
                      <w:sz w:val="21"/>
                      <w:szCs w:val="21"/>
                      <w:highlight w:val="none"/>
                      <w:u w:val="none" w:color="auto"/>
                      <w:vertAlign w:val="subscript"/>
                      <w:lang w:val="en-US" w:eastAsia="zh-CN"/>
                    </w:rPr>
                    <w:t>max</w:t>
                  </w:r>
                  <w:r>
                    <w:rPr>
                      <w:rFonts w:hint="eastAsia" w:cs="Times New Roman"/>
                      <w:color w:val="auto"/>
                      <w:kern w:val="2"/>
                      <w:sz w:val="21"/>
                      <w:szCs w:val="21"/>
                      <w:highlight w:val="none"/>
                      <w:u w:val="none" w:color="auto"/>
                      <w:lang w:val="en-US" w:eastAsia="zh-CN"/>
                    </w:rPr>
                    <w:t>，频发噪声、偶发噪声在发生时进行监测。</w:t>
                  </w:r>
                </w:p>
              </w:tc>
            </w:tr>
          </w:tbl>
          <w:p w14:paraId="60158B3C">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eastAsia" w:cs="Times New Roman"/>
                <w:color w:val="auto"/>
                <w:position w:val="15"/>
                <w:sz w:val="24"/>
                <w:highlight w:val="none"/>
                <w:u w:val="none" w:color="auto"/>
                <w:lang w:val="en-US" w:eastAsia="zh-CN"/>
              </w:rPr>
              <w:t>4.9</w:t>
            </w:r>
            <w:r>
              <w:rPr>
                <w:rFonts w:hint="default" w:ascii="Times New Roman" w:hAnsi="Times New Roman" w:cs="Times New Roman"/>
                <w:color w:val="auto"/>
                <w:position w:val="15"/>
                <w:sz w:val="24"/>
                <w:highlight w:val="none"/>
                <w:u w:val="none" w:color="auto"/>
              </w:rPr>
              <w:t>固体废物</w:t>
            </w:r>
          </w:p>
          <w:p w14:paraId="361A5F89">
            <w:pPr>
              <w:adjustRightInd w:val="0"/>
              <w:snapToGrid w:val="0"/>
              <w:spacing w:line="360" w:lineRule="auto"/>
              <w:ind w:firstLine="480" w:firstLineChars="200"/>
              <w:rPr>
                <w:rFonts w:hint="eastAsia" w:cs="Times New Roman"/>
                <w:color w:val="auto"/>
                <w:position w:val="15"/>
                <w:sz w:val="24"/>
                <w:highlight w:val="none"/>
                <w:u w:val="none" w:color="auto"/>
                <w:lang w:val="en-US" w:eastAsia="zh-CN"/>
              </w:rPr>
            </w:pPr>
            <w:r>
              <w:rPr>
                <w:rFonts w:hint="eastAsia" w:cs="Times New Roman"/>
                <w:color w:val="auto"/>
                <w:position w:val="15"/>
                <w:sz w:val="24"/>
                <w:highlight w:val="none"/>
                <w:u w:val="none" w:color="auto"/>
                <w:lang w:val="en-US" w:eastAsia="zh-CN"/>
              </w:rPr>
              <w:t>4.9.1固体废物产生及排放</w:t>
            </w:r>
          </w:p>
          <w:p w14:paraId="4C053B79">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lang w:val="en-US"/>
              </w:rPr>
            </w:pPr>
            <w:r>
              <w:rPr>
                <w:rFonts w:hint="default" w:ascii="Times New Roman" w:hAnsi="Times New Roman" w:cs="Times New Roman"/>
                <w:color w:val="auto"/>
                <w:position w:val="15"/>
                <w:sz w:val="24"/>
                <w:highlight w:val="none"/>
                <w:u w:val="none" w:color="auto"/>
                <w:lang w:val="en-US"/>
              </w:rPr>
              <w:t>本项目</w:t>
            </w:r>
            <w:r>
              <w:rPr>
                <w:rFonts w:hint="eastAsia" w:cs="Times New Roman"/>
                <w:color w:val="auto"/>
                <w:position w:val="15"/>
                <w:sz w:val="24"/>
                <w:highlight w:val="none"/>
                <w:u w:val="none" w:color="auto"/>
                <w:lang w:val="en-US" w:eastAsia="zh-CN"/>
              </w:rPr>
              <w:t>固体废物</w:t>
            </w:r>
            <w:r>
              <w:rPr>
                <w:rFonts w:hint="default" w:ascii="Times New Roman" w:hAnsi="Times New Roman" w:cs="Times New Roman"/>
                <w:color w:val="auto"/>
                <w:position w:val="15"/>
                <w:sz w:val="24"/>
                <w:highlight w:val="none"/>
                <w:u w:val="none" w:color="auto"/>
                <w:lang w:val="en-US"/>
              </w:rPr>
              <w:t>主要为生活垃圾、生物质</w:t>
            </w:r>
            <w:r>
              <w:rPr>
                <w:rFonts w:hint="eastAsia" w:cs="Times New Roman"/>
                <w:color w:val="auto"/>
                <w:position w:val="15"/>
                <w:sz w:val="24"/>
                <w:highlight w:val="none"/>
                <w:u w:val="none" w:color="auto"/>
                <w:lang w:val="en-US" w:eastAsia="zh-CN"/>
              </w:rPr>
              <w:t>炉渣</w:t>
            </w:r>
            <w:r>
              <w:rPr>
                <w:rFonts w:hint="default" w:ascii="Times New Roman" w:hAnsi="Times New Roman" w:cs="Times New Roman"/>
                <w:color w:val="auto"/>
                <w:position w:val="15"/>
                <w:sz w:val="24"/>
                <w:highlight w:val="none"/>
                <w:u w:val="none" w:color="auto"/>
                <w:lang w:val="en-US"/>
              </w:rPr>
              <w:t>、除尘灰、废布袋、原粮杂质、烘干截留粉尘。项目</w:t>
            </w:r>
            <w:r>
              <w:rPr>
                <w:rFonts w:hint="eastAsia" w:cs="Times New Roman"/>
                <w:color w:val="auto"/>
                <w:position w:val="15"/>
                <w:sz w:val="24"/>
                <w:highlight w:val="none"/>
                <w:u w:val="none" w:color="auto"/>
                <w:lang w:val="en-US" w:eastAsia="zh-CN"/>
              </w:rPr>
              <w:t>设备</w:t>
            </w:r>
            <w:r>
              <w:rPr>
                <w:rFonts w:hint="default" w:ascii="Times New Roman" w:hAnsi="Times New Roman" w:cs="Times New Roman"/>
                <w:color w:val="auto"/>
                <w:position w:val="15"/>
                <w:sz w:val="24"/>
                <w:highlight w:val="none"/>
                <w:u w:val="none" w:color="auto"/>
                <w:lang w:val="en-US"/>
              </w:rPr>
              <w:t>不使用机油、润滑油，</w:t>
            </w:r>
            <w:r>
              <w:rPr>
                <w:rFonts w:hint="eastAsia" w:cs="Times New Roman"/>
                <w:color w:val="auto"/>
                <w:position w:val="15"/>
                <w:sz w:val="24"/>
                <w:highlight w:val="none"/>
                <w:u w:val="none" w:color="auto"/>
                <w:lang w:val="en-US" w:eastAsia="zh-CN"/>
              </w:rPr>
              <w:t>润滑采用</w:t>
            </w:r>
            <w:r>
              <w:rPr>
                <w:rFonts w:hint="default" w:ascii="Times New Roman" w:hAnsi="Times New Roman" w:cs="Times New Roman"/>
                <w:color w:val="auto"/>
                <w:position w:val="15"/>
                <w:sz w:val="24"/>
                <w:highlight w:val="none"/>
                <w:u w:val="none" w:color="auto"/>
                <w:lang w:val="en-US"/>
              </w:rPr>
              <w:t>固体黄油，日常维护时</w:t>
            </w:r>
            <w:r>
              <w:rPr>
                <w:rFonts w:hint="eastAsia" w:cs="Times New Roman"/>
                <w:color w:val="auto"/>
                <w:position w:val="15"/>
                <w:sz w:val="24"/>
                <w:highlight w:val="none"/>
                <w:u w:val="none" w:color="auto"/>
                <w:lang w:val="en-US" w:eastAsia="zh-CN"/>
              </w:rPr>
              <w:t>仅补充</w:t>
            </w:r>
            <w:r>
              <w:rPr>
                <w:rFonts w:hint="default" w:ascii="Times New Roman" w:hAnsi="Times New Roman" w:cs="Times New Roman"/>
                <w:color w:val="auto"/>
                <w:position w:val="15"/>
                <w:sz w:val="24"/>
                <w:highlight w:val="none"/>
                <w:u w:val="none" w:color="auto"/>
                <w:lang w:val="en-US"/>
              </w:rPr>
              <w:t>，</w:t>
            </w:r>
            <w:r>
              <w:rPr>
                <w:rFonts w:hint="eastAsia" w:cs="Times New Roman"/>
                <w:color w:val="auto"/>
                <w:position w:val="15"/>
                <w:sz w:val="24"/>
                <w:highlight w:val="none"/>
                <w:u w:val="none" w:color="auto"/>
                <w:lang w:val="en-US" w:eastAsia="zh-CN"/>
              </w:rPr>
              <w:t>无废机油、废润滑油和含油抹布等危险废物产生</w:t>
            </w:r>
            <w:r>
              <w:rPr>
                <w:rFonts w:hint="default" w:ascii="Times New Roman" w:hAnsi="Times New Roman" w:cs="Times New Roman"/>
                <w:color w:val="auto"/>
                <w:position w:val="15"/>
                <w:sz w:val="24"/>
                <w:highlight w:val="none"/>
                <w:u w:val="none" w:color="auto"/>
                <w:lang w:val="en-US"/>
              </w:rPr>
              <w:t>。</w:t>
            </w:r>
          </w:p>
          <w:p w14:paraId="2F50266E">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（1）</w:t>
            </w:r>
            <w:r>
              <w:rPr>
                <w:rFonts w:hint="eastAsia" w:cs="Times New Roman"/>
                <w:color w:val="auto"/>
                <w:position w:val="15"/>
                <w:sz w:val="24"/>
                <w:highlight w:val="none"/>
                <w:u w:val="none" w:color="auto"/>
                <w:lang w:val="en-US" w:eastAsia="zh-CN"/>
              </w:rPr>
              <w:t>袋式</w:t>
            </w:r>
            <w:r>
              <w:rPr>
                <w:rFonts w:hint="default" w:ascii="Times New Roman" w:hAnsi="Times New Roman" w:cs="Times New Roman"/>
                <w:color w:val="auto"/>
                <w:position w:val="15"/>
                <w:sz w:val="24"/>
                <w:highlight w:val="none"/>
                <w:u w:val="none" w:color="auto"/>
              </w:rPr>
              <w:t>除尘器</w:t>
            </w:r>
            <w:r>
              <w:rPr>
                <w:rFonts w:hint="eastAsia" w:cs="Times New Roman"/>
                <w:color w:val="auto"/>
                <w:position w:val="15"/>
                <w:sz w:val="24"/>
                <w:highlight w:val="none"/>
                <w:u w:val="none" w:color="auto"/>
                <w:lang w:val="en-US" w:eastAsia="zh-CN"/>
              </w:rPr>
              <w:t>收集的</w:t>
            </w:r>
            <w:r>
              <w:rPr>
                <w:rFonts w:hint="default" w:ascii="Times New Roman" w:hAnsi="Times New Roman" w:cs="Times New Roman"/>
                <w:color w:val="auto"/>
                <w:position w:val="15"/>
                <w:sz w:val="24"/>
                <w:highlight w:val="none"/>
                <w:u w:val="none" w:color="auto"/>
              </w:rPr>
              <w:t>除尘灰</w:t>
            </w:r>
          </w:p>
          <w:p w14:paraId="205548A7">
            <w:pPr>
              <w:pStyle w:val="11"/>
              <w:spacing w:line="360" w:lineRule="auto"/>
              <w:ind w:left="0" w:leftChars="0" w:firstLine="480" w:firstLineChars="200"/>
              <w:rPr>
                <w:color w:val="auto"/>
                <w:sz w:val="24"/>
                <w:szCs w:val="22"/>
                <w:highlight w:val="none"/>
                <w:u w:val="none" w:color="auto"/>
              </w:rPr>
            </w:pPr>
            <w:r>
              <w:rPr>
                <w:rFonts w:hint="eastAsia"/>
                <w:bCs/>
                <w:color w:val="auto"/>
                <w:sz w:val="24"/>
                <w:highlight w:val="none"/>
                <w:u w:val="none" w:color="auto"/>
              </w:rPr>
              <w:t>生物质热风炉废气污染治理设施除尘器产生的</w:t>
            </w:r>
            <w:r>
              <w:rPr>
                <w:rFonts w:hint="eastAsia"/>
                <w:color w:val="auto"/>
                <w:sz w:val="24"/>
                <w:highlight w:val="none"/>
                <w:u w:val="none" w:color="auto"/>
              </w:rPr>
              <w:t>除尘灰产生量依据以下公式计算：</w:t>
            </w:r>
          </w:p>
          <w:p w14:paraId="5211ECB6">
            <w:pPr>
              <w:pStyle w:val="11"/>
              <w:spacing w:line="360" w:lineRule="auto"/>
              <w:ind w:firstLine="480"/>
              <w:jc w:val="center"/>
              <w:rPr>
                <w:color w:val="auto"/>
                <w:sz w:val="24"/>
                <w:szCs w:val="24"/>
                <w:highlight w:val="none"/>
                <w:u w:val="none" w:color="auto"/>
              </w:rPr>
            </w:pPr>
            <w:r>
              <w:rPr>
                <w:rFonts w:hint="eastAsia"/>
                <w:color w:val="auto"/>
                <w:sz w:val="24"/>
                <w:szCs w:val="24"/>
                <w:highlight w:val="none"/>
                <w:u w:val="none" w:color="auto"/>
              </w:rPr>
              <w:t>除尘</w:t>
            </w:r>
            <w:r>
              <w:rPr>
                <w:color w:val="auto"/>
                <w:sz w:val="24"/>
                <w:szCs w:val="24"/>
                <w:highlight w:val="none"/>
                <w:u w:val="none" w:color="auto"/>
              </w:rPr>
              <w:t>灰=烟尘产生量×η</w:t>
            </w:r>
            <w:r>
              <w:rPr>
                <w:b/>
                <w:color w:val="auto"/>
                <w:sz w:val="24"/>
                <w:szCs w:val="24"/>
                <w:highlight w:val="none"/>
                <w:u w:val="none" w:color="auto"/>
              </w:rPr>
              <w:t>c</w:t>
            </w:r>
          </w:p>
          <w:p w14:paraId="6695DF11">
            <w:pPr>
              <w:adjustRightInd w:val="0"/>
              <w:snapToGrid w:val="0"/>
              <w:spacing w:line="360" w:lineRule="auto"/>
              <w:ind w:firstLine="480" w:firstLineChars="200"/>
              <w:rPr>
                <w:color w:val="auto"/>
                <w:sz w:val="24"/>
                <w:szCs w:val="24"/>
                <w:highlight w:val="none"/>
                <w:u w:val="none" w:color="auto"/>
              </w:rPr>
            </w:pPr>
            <w:r>
              <w:rPr>
                <w:color w:val="auto"/>
                <w:sz w:val="24"/>
                <w:szCs w:val="24"/>
                <w:highlight w:val="none"/>
                <w:u w:val="none" w:color="auto"/>
              </w:rPr>
              <w:t>式中：η</w:t>
            </w:r>
            <w:r>
              <w:rPr>
                <w:b/>
                <w:color w:val="auto"/>
                <w:sz w:val="24"/>
                <w:szCs w:val="24"/>
                <w:highlight w:val="none"/>
                <w:u w:val="none" w:color="auto"/>
              </w:rPr>
              <w:t>c</w:t>
            </w:r>
            <w:r>
              <w:rPr>
                <w:color w:val="auto"/>
                <w:sz w:val="24"/>
                <w:szCs w:val="24"/>
                <w:highlight w:val="none"/>
                <w:u w:val="none" w:color="auto"/>
              </w:rPr>
              <w:t>：除尘效率，</w:t>
            </w:r>
            <w:r>
              <w:rPr>
                <w:rFonts w:hint="eastAsia"/>
                <w:color w:val="auto"/>
                <w:sz w:val="24"/>
                <w:szCs w:val="24"/>
                <w:highlight w:val="none"/>
                <w:u w:val="none" w:color="auto"/>
              </w:rPr>
              <w:t>%</w:t>
            </w:r>
            <w:r>
              <w:rPr>
                <w:color w:val="auto"/>
                <w:sz w:val="24"/>
                <w:szCs w:val="24"/>
                <w:highlight w:val="none"/>
                <w:u w:val="none" w:color="auto"/>
              </w:rPr>
              <w:t>；</w:t>
            </w:r>
          </w:p>
          <w:p w14:paraId="16420571">
            <w:pPr>
              <w:pStyle w:val="10"/>
              <w:tabs>
                <w:tab w:val="left" w:pos="0"/>
                <w:tab w:val="left" w:pos="1260"/>
              </w:tabs>
              <w:spacing w:line="360" w:lineRule="auto"/>
              <w:ind w:firstLine="720" w:firstLineChars="300"/>
              <w:jc w:val="both"/>
              <w:rPr>
                <w:color w:val="auto"/>
                <w:highlight w:val="none"/>
                <w:u w:val="none" w:color="auto"/>
              </w:rPr>
            </w:pPr>
            <w:r>
              <w:rPr>
                <w:rFonts w:hint="eastAsia"/>
                <w:color w:val="auto"/>
                <w:highlight w:val="none"/>
                <w:u w:val="none" w:color="auto"/>
              </w:rPr>
              <w:t>根据以上公式和项目烟尘产生量，计算除尘灰产生量如下表。</w:t>
            </w:r>
          </w:p>
          <w:p w14:paraId="403B79A6">
            <w:pPr>
              <w:adjustRightInd w:val="0"/>
              <w:snapToGrid w:val="0"/>
              <w:jc w:val="center"/>
              <w:rPr>
                <w:rFonts w:hint="default" w:ascii="Times New Roman" w:hAnsi="Times New Roman" w:eastAsia="宋体" w:cs="Times New Roman"/>
                <w:b/>
                <w:bCs/>
                <w:color w:val="auto"/>
                <w:spacing w:val="-2"/>
                <w:sz w:val="24"/>
                <w:highlight w:val="none"/>
                <w:u w:val="single" w:color="auto"/>
              </w:rPr>
            </w:pPr>
            <w:r>
              <w:rPr>
                <w:rFonts w:hint="default" w:ascii="Times New Roman" w:hAnsi="Times New Roman" w:eastAsia="宋体" w:cs="Times New Roman"/>
                <w:b/>
                <w:bCs/>
                <w:color w:val="auto"/>
                <w:spacing w:val="-2"/>
                <w:sz w:val="24"/>
                <w:highlight w:val="none"/>
                <w:u w:val="single" w:color="auto"/>
              </w:rPr>
              <w:t>表</w:t>
            </w:r>
            <w:r>
              <w:rPr>
                <w:rFonts w:hint="eastAsia" w:ascii="Times New Roman" w:hAnsi="Times New Roman" w:eastAsia="宋体" w:cs="Times New Roman"/>
                <w:b/>
                <w:bCs/>
                <w:color w:val="auto"/>
                <w:spacing w:val="-2"/>
                <w:sz w:val="24"/>
                <w:highlight w:val="none"/>
                <w:u w:val="single" w:color="auto"/>
                <w:lang w:val="en-US" w:eastAsia="zh-CN"/>
              </w:rPr>
              <w:t xml:space="preserve">4-15 </w:t>
            </w:r>
            <w:r>
              <w:rPr>
                <w:rFonts w:hint="eastAsia" w:ascii="Times New Roman" w:hAnsi="Times New Roman" w:eastAsia="宋体" w:cs="Times New Roman"/>
                <w:b/>
                <w:bCs/>
                <w:color w:val="auto"/>
                <w:spacing w:val="-2"/>
                <w:sz w:val="24"/>
                <w:highlight w:val="none"/>
                <w:u w:val="single" w:color="auto"/>
              </w:rPr>
              <w:t xml:space="preserve">  除尘灰计算结果</w:t>
            </w:r>
          </w:p>
          <w:tbl>
            <w:tblPr>
              <w:tblStyle w:val="29"/>
              <w:tblW w:w="786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01"/>
              <w:gridCol w:w="2672"/>
              <w:gridCol w:w="2496"/>
            </w:tblGrid>
            <w:tr w14:paraId="47A63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701" w:type="dxa"/>
                  <w:tcBorders>
                    <w:tl2br w:val="nil"/>
                    <w:tr2bl w:val="nil"/>
                  </w:tcBorders>
                  <w:vAlign w:val="center"/>
                </w:tcPr>
                <w:p w14:paraId="2041E31E">
                  <w:pPr>
                    <w:widowControl/>
                    <w:jc w:val="center"/>
                    <w:textAlignment w:val="center"/>
                    <w:rPr>
                      <w:b/>
                      <w:color w:val="auto"/>
                      <w:szCs w:val="21"/>
                      <w:highlight w:val="none"/>
                      <w:u w:val="single" w:color="auto"/>
                    </w:rPr>
                  </w:pPr>
                  <w:r>
                    <w:rPr>
                      <w:rFonts w:hint="eastAsia"/>
                      <w:color w:val="auto"/>
                      <w:kern w:val="0"/>
                      <w:szCs w:val="21"/>
                      <w:highlight w:val="none"/>
                      <w:u w:val="single" w:color="auto"/>
                      <w:lang w:bidi="ar"/>
                    </w:rPr>
                    <w:t>烟尘产生量（t/a）</w:t>
                  </w:r>
                </w:p>
              </w:tc>
              <w:tc>
                <w:tcPr>
                  <w:tcW w:w="2672" w:type="dxa"/>
                  <w:tcBorders>
                    <w:tl2br w:val="nil"/>
                    <w:tr2bl w:val="nil"/>
                  </w:tcBorders>
                  <w:vAlign w:val="center"/>
                </w:tcPr>
                <w:p w14:paraId="28BFEF6B">
                  <w:pPr>
                    <w:widowControl/>
                    <w:jc w:val="center"/>
                    <w:textAlignment w:val="center"/>
                    <w:rPr>
                      <w:b/>
                      <w:color w:val="auto"/>
                      <w:szCs w:val="21"/>
                      <w:highlight w:val="none"/>
                      <w:u w:val="single" w:color="auto"/>
                    </w:rPr>
                  </w:pPr>
                  <w:r>
                    <w:rPr>
                      <w:color w:val="auto"/>
                      <w:szCs w:val="21"/>
                      <w:highlight w:val="none"/>
                      <w:u w:val="single" w:color="auto"/>
                    </w:rPr>
                    <w:t>η</w:t>
                  </w:r>
                  <w:r>
                    <w:rPr>
                      <w:b/>
                      <w:color w:val="auto"/>
                      <w:szCs w:val="21"/>
                      <w:highlight w:val="none"/>
                      <w:u w:val="single" w:color="auto"/>
                    </w:rPr>
                    <w:t>c</w:t>
                  </w:r>
                  <w:r>
                    <w:rPr>
                      <w:rFonts w:hint="eastAsia"/>
                      <w:color w:val="auto"/>
                      <w:kern w:val="0"/>
                      <w:szCs w:val="21"/>
                      <w:highlight w:val="none"/>
                      <w:u w:val="single" w:color="auto"/>
                      <w:lang w:bidi="ar"/>
                    </w:rPr>
                    <w:t>（%）</w:t>
                  </w:r>
                </w:p>
              </w:tc>
              <w:tc>
                <w:tcPr>
                  <w:tcW w:w="2496" w:type="dxa"/>
                  <w:tcBorders>
                    <w:tl2br w:val="nil"/>
                    <w:tr2bl w:val="nil"/>
                  </w:tcBorders>
                  <w:vAlign w:val="center"/>
                </w:tcPr>
                <w:p w14:paraId="3C253B79">
                  <w:pPr>
                    <w:widowControl/>
                    <w:jc w:val="center"/>
                    <w:textAlignment w:val="center"/>
                    <w:rPr>
                      <w:b/>
                      <w:color w:val="auto"/>
                      <w:szCs w:val="21"/>
                      <w:highlight w:val="none"/>
                      <w:u w:val="single" w:color="auto"/>
                    </w:rPr>
                  </w:pPr>
                  <w:r>
                    <w:rPr>
                      <w:rFonts w:hint="eastAsia"/>
                      <w:color w:val="auto"/>
                      <w:kern w:val="0"/>
                      <w:szCs w:val="21"/>
                      <w:highlight w:val="none"/>
                      <w:u w:val="single" w:color="auto"/>
                      <w:lang w:bidi="ar"/>
                    </w:rPr>
                    <w:t>除尘灰t/a</w:t>
                  </w:r>
                </w:p>
              </w:tc>
            </w:tr>
            <w:tr w14:paraId="57C580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2701" w:type="dxa"/>
                  <w:tcBorders>
                    <w:tl2br w:val="nil"/>
                    <w:tr2bl w:val="nil"/>
                  </w:tcBorders>
                  <w:vAlign w:val="center"/>
                </w:tcPr>
                <w:p w14:paraId="3E6F72FA">
                  <w:pPr>
                    <w:widowControl/>
                    <w:jc w:val="center"/>
                    <w:textAlignment w:val="center"/>
                    <w:rPr>
                      <w:rFonts w:hint="default"/>
                      <w:b w:val="0"/>
                      <w:bCs w:val="0"/>
                      <w:color w:val="auto"/>
                      <w:szCs w:val="21"/>
                      <w:highlight w:val="none"/>
                      <w:u w:val="single" w:color="auto"/>
                      <w:lang w:val="en-US"/>
                    </w:rPr>
                  </w:pPr>
                  <w:r>
                    <w:rPr>
                      <w:rFonts w:hint="eastAsia"/>
                      <w:b w:val="0"/>
                      <w:bCs w:val="0"/>
                      <w:color w:val="auto"/>
                      <w:kern w:val="0"/>
                      <w:szCs w:val="21"/>
                      <w:highlight w:val="none"/>
                      <w:u w:val="single" w:color="auto"/>
                      <w:lang w:val="en-US" w:eastAsia="zh-CN" w:bidi="ar"/>
                    </w:rPr>
                    <w:t>114.4</w:t>
                  </w:r>
                </w:p>
              </w:tc>
              <w:tc>
                <w:tcPr>
                  <w:tcW w:w="2672" w:type="dxa"/>
                  <w:tcBorders>
                    <w:tl2br w:val="nil"/>
                    <w:tr2bl w:val="nil"/>
                  </w:tcBorders>
                  <w:vAlign w:val="center"/>
                </w:tcPr>
                <w:p w14:paraId="2B8D61CC">
                  <w:pPr>
                    <w:widowControl/>
                    <w:jc w:val="center"/>
                    <w:textAlignment w:val="center"/>
                    <w:rPr>
                      <w:rFonts w:hint="default" w:eastAsia="宋体"/>
                      <w:b w:val="0"/>
                      <w:bCs w:val="0"/>
                      <w:color w:val="auto"/>
                      <w:szCs w:val="21"/>
                      <w:highlight w:val="none"/>
                      <w:u w:val="single" w:color="auto"/>
                      <w:lang w:val="en-US" w:eastAsia="zh-CN"/>
                    </w:rPr>
                  </w:pPr>
                  <w:r>
                    <w:rPr>
                      <w:b w:val="0"/>
                      <w:bCs w:val="0"/>
                      <w:color w:val="auto"/>
                      <w:kern w:val="0"/>
                      <w:szCs w:val="21"/>
                      <w:highlight w:val="none"/>
                      <w:u w:val="single" w:color="auto"/>
                      <w:lang w:bidi="ar"/>
                    </w:rPr>
                    <w:t>99</w:t>
                  </w:r>
                </w:p>
              </w:tc>
              <w:tc>
                <w:tcPr>
                  <w:tcW w:w="2496" w:type="dxa"/>
                  <w:tcBorders>
                    <w:tl2br w:val="nil"/>
                    <w:tr2bl w:val="nil"/>
                  </w:tcBorders>
                  <w:vAlign w:val="center"/>
                </w:tcPr>
                <w:p w14:paraId="3A9E563A">
                  <w:pPr>
                    <w:widowControl/>
                    <w:jc w:val="center"/>
                    <w:textAlignment w:val="center"/>
                    <w:rPr>
                      <w:rFonts w:hint="default" w:eastAsia="宋体"/>
                      <w:b w:val="0"/>
                      <w:bCs w:val="0"/>
                      <w:color w:val="auto"/>
                      <w:szCs w:val="21"/>
                      <w:highlight w:val="none"/>
                      <w:u w:val="single" w:color="auto"/>
                      <w:lang w:val="en-US" w:eastAsia="zh-CN"/>
                    </w:rPr>
                  </w:pPr>
                  <w:r>
                    <w:rPr>
                      <w:rFonts w:hint="eastAsia"/>
                      <w:b w:val="0"/>
                      <w:bCs w:val="0"/>
                      <w:color w:val="auto"/>
                      <w:szCs w:val="21"/>
                      <w:highlight w:val="none"/>
                      <w:u w:val="single" w:color="auto"/>
                      <w:lang w:val="en-US" w:eastAsia="zh-CN"/>
                    </w:rPr>
                    <w:t>113.256</w:t>
                  </w:r>
                </w:p>
              </w:tc>
            </w:tr>
          </w:tbl>
          <w:p w14:paraId="79BF2B89">
            <w:pPr>
              <w:adjustRightInd w:val="0"/>
              <w:snapToGrid w:val="0"/>
              <w:spacing w:line="360" w:lineRule="auto"/>
              <w:ind w:firstLine="480" w:firstLineChars="200"/>
              <w:rPr>
                <w:color w:val="auto"/>
                <w:highlight w:val="none"/>
                <w:u w:val="single" w:color="auto"/>
              </w:rPr>
            </w:pPr>
            <w:r>
              <w:rPr>
                <w:bCs/>
                <w:color w:val="auto"/>
                <w:sz w:val="24"/>
                <w:highlight w:val="none"/>
                <w:u w:val="single" w:color="auto"/>
              </w:rPr>
              <w:t>根据计算结果可知，除尘灰产生量为</w:t>
            </w:r>
            <w:r>
              <w:rPr>
                <w:rFonts w:hint="eastAsia"/>
                <w:bCs/>
                <w:color w:val="auto"/>
                <w:sz w:val="24"/>
                <w:highlight w:val="none"/>
                <w:u w:val="single" w:color="auto"/>
                <w:lang w:val="en-US" w:eastAsia="zh-CN"/>
              </w:rPr>
              <w:t>113.256</w:t>
            </w:r>
            <w:r>
              <w:rPr>
                <w:bCs/>
                <w:color w:val="auto"/>
                <w:sz w:val="24"/>
                <w:highlight w:val="none"/>
                <w:u w:val="single" w:color="auto"/>
              </w:rPr>
              <w:t>t/a，</w:t>
            </w:r>
            <w:r>
              <w:rPr>
                <w:rFonts w:hint="eastAsia"/>
                <w:bCs/>
                <w:color w:val="auto"/>
                <w:sz w:val="24"/>
                <w:highlight w:val="none"/>
                <w:u w:val="single" w:color="auto"/>
              </w:rPr>
              <w:t>采用完好的旧燃料包装袋收集，</w:t>
            </w:r>
            <w:r>
              <w:rPr>
                <w:rFonts w:hint="eastAsia"/>
                <w:color w:val="auto"/>
                <w:sz w:val="24"/>
                <w:highlight w:val="none"/>
                <w:u w:val="single" w:color="auto"/>
              </w:rPr>
              <w:t>袋装暂存于封闭灰渣贮存库房内，外售作肥料。</w:t>
            </w:r>
          </w:p>
          <w:p w14:paraId="613B6601">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（2）</w:t>
            </w:r>
            <w:r>
              <w:rPr>
                <w:rFonts w:hint="eastAsia" w:cs="Times New Roman"/>
                <w:color w:val="auto"/>
                <w:position w:val="15"/>
                <w:sz w:val="24"/>
                <w:highlight w:val="none"/>
                <w:u w:val="none" w:color="auto"/>
                <w:lang w:val="en-US" w:eastAsia="zh-CN"/>
              </w:rPr>
              <w:t>热风炉</w:t>
            </w:r>
            <w:r>
              <w:rPr>
                <w:rFonts w:hint="default" w:ascii="Times New Roman" w:hAnsi="Times New Roman" w:cs="Times New Roman"/>
                <w:color w:val="auto"/>
                <w:position w:val="15"/>
                <w:sz w:val="24"/>
                <w:highlight w:val="none"/>
                <w:u w:val="none" w:color="auto"/>
              </w:rPr>
              <w:t>灰渣</w:t>
            </w:r>
          </w:p>
          <w:p w14:paraId="7B9A775B">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rPr>
            </w:pPr>
            <w:r>
              <w:rPr>
                <w:rFonts w:hint="default" w:ascii="Times New Roman" w:hAnsi="Times New Roman" w:cs="Times New Roman"/>
                <w:color w:val="auto"/>
                <w:position w:val="15"/>
                <w:sz w:val="24"/>
                <w:highlight w:val="none"/>
                <w:u w:val="none" w:color="auto"/>
              </w:rPr>
              <w:t>根据《污染源源强核算技术指南</w:t>
            </w:r>
            <w:r>
              <w:rPr>
                <w:rFonts w:hint="eastAsia" w:cs="Times New Roman"/>
                <w:color w:val="auto"/>
                <w:position w:val="15"/>
                <w:sz w:val="24"/>
                <w:highlight w:val="none"/>
                <w:u w:val="none" w:color="auto"/>
                <w:lang w:val="en-US" w:eastAsia="zh-CN"/>
              </w:rPr>
              <w:t xml:space="preserve"> </w:t>
            </w:r>
            <w:r>
              <w:rPr>
                <w:rFonts w:hint="default" w:ascii="Times New Roman" w:hAnsi="Times New Roman" w:cs="Times New Roman"/>
                <w:color w:val="auto"/>
                <w:position w:val="15"/>
                <w:sz w:val="24"/>
                <w:highlight w:val="none"/>
                <w:u w:val="none" w:color="auto"/>
              </w:rPr>
              <w:t>锅炉》（HJ991-2018）中物料衡算法计算锅炉灰渣产生量。</w:t>
            </w:r>
          </w:p>
          <w:p w14:paraId="6F5D8B4C">
            <w:pPr>
              <w:adjustRightInd w:val="0"/>
              <w:snapToGrid w:val="0"/>
              <w:spacing w:line="360" w:lineRule="auto"/>
              <w:ind w:firstLine="480" w:firstLineChars="200"/>
              <w:rPr>
                <w:rFonts w:hint="eastAsia" w:ascii="Times New Roman" w:hAnsi="Times New Roman" w:eastAsia="宋体" w:cs="Times New Roman"/>
                <w:color w:val="auto"/>
                <w:spacing w:val="0"/>
                <w:kern w:val="21"/>
                <w:sz w:val="24"/>
                <w:szCs w:val="24"/>
                <w:highlight w:val="none"/>
                <w:u w:val="none" w:color="auto"/>
                <w:lang w:val="en-US" w:eastAsia="zh-CN" w:bidi="ar-SA"/>
              </w:rPr>
            </w:pPr>
            <w:r>
              <w:rPr>
                <w:rFonts w:hint="eastAsia" w:ascii="Times New Roman" w:hAnsi="Times New Roman" w:eastAsia="宋体" w:cs="Times New Roman"/>
                <w:color w:val="auto"/>
                <w:spacing w:val="0"/>
                <w:kern w:val="21"/>
                <w:sz w:val="24"/>
                <w:szCs w:val="24"/>
                <w:highlight w:val="none"/>
                <w:u w:val="none" w:color="auto"/>
                <w:lang w:val="en-US" w:eastAsia="zh-CN" w:bidi="ar-SA"/>
              </w:rPr>
              <w:drawing>
                <wp:inline distT="0" distB="0" distL="114300" distR="114300">
                  <wp:extent cx="1969770" cy="534670"/>
                  <wp:effectExtent l="0" t="0" r="11430" b="1778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23"/>
                          <a:stretch>
                            <a:fillRect/>
                          </a:stretch>
                        </pic:blipFill>
                        <pic:spPr>
                          <a:xfrm>
                            <a:off x="0" y="0"/>
                            <a:ext cx="1969770" cy="534670"/>
                          </a:xfrm>
                          <a:prstGeom prst="rect">
                            <a:avLst/>
                          </a:prstGeom>
                          <a:noFill/>
                          <a:ln>
                            <a:noFill/>
                          </a:ln>
                        </pic:spPr>
                      </pic:pic>
                    </a:graphicData>
                  </a:graphic>
                </wp:inline>
              </w:drawing>
            </w:r>
          </w:p>
          <w:p w14:paraId="42D6BFE1">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lang w:val="en-US" w:eastAsia="zh-CN"/>
              </w:rPr>
            </w:pPr>
            <w:r>
              <w:rPr>
                <w:rFonts w:hint="default" w:ascii="Times New Roman" w:hAnsi="Times New Roman" w:cs="Times New Roman"/>
                <w:color w:val="auto"/>
                <w:position w:val="15"/>
                <w:sz w:val="24"/>
                <w:highlight w:val="none"/>
                <w:u w:val="none" w:color="auto"/>
                <w:lang w:val="en-US" w:eastAsia="zh-CN"/>
              </w:rPr>
              <w:t>式中：E</w:t>
            </w:r>
            <w:r>
              <w:rPr>
                <w:rFonts w:hint="default" w:ascii="Times New Roman" w:hAnsi="Times New Roman" w:cs="Times New Roman"/>
                <w:color w:val="auto"/>
                <w:position w:val="15"/>
                <w:sz w:val="24"/>
                <w:highlight w:val="none"/>
                <w:u w:val="none" w:color="auto"/>
                <w:vertAlign w:val="subscript"/>
                <w:lang w:val="en-US" w:eastAsia="zh-CN"/>
              </w:rPr>
              <w:t>hz</w:t>
            </w:r>
            <w:r>
              <w:rPr>
                <w:rFonts w:hint="default" w:ascii="Times New Roman" w:hAnsi="Times New Roman" w:cs="Times New Roman"/>
                <w:color w:val="auto"/>
                <w:position w:val="15"/>
                <w:sz w:val="24"/>
                <w:highlight w:val="none"/>
                <w:u w:val="none" w:color="auto"/>
                <w:lang w:val="en-US" w:eastAsia="zh-CN"/>
              </w:rPr>
              <w:t>——核算时段内灰渣产生量，t；</w:t>
            </w:r>
          </w:p>
          <w:p w14:paraId="59F5B825">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lang w:val="en-US" w:eastAsia="zh-CN"/>
              </w:rPr>
            </w:pPr>
            <w:r>
              <w:rPr>
                <w:rFonts w:hint="default" w:ascii="Times New Roman" w:hAnsi="Times New Roman" w:cs="Times New Roman"/>
                <w:color w:val="auto"/>
                <w:position w:val="15"/>
                <w:sz w:val="24"/>
                <w:highlight w:val="none"/>
                <w:u w:val="none" w:color="auto"/>
                <w:lang w:val="en-US" w:eastAsia="zh-CN"/>
              </w:rPr>
              <w:t>R——核算时段内锅炉燃</w:t>
            </w:r>
            <w:r>
              <w:rPr>
                <w:rFonts w:hint="eastAsia" w:cs="Times New Roman"/>
                <w:color w:val="auto"/>
                <w:position w:val="15"/>
                <w:sz w:val="24"/>
                <w:highlight w:val="none"/>
                <w:u w:val="none" w:color="auto"/>
                <w:lang w:val="en-US" w:eastAsia="zh-CN"/>
              </w:rPr>
              <w:t>料消</w:t>
            </w:r>
            <w:r>
              <w:rPr>
                <w:rFonts w:hint="default" w:ascii="Times New Roman" w:hAnsi="Times New Roman" w:cs="Times New Roman"/>
                <w:color w:val="auto"/>
                <w:position w:val="15"/>
                <w:sz w:val="24"/>
                <w:highlight w:val="none"/>
                <w:u w:val="none" w:color="auto"/>
                <w:lang w:val="en-US" w:eastAsia="zh-CN"/>
              </w:rPr>
              <w:t>耗量，t</w:t>
            </w:r>
            <w:r>
              <w:rPr>
                <w:rFonts w:hint="eastAsia" w:cs="Times New Roman"/>
                <w:color w:val="auto"/>
                <w:position w:val="15"/>
                <w:sz w:val="24"/>
                <w:highlight w:val="none"/>
                <w:u w:val="none" w:color="auto"/>
                <w:lang w:val="en-US" w:eastAsia="zh-CN"/>
              </w:rPr>
              <w:t>；</w:t>
            </w:r>
          </w:p>
          <w:p w14:paraId="073716C6">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lang w:val="en-US" w:eastAsia="zh-CN"/>
              </w:rPr>
            </w:pPr>
            <w:r>
              <w:rPr>
                <w:rFonts w:hint="default" w:ascii="Times New Roman" w:hAnsi="Times New Roman" w:cs="Times New Roman"/>
                <w:color w:val="auto"/>
                <w:position w:val="15"/>
                <w:sz w:val="24"/>
                <w:highlight w:val="none"/>
                <w:u w:val="none" w:color="auto"/>
                <w:lang w:val="en-US" w:eastAsia="zh-CN"/>
              </w:rPr>
              <w:t>A</w:t>
            </w:r>
            <w:r>
              <w:rPr>
                <w:rFonts w:hint="default" w:ascii="Times New Roman" w:hAnsi="Times New Roman" w:cs="Times New Roman"/>
                <w:color w:val="auto"/>
                <w:position w:val="15"/>
                <w:sz w:val="24"/>
                <w:highlight w:val="none"/>
                <w:u w:val="none" w:color="auto"/>
                <w:vertAlign w:val="subscript"/>
                <w:lang w:val="en-US" w:eastAsia="zh-CN"/>
              </w:rPr>
              <w:t>ar</w:t>
            </w:r>
            <w:r>
              <w:rPr>
                <w:rFonts w:hint="default" w:ascii="Times New Roman" w:hAnsi="Times New Roman" w:cs="Times New Roman"/>
                <w:color w:val="auto"/>
                <w:position w:val="15"/>
                <w:sz w:val="24"/>
                <w:highlight w:val="none"/>
                <w:u w:val="none" w:color="auto"/>
                <w:lang w:val="en-US" w:eastAsia="zh-CN"/>
              </w:rPr>
              <w:t>——收到基灰分的质量分数，％；</w:t>
            </w:r>
          </w:p>
          <w:p w14:paraId="13D3C2A8">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lang w:val="en-US" w:eastAsia="zh-CN"/>
              </w:rPr>
            </w:pPr>
            <w:r>
              <w:rPr>
                <w:rFonts w:hint="default" w:ascii="Times New Roman" w:hAnsi="Times New Roman" w:cs="Times New Roman"/>
                <w:color w:val="auto"/>
                <w:position w:val="15"/>
                <w:sz w:val="24"/>
                <w:highlight w:val="none"/>
                <w:u w:val="none" w:color="auto"/>
                <w:lang w:val="en-US" w:eastAsia="zh-CN"/>
              </w:rPr>
              <w:t>q</w:t>
            </w:r>
            <w:r>
              <w:rPr>
                <w:rFonts w:hint="default" w:ascii="Times New Roman" w:hAnsi="Times New Roman" w:cs="Times New Roman"/>
                <w:color w:val="auto"/>
                <w:position w:val="15"/>
                <w:sz w:val="24"/>
                <w:highlight w:val="none"/>
                <w:u w:val="none" w:color="auto"/>
                <w:vertAlign w:val="subscript"/>
                <w:lang w:val="en-US" w:eastAsia="zh-CN"/>
              </w:rPr>
              <w:t>4</w:t>
            </w:r>
            <w:r>
              <w:rPr>
                <w:rFonts w:hint="default" w:ascii="Times New Roman" w:hAnsi="Times New Roman" w:cs="Times New Roman"/>
                <w:color w:val="auto"/>
                <w:position w:val="15"/>
                <w:sz w:val="24"/>
                <w:highlight w:val="none"/>
                <w:u w:val="none" w:color="auto"/>
                <w:lang w:val="en-US" w:eastAsia="zh-CN"/>
              </w:rPr>
              <w:t>——锅炉机械不完全燃烧热损失，%；</w:t>
            </w:r>
          </w:p>
          <w:p w14:paraId="03C755B5">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lang w:val="en-US" w:eastAsia="zh-CN"/>
              </w:rPr>
            </w:pPr>
            <w:r>
              <w:rPr>
                <w:rFonts w:hint="default" w:ascii="Times New Roman" w:hAnsi="Times New Roman" w:cs="Times New Roman"/>
                <w:color w:val="auto"/>
                <w:position w:val="15"/>
                <w:sz w:val="24"/>
                <w:highlight w:val="none"/>
                <w:u w:val="none" w:color="auto"/>
                <w:lang w:val="en-US" w:eastAsia="zh-CN"/>
              </w:rPr>
              <w:t>Qnet,ar——收到基低位发热量，kJ/kg。</w:t>
            </w:r>
          </w:p>
          <w:p w14:paraId="24601629">
            <w:pPr>
              <w:pStyle w:val="10"/>
              <w:tabs>
                <w:tab w:val="left" w:pos="0"/>
                <w:tab w:val="left" w:pos="1260"/>
              </w:tabs>
              <w:spacing w:line="360" w:lineRule="auto"/>
              <w:ind w:firstLine="480" w:firstLineChars="200"/>
              <w:jc w:val="both"/>
              <w:rPr>
                <w:bCs/>
                <w:color w:val="auto"/>
                <w:highlight w:val="none"/>
                <w:u w:val="none" w:color="auto"/>
              </w:rPr>
            </w:pPr>
            <w:r>
              <w:rPr>
                <w:rFonts w:hint="eastAsia"/>
                <w:bCs/>
                <w:color w:val="auto"/>
                <w:highlight w:val="none"/>
                <w:u w:val="none" w:color="auto"/>
              </w:rPr>
              <w:t>各参数取值及灰渣计算结果见下表：</w:t>
            </w:r>
          </w:p>
          <w:p w14:paraId="3E10399E">
            <w:pPr>
              <w:adjustRightInd w:val="0"/>
              <w:snapToGrid w:val="0"/>
              <w:jc w:val="center"/>
              <w:rPr>
                <w:rFonts w:hint="eastAsia" w:ascii="Times New Roman" w:hAnsi="Times New Roman" w:eastAsia="宋体" w:cs="Times New Roman"/>
                <w:b/>
                <w:bCs/>
                <w:color w:val="auto"/>
                <w:spacing w:val="-2"/>
                <w:sz w:val="24"/>
                <w:highlight w:val="none"/>
                <w:u w:val="none" w:color="auto"/>
              </w:rPr>
            </w:pPr>
            <w:r>
              <w:rPr>
                <w:rFonts w:hint="eastAsia" w:ascii="Times New Roman" w:hAnsi="Times New Roman" w:eastAsia="宋体" w:cs="Times New Roman"/>
                <w:b/>
                <w:bCs/>
                <w:color w:val="auto"/>
                <w:spacing w:val="-2"/>
                <w:sz w:val="24"/>
                <w:highlight w:val="none"/>
                <w:u w:val="none" w:color="auto"/>
              </w:rPr>
              <w:t>表</w:t>
            </w:r>
            <w:r>
              <w:rPr>
                <w:rFonts w:hint="eastAsia" w:ascii="Times New Roman" w:hAnsi="Times New Roman" w:eastAsia="宋体" w:cs="Times New Roman"/>
                <w:b/>
                <w:bCs/>
                <w:color w:val="auto"/>
                <w:spacing w:val="-2"/>
                <w:sz w:val="24"/>
                <w:highlight w:val="none"/>
                <w:u w:val="none" w:color="auto"/>
                <w:lang w:val="en-US" w:eastAsia="zh-CN"/>
              </w:rPr>
              <w:t xml:space="preserve">4-16 </w:t>
            </w:r>
            <w:r>
              <w:rPr>
                <w:rFonts w:hint="eastAsia" w:ascii="Times New Roman" w:hAnsi="Times New Roman" w:eastAsia="宋体" w:cs="Times New Roman"/>
                <w:b/>
                <w:bCs/>
                <w:color w:val="auto"/>
                <w:spacing w:val="-2"/>
                <w:sz w:val="24"/>
                <w:highlight w:val="none"/>
                <w:u w:val="none" w:color="auto"/>
              </w:rPr>
              <w:t xml:space="preserve">  灰渣计算结果</w:t>
            </w:r>
          </w:p>
          <w:tbl>
            <w:tblPr>
              <w:tblStyle w:val="29"/>
              <w:tblW w:w="7817" w:type="dxa"/>
              <w:tblInd w:w="5" w:type="dxa"/>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108" w:type="dxa"/>
                <w:bottom w:w="0" w:type="dxa"/>
                <w:right w:w="108" w:type="dxa"/>
              </w:tblCellMar>
            </w:tblPr>
            <w:tblGrid>
              <w:gridCol w:w="1832"/>
              <w:gridCol w:w="863"/>
              <w:gridCol w:w="977"/>
              <w:gridCol w:w="1122"/>
              <w:gridCol w:w="1826"/>
              <w:gridCol w:w="1197"/>
            </w:tblGrid>
            <w:tr w14:paraId="65E970BD">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275" w:hRule="atLeast"/>
              </w:trPr>
              <w:tc>
                <w:tcPr>
                  <w:tcW w:w="1832" w:type="dxa"/>
                  <w:tcBorders>
                    <w:tl2br w:val="nil"/>
                    <w:tr2bl w:val="nil"/>
                  </w:tcBorders>
                  <w:vAlign w:val="center"/>
                </w:tcPr>
                <w:p w14:paraId="4E3FD40E">
                  <w:pPr>
                    <w:jc w:val="center"/>
                    <w:rPr>
                      <w:color w:val="auto"/>
                      <w:szCs w:val="21"/>
                      <w:highlight w:val="none"/>
                      <w:u w:val="single" w:color="auto"/>
                    </w:rPr>
                  </w:pPr>
                  <w:r>
                    <w:rPr>
                      <w:rFonts w:hint="eastAsia"/>
                      <w:color w:val="auto"/>
                      <w:kern w:val="0"/>
                      <w:szCs w:val="21"/>
                      <w:highlight w:val="none"/>
                      <w:u w:val="single" w:color="auto"/>
                      <w:lang w:bidi="ar"/>
                    </w:rPr>
                    <w:t>计算公式</w:t>
                  </w:r>
                </w:p>
              </w:tc>
              <w:tc>
                <w:tcPr>
                  <w:tcW w:w="863" w:type="dxa"/>
                  <w:tcBorders>
                    <w:tl2br w:val="nil"/>
                    <w:tr2bl w:val="nil"/>
                  </w:tcBorders>
                  <w:vAlign w:val="center"/>
                </w:tcPr>
                <w:p w14:paraId="37C3046B">
                  <w:pPr>
                    <w:widowControl/>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bidi="ar"/>
                    </w:rPr>
                    <w:t>R（t）</w:t>
                  </w:r>
                </w:p>
              </w:tc>
              <w:tc>
                <w:tcPr>
                  <w:tcW w:w="977" w:type="dxa"/>
                  <w:tcBorders>
                    <w:tl2br w:val="nil"/>
                    <w:tr2bl w:val="nil"/>
                  </w:tcBorders>
                  <w:vAlign w:val="center"/>
                </w:tcPr>
                <w:p w14:paraId="46022646">
                  <w:pPr>
                    <w:widowControl/>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bidi="ar"/>
                    </w:rPr>
                    <w:t>Aar（%）</w:t>
                  </w:r>
                </w:p>
              </w:tc>
              <w:tc>
                <w:tcPr>
                  <w:tcW w:w="1122" w:type="dxa"/>
                  <w:tcBorders>
                    <w:tl2br w:val="nil"/>
                    <w:tr2bl w:val="nil"/>
                  </w:tcBorders>
                  <w:vAlign w:val="center"/>
                </w:tcPr>
                <w:p w14:paraId="25A2BB44">
                  <w:pPr>
                    <w:widowControl/>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bidi="ar"/>
                    </w:rPr>
                    <w:t>q</w:t>
                  </w:r>
                  <w:r>
                    <w:rPr>
                      <w:rFonts w:hint="eastAsia"/>
                      <w:color w:val="auto"/>
                      <w:kern w:val="0"/>
                      <w:szCs w:val="21"/>
                      <w:highlight w:val="none"/>
                      <w:u w:val="single" w:color="auto"/>
                      <w:vertAlign w:val="subscript"/>
                      <w:lang w:bidi="ar"/>
                    </w:rPr>
                    <w:t>4</w:t>
                  </w:r>
                  <w:r>
                    <w:rPr>
                      <w:rFonts w:hint="eastAsia"/>
                      <w:color w:val="auto"/>
                      <w:kern w:val="0"/>
                      <w:szCs w:val="21"/>
                      <w:highlight w:val="none"/>
                      <w:u w:val="single" w:color="auto"/>
                      <w:lang w:bidi="ar"/>
                    </w:rPr>
                    <w:t>（%）</w:t>
                  </w:r>
                </w:p>
              </w:tc>
              <w:tc>
                <w:tcPr>
                  <w:tcW w:w="1826" w:type="dxa"/>
                  <w:tcBorders>
                    <w:tl2br w:val="nil"/>
                    <w:tr2bl w:val="nil"/>
                  </w:tcBorders>
                  <w:vAlign w:val="center"/>
                </w:tcPr>
                <w:p w14:paraId="1325B954">
                  <w:pPr>
                    <w:widowControl/>
                    <w:jc w:val="center"/>
                    <w:textAlignment w:val="center"/>
                    <w:rPr>
                      <w:color w:val="auto"/>
                      <w:szCs w:val="21"/>
                      <w:highlight w:val="none"/>
                      <w:u w:val="single" w:color="auto"/>
                    </w:rPr>
                  </w:pPr>
                  <w:r>
                    <w:rPr>
                      <w:rFonts w:hint="eastAsia"/>
                      <w:color w:val="auto"/>
                      <w:kern w:val="0"/>
                      <w:szCs w:val="21"/>
                      <w:highlight w:val="none"/>
                      <w:u w:val="single" w:color="auto"/>
                      <w:lang w:bidi="ar"/>
                    </w:rPr>
                    <w:t>Qnet.ar（kJ/kg）</w:t>
                  </w:r>
                </w:p>
              </w:tc>
              <w:tc>
                <w:tcPr>
                  <w:tcW w:w="1197" w:type="dxa"/>
                  <w:tcBorders>
                    <w:tl2br w:val="nil"/>
                    <w:tr2bl w:val="nil"/>
                  </w:tcBorders>
                  <w:vAlign w:val="center"/>
                </w:tcPr>
                <w:p w14:paraId="698A13BE">
                  <w:pPr>
                    <w:widowControl/>
                    <w:jc w:val="center"/>
                    <w:textAlignment w:val="center"/>
                    <w:rPr>
                      <w:color w:val="auto"/>
                      <w:kern w:val="0"/>
                      <w:szCs w:val="21"/>
                      <w:highlight w:val="none"/>
                      <w:u w:val="single" w:color="auto"/>
                      <w:lang w:bidi="ar"/>
                    </w:rPr>
                  </w:pPr>
                  <w:r>
                    <w:rPr>
                      <w:rFonts w:hint="eastAsia"/>
                      <w:color w:val="auto"/>
                      <w:kern w:val="0"/>
                      <w:szCs w:val="21"/>
                      <w:highlight w:val="none"/>
                      <w:u w:val="single" w:color="auto"/>
                      <w:lang w:bidi="ar"/>
                    </w:rPr>
                    <w:t>E</w:t>
                  </w:r>
                  <w:r>
                    <w:rPr>
                      <w:rFonts w:hint="eastAsia"/>
                      <w:color w:val="auto"/>
                      <w:kern w:val="0"/>
                      <w:szCs w:val="21"/>
                      <w:highlight w:val="none"/>
                      <w:u w:val="single" w:color="auto"/>
                      <w:vertAlign w:val="subscript"/>
                      <w:lang w:bidi="ar"/>
                    </w:rPr>
                    <w:t>hz</w:t>
                  </w:r>
                  <w:r>
                    <w:rPr>
                      <w:rFonts w:hint="eastAsia"/>
                      <w:color w:val="auto"/>
                      <w:kern w:val="0"/>
                      <w:szCs w:val="21"/>
                      <w:highlight w:val="none"/>
                      <w:u w:val="single" w:color="auto"/>
                      <w:lang w:bidi="ar"/>
                    </w:rPr>
                    <w:t>（t/a）</w:t>
                  </w:r>
                </w:p>
              </w:tc>
            </w:tr>
            <w:tr w14:paraId="61DF1551">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68" w:hRule="atLeast"/>
              </w:trPr>
              <w:tc>
                <w:tcPr>
                  <w:tcW w:w="1832" w:type="dxa"/>
                  <w:tcBorders>
                    <w:tl2br w:val="nil"/>
                    <w:tr2bl w:val="nil"/>
                  </w:tcBorders>
                  <w:vAlign w:val="center"/>
                </w:tcPr>
                <w:p w14:paraId="7084ECAB">
                  <w:pPr>
                    <w:jc w:val="center"/>
                    <w:rPr>
                      <w:color w:val="auto"/>
                      <w:szCs w:val="21"/>
                      <w:highlight w:val="none"/>
                      <w:u w:val="single" w:color="auto"/>
                    </w:rPr>
                  </w:pPr>
                  <w:r>
                    <w:rPr>
                      <w:rFonts w:hint="eastAsia"/>
                      <w:color w:val="auto"/>
                      <w:szCs w:val="21"/>
                      <w:highlight w:val="none"/>
                      <w:u w:val="single" w:color="auto"/>
                    </w:rPr>
                    <w:drawing>
                      <wp:inline distT="0" distB="0" distL="114300" distR="114300">
                        <wp:extent cx="1116330" cy="299085"/>
                        <wp:effectExtent l="0" t="0" r="7620" b="5715"/>
                        <wp:docPr id="350" name="图片 18" descr="360截图20190318132454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18" descr="360截图20190318132454745"/>
                                <pic:cNvPicPr>
                                  <a:picLocks noChangeAspect="1"/>
                                </pic:cNvPicPr>
                              </pic:nvPicPr>
                              <pic:blipFill>
                                <a:blip r:embed="rId24"/>
                                <a:stretch>
                                  <a:fillRect/>
                                </a:stretch>
                              </pic:blipFill>
                              <pic:spPr>
                                <a:xfrm>
                                  <a:off x="0" y="0"/>
                                  <a:ext cx="1116330" cy="299085"/>
                                </a:xfrm>
                                <a:prstGeom prst="rect">
                                  <a:avLst/>
                                </a:prstGeom>
                                <a:noFill/>
                                <a:ln>
                                  <a:noFill/>
                                </a:ln>
                              </pic:spPr>
                            </pic:pic>
                          </a:graphicData>
                        </a:graphic>
                      </wp:inline>
                    </w:drawing>
                  </w:r>
                </w:p>
              </w:tc>
              <w:tc>
                <w:tcPr>
                  <w:tcW w:w="863" w:type="dxa"/>
                  <w:tcBorders>
                    <w:tl2br w:val="nil"/>
                    <w:tr2bl w:val="nil"/>
                  </w:tcBorders>
                  <w:vAlign w:val="center"/>
                </w:tcPr>
                <w:p w14:paraId="4D3A65B2">
                  <w:pPr>
                    <w:widowControl/>
                    <w:jc w:val="center"/>
                    <w:textAlignment w:val="center"/>
                    <w:rPr>
                      <w:rFonts w:hint="default" w:eastAsia="宋体"/>
                      <w:color w:val="auto"/>
                      <w:szCs w:val="21"/>
                      <w:highlight w:val="none"/>
                      <w:u w:val="single" w:color="auto"/>
                      <w:lang w:val="en-US" w:eastAsia="zh-CN"/>
                    </w:rPr>
                  </w:pPr>
                  <w:r>
                    <w:rPr>
                      <w:rFonts w:hint="eastAsia"/>
                      <w:color w:val="auto"/>
                      <w:kern w:val="0"/>
                      <w:szCs w:val="21"/>
                      <w:highlight w:val="none"/>
                      <w:u w:val="single" w:color="auto"/>
                      <w:lang w:val="en-US" w:eastAsia="zh-CN" w:bidi="ar"/>
                    </w:rPr>
                    <w:t>1244.68</w:t>
                  </w:r>
                </w:p>
              </w:tc>
              <w:tc>
                <w:tcPr>
                  <w:tcW w:w="977" w:type="dxa"/>
                  <w:tcBorders>
                    <w:tl2br w:val="nil"/>
                    <w:tr2bl w:val="nil"/>
                  </w:tcBorders>
                  <w:vAlign w:val="center"/>
                </w:tcPr>
                <w:p w14:paraId="20358C33">
                  <w:pPr>
                    <w:widowControl/>
                    <w:jc w:val="center"/>
                    <w:textAlignment w:val="center"/>
                    <w:rPr>
                      <w:rFonts w:hint="default" w:eastAsia="宋体"/>
                      <w:color w:val="auto"/>
                      <w:szCs w:val="21"/>
                      <w:highlight w:val="none"/>
                      <w:u w:val="single" w:color="auto"/>
                      <w:lang w:val="en-US" w:eastAsia="zh-CN"/>
                    </w:rPr>
                  </w:pPr>
                  <w:r>
                    <w:rPr>
                      <w:rFonts w:hint="eastAsia"/>
                      <w:color w:val="auto"/>
                      <w:kern w:val="0"/>
                      <w:szCs w:val="21"/>
                      <w:highlight w:val="none"/>
                      <w:u w:val="single" w:color="auto"/>
                      <w:lang w:val="en-US" w:eastAsia="zh-CN" w:bidi="ar"/>
                    </w:rPr>
                    <w:t>10.78</w:t>
                  </w:r>
                </w:p>
              </w:tc>
              <w:tc>
                <w:tcPr>
                  <w:tcW w:w="1122" w:type="dxa"/>
                  <w:tcBorders>
                    <w:tl2br w:val="nil"/>
                    <w:tr2bl w:val="nil"/>
                  </w:tcBorders>
                  <w:vAlign w:val="center"/>
                </w:tcPr>
                <w:p w14:paraId="71F06972">
                  <w:pPr>
                    <w:widowControl/>
                    <w:jc w:val="center"/>
                    <w:textAlignment w:val="center"/>
                    <w:rPr>
                      <w:rFonts w:hint="eastAsia" w:eastAsia="宋体"/>
                      <w:color w:val="auto"/>
                      <w:szCs w:val="21"/>
                      <w:highlight w:val="none"/>
                      <w:u w:val="single" w:color="auto"/>
                      <w:lang w:eastAsia="zh-CN"/>
                    </w:rPr>
                  </w:pPr>
                  <w:r>
                    <w:rPr>
                      <w:rFonts w:hint="eastAsia"/>
                      <w:color w:val="auto"/>
                      <w:kern w:val="0"/>
                      <w:szCs w:val="21"/>
                      <w:highlight w:val="none"/>
                      <w:u w:val="single" w:color="auto"/>
                      <w:lang w:val="en-US" w:eastAsia="zh-CN" w:bidi="ar"/>
                    </w:rPr>
                    <w:t>15</w:t>
                  </w:r>
                </w:p>
              </w:tc>
              <w:tc>
                <w:tcPr>
                  <w:tcW w:w="1826" w:type="dxa"/>
                  <w:tcBorders>
                    <w:tl2br w:val="nil"/>
                    <w:tr2bl w:val="nil"/>
                  </w:tcBorders>
                  <w:vAlign w:val="center"/>
                </w:tcPr>
                <w:p w14:paraId="48BCBB9F">
                  <w:pPr>
                    <w:widowControl/>
                    <w:jc w:val="center"/>
                    <w:textAlignment w:val="center"/>
                    <w:rPr>
                      <w:rFonts w:hint="default" w:eastAsia="宋体"/>
                      <w:color w:val="auto"/>
                      <w:szCs w:val="21"/>
                      <w:highlight w:val="none"/>
                      <w:u w:val="single" w:color="auto"/>
                      <w:lang w:val="en-US" w:eastAsia="zh-CN"/>
                    </w:rPr>
                  </w:pPr>
                  <w:r>
                    <w:rPr>
                      <w:rFonts w:hint="eastAsia"/>
                      <w:color w:val="auto"/>
                      <w:szCs w:val="21"/>
                      <w:highlight w:val="none"/>
                      <w:u w:val="single" w:color="auto"/>
                      <w:lang w:val="en-US" w:eastAsia="zh-CN"/>
                    </w:rPr>
                    <w:t>13640</w:t>
                  </w:r>
                </w:p>
              </w:tc>
              <w:tc>
                <w:tcPr>
                  <w:tcW w:w="1197" w:type="dxa"/>
                  <w:tcBorders>
                    <w:tl2br w:val="nil"/>
                    <w:tr2bl w:val="nil"/>
                  </w:tcBorders>
                  <w:vAlign w:val="center"/>
                </w:tcPr>
                <w:p w14:paraId="3A8A2660">
                  <w:pPr>
                    <w:widowControl/>
                    <w:jc w:val="center"/>
                    <w:textAlignment w:val="center"/>
                    <w:rPr>
                      <w:rFonts w:hint="default" w:eastAsia="宋体"/>
                      <w:color w:val="auto"/>
                      <w:szCs w:val="21"/>
                      <w:highlight w:val="none"/>
                      <w:u w:val="single" w:color="auto"/>
                      <w:lang w:val="en-US" w:eastAsia="zh-CN"/>
                    </w:rPr>
                  </w:pPr>
                  <w:r>
                    <w:rPr>
                      <w:rFonts w:hint="eastAsia"/>
                      <w:color w:val="auto"/>
                      <w:szCs w:val="21"/>
                      <w:highlight w:val="none"/>
                      <w:u w:val="single" w:color="auto"/>
                      <w:lang w:val="en-US" w:eastAsia="zh-CN"/>
                    </w:rPr>
                    <w:t>209.36</w:t>
                  </w:r>
                </w:p>
              </w:tc>
            </w:tr>
          </w:tbl>
          <w:p w14:paraId="5CE7C2BA">
            <w:pPr>
              <w:adjustRightInd w:val="0"/>
              <w:snapToGrid w:val="0"/>
              <w:spacing w:line="360" w:lineRule="auto"/>
              <w:ind w:firstLine="480" w:firstLineChars="200"/>
              <w:rPr>
                <w:rFonts w:hint="default" w:ascii="Times New Roman" w:hAnsi="Times New Roman" w:cs="Times New Roman"/>
                <w:color w:val="auto"/>
                <w:position w:val="15"/>
                <w:sz w:val="24"/>
                <w:highlight w:val="none"/>
                <w:u w:val="single" w:color="auto"/>
                <w:lang w:val="en-US" w:eastAsia="zh-CN"/>
              </w:rPr>
            </w:pPr>
            <w:r>
              <w:rPr>
                <w:color w:val="auto"/>
                <w:sz w:val="24"/>
                <w:highlight w:val="none"/>
                <w:u w:val="single" w:color="auto"/>
              </w:rPr>
              <w:t>根据上表计算结果可知，</w:t>
            </w:r>
            <w:r>
              <w:rPr>
                <w:rFonts w:hint="eastAsia"/>
                <w:color w:val="auto"/>
                <w:sz w:val="24"/>
                <w:highlight w:val="none"/>
                <w:u w:val="single" w:color="auto"/>
              </w:rPr>
              <w:t>燃生物质热风炉产生的灰渣</w:t>
            </w:r>
            <w:r>
              <w:rPr>
                <w:color w:val="auto"/>
                <w:sz w:val="24"/>
                <w:highlight w:val="none"/>
                <w:u w:val="single" w:color="auto"/>
              </w:rPr>
              <w:t>产生量为</w:t>
            </w:r>
            <w:r>
              <w:rPr>
                <w:rFonts w:hint="eastAsia"/>
                <w:color w:val="auto"/>
                <w:sz w:val="24"/>
                <w:highlight w:val="none"/>
                <w:u w:val="single" w:color="auto"/>
                <w:lang w:val="en-US" w:eastAsia="zh-CN"/>
              </w:rPr>
              <w:t>209.36</w:t>
            </w:r>
            <w:r>
              <w:rPr>
                <w:color w:val="auto"/>
                <w:sz w:val="24"/>
                <w:highlight w:val="none"/>
                <w:u w:val="single" w:color="auto"/>
              </w:rPr>
              <w:t>t/a，</w:t>
            </w:r>
            <w:r>
              <w:rPr>
                <w:rFonts w:hint="eastAsia"/>
                <w:color w:val="auto"/>
                <w:sz w:val="24"/>
                <w:highlight w:val="yellow"/>
                <w:u w:val="single" w:color="auto"/>
                <w:lang w:eastAsia="zh-CN"/>
              </w:rPr>
              <w:t>根据前文计算除尘灰产生量</w:t>
            </w:r>
            <w:r>
              <w:rPr>
                <w:rFonts w:hint="eastAsia"/>
                <w:bCs/>
                <w:color w:val="auto"/>
                <w:sz w:val="24"/>
                <w:highlight w:val="yellow"/>
                <w:u w:val="single" w:color="auto"/>
                <w:lang w:val="en-US" w:eastAsia="zh-CN"/>
              </w:rPr>
              <w:t>113.256t/a</w:t>
            </w:r>
            <w:r>
              <w:rPr>
                <w:rFonts w:hint="eastAsia" w:ascii="Times New Roman" w:hAnsi="Times New Roman" w:eastAsia="宋体" w:cs="Times New Roman"/>
                <w:b w:val="0"/>
                <w:bCs w:val="0"/>
                <w:color w:val="auto"/>
                <w:spacing w:val="0"/>
                <w:kern w:val="21"/>
                <w:sz w:val="24"/>
                <w:szCs w:val="24"/>
                <w:highlight w:val="yellow"/>
                <w:u w:val="single" w:color="auto"/>
                <w:lang w:val="en-US" w:eastAsia="zh-CN" w:bidi="ar-SA"/>
              </w:rPr>
              <w:t>，</w:t>
            </w:r>
            <w:r>
              <w:rPr>
                <w:rFonts w:hint="eastAsia" w:cs="Times New Roman"/>
                <w:b w:val="0"/>
                <w:bCs w:val="0"/>
                <w:color w:val="auto"/>
                <w:spacing w:val="0"/>
                <w:kern w:val="21"/>
                <w:sz w:val="24"/>
                <w:szCs w:val="24"/>
                <w:highlight w:val="yellow"/>
                <w:u w:val="single" w:color="auto"/>
                <w:lang w:val="en-US" w:eastAsia="zh-CN" w:bidi="ar-SA"/>
              </w:rPr>
              <w:t>计算得</w:t>
            </w:r>
            <w:r>
              <w:rPr>
                <w:rFonts w:hint="eastAsia" w:ascii="Times New Roman" w:hAnsi="Times New Roman" w:eastAsia="宋体" w:cs="Times New Roman"/>
                <w:b w:val="0"/>
                <w:bCs w:val="0"/>
                <w:color w:val="auto"/>
                <w:spacing w:val="0"/>
                <w:kern w:val="21"/>
                <w:sz w:val="24"/>
                <w:szCs w:val="24"/>
                <w:highlight w:val="yellow"/>
                <w:u w:val="single" w:color="auto"/>
                <w:lang w:val="en-US" w:eastAsia="zh-CN" w:bidi="ar-SA"/>
              </w:rPr>
              <w:t>炉渣量为</w:t>
            </w:r>
            <w:r>
              <w:rPr>
                <w:rFonts w:hint="eastAsia" w:cs="Times New Roman"/>
                <w:b w:val="0"/>
                <w:bCs w:val="0"/>
                <w:color w:val="auto"/>
                <w:spacing w:val="0"/>
                <w:kern w:val="21"/>
                <w:sz w:val="24"/>
                <w:szCs w:val="24"/>
                <w:highlight w:val="yellow"/>
                <w:u w:val="single" w:color="auto"/>
                <w:lang w:val="en-US" w:eastAsia="zh-CN" w:bidi="ar-SA"/>
              </w:rPr>
              <w:t>96.106</w:t>
            </w:r>
            <w:r>
              <w:rPr>
                <w:rFonts w:hint="eastAsia" w:ascii="Times New Roman" w:hAnsi="Times New Roman" w:eastAsia="宋体" w:cs="Times New Roman"/>
                <w:b w:val="0"/>
                <w:bCs w:val="0"/>
                <w:color w:val="auto"/>
                <w:spacing w:val="0"/>
                <w:kern w:val="21"/>
                <w:sz w:val="24"/>
                <w:szCs w:val="24"/>
                <w:highlight w:val="yellow"/>
                <w:u w:val="single" w:color="auto"/>
                <w:lang w:val="en-US" w:eastAsia="zh-CN" w:bidi="ar-SA"/>
              </w:rPr>
              <w:t>t/a。</w:t>
            </w:r>
            <w:r>
              <w:rPr>
                <w:rFonts w:hint="eastAsia"/>
                <w:color w:val="auto"/>
                <w:sz w:val="24"/>
                <w:highlight w:val="none"/>
                <w:u w:val="single" w:color="auto"/>
              </w:rPr>
              <w:t>灰渣出渣时洒水抑尘装袋暂存于封闭灰渣贮存库房内，外售作肥料。</w:t>
            </w:r>
          </w:p>
          <w:p w14:paraId="3F2B0435">
            <w:pPr>
              <w:adjustRightInd w:val="0"/>
              <w:snapToGrid w:val="0"/>
              <w:spacing w:line="360" w:lineRule="auto"/>
              <w:ind w:firstLine="480" w:firstLineChars="200"/>
              <w:rPr>
                <w:rFonts w:hint="eastAsia" w:cs="Times New Roman"/>
                <w:color w:val="auto"/>
                <w:position w:val="15"/>
                <w:sz w:val="24"/>
                <w:highlight w:val="none"/>
                <w:u w:val="none" w:color="auto"/>
                <w:lang w:val="en-US" w:eastAsia="zh-CN"/>
              </w:rPr>
            </w:pPr>
            <w:r>
              <w:rPr>
                <w:rFonts w:hint="default" w:ascii="Times New Roman" w:hAnsi="Times New Roman" w:cs="Times New Roman"/>
                <w:color w:val="auto"/>
                <w:position w:val="15"/>
                <w:sz w:val="24"/>
                <w:highlight w:val="none"/>
                <w:u w:val="none" w:color="auto"/>
                <w:lang w:val="en-US" w:eastAsia="zh-CN"/>
              </w:rPr>
              <w:t>（3）</w:t>
            </w:r>
            <w:r>
              <w:rPr>
                <w:rFonts w:hint="eastAsia" w:cs="Times New Roman"/>
                <w:color w:val="auto"/>
                <w:position w:val="15"/>
                <w:sz w:val="24"/>
                <w:highlight w:val="none"/>
                <w:u w:val="none" w:color="auto"/>
                <w:lang w:val="en-US" w:eastAsia="zh-CN"/>
              </w:rPr>
              <w:t>废布袋</w:t>
            </w:r>
          </w:p>
          <w:p w14:paraId="67744112">
            <w:pPr>
              <w:adjustRightInd w:val="0"/>
              <w:snapToGrid w:val="0"/>
              <w:spacing w:line="360" w:lineRule="auto"/>
              <w:ind w:firstLine="480" w:firstLineChars="200"/>
              <w:rPr>
                <w:rFonts w:hint="default" w:ascii="Times New Roman" w:hAnsi="Times New Roman" w:cs="Times New Roman"/>
                <w:color w:val="auto"/>
                <w:position w:val="15"/>
                <w:sz w:val="24"/>
                <w:highlight w:val="none"/>
                <w:u w:val="none" w:color="auto"/>
                <w:lang w:val="en-US" w:eastAsia="zh-CN"/>
              </w:rPr>
            </w:pPr>
            <w:r>
              <w:rPr>
                <w:rFonts w:hint="default" w:ascii="Times New Roman" w:hAnsi="Times New Roman" w:cs="Times New Roman"/>
                <w:color w:val="auto"/>
                <w:position w:val="15"/>
                <w:sz w:val="24"/>
                <w:highlight w:val="none"/>
                <w:u w:val="none" w:color="auto"/>
                <w:lang w:val="en-US" w:eastAsia="zh-CN"/>
              </w:rPr>
              <w:t>燃生物质热风炉废气污染治理设施布袋除尘器需定期更换布袋，</w:t>
            </w:r>
            <w:r>
              <w:rPr>
                <w:rFonts w:hint="eastAsia" w:cs="Times New Roman"/>
                <w:color w:val="auto"/>
                <w:position w:val="15"/>
                <w:sz w:val="24"/>
                <w:highlight w:val="none"/>
                <w:u w:val="none" w:color="auto"/>
                <w:lang w:val="en-US" w:eastAsia="zh-CN"/>
              </w:rPr>
              <w:t>废布袋</w:t>
            </w:r>
            <w:r>
              <w:rPr>
                <w:rFonts w:hint="default" w:ascii="Times New Roman" w:hAnsi="Times New Roman" w:cs="Times New Roman"/>
                <w:color w:val="auto"/>
                <w:position w:val="15"/>
                <w:sz w:val="24"/>
                <w:highlight w:val="none"/>
                <w:u w:val="none" w:color="auto"/>
                <w:lang w:val="en-US" w:eastAsia="zh-CN"/>
              </w:rPr>
              <w:t>产生量约0.1t/a，</w:t>
            </w:r>
            <w:r>
              <w:rPr>
                <w:rFonts w:hint="eastAsia" w:cs="Times New Roman"/>
                <w:color w:val="auto"/>
                <w:position w:val="15"/>
                <w:sz w:val="24"/>
                <w:highlight w:val="none"/>
                <w:u w:val="none" w:color="auto"/>
                <w:lang w:val="en-US" w:eastAsia="zh-CN"/>
              </w:rPr>
              <w:t>废布袋更换后由厂家回收处置</w:t>
            </w:r>
            <w:r>
              <w:rPr>
                <w:rFonts w:hint="default" w:ascii="Times New Roman" w:hAnsi="Times New Roman" w:cs="Times New Roman"/>
                <w:color w:val="auto"/>
                <w:position w:val="15"/>
                <w:sz w:val="24"/>
                <w:highlight w:val="none"/>
                <w:u w:val="none" w:color="auto"/>
                <w:lang w:val="en-US" w:eastAsia="zh-CN"/>
              </w:rPr>
              <w:t>。</w:t>
            </w:r>
          </w:p>
          <w:p w14:paraId="244BC400">
            <w:pPr>
              <w:autoSpaceDE w:val="0"/>
              <w:autoSpaceDN w:val="0"/>
              <w:adjustRightInd w:val="0"/>
              <w:snapToGrid w:val="0"/>
              <w:spacing w:line="360" w:lineRule="auto"/>
              <w:ind w:firstLine="480" w:firstLineChars="200"/>
              <w:rPr>
                <w:rFonts w:hint="default" w:ascii="Times New Roman" w:hAnsi="Times New Roman" w:cs="Times New Roman"/>
                <w:iCs/>
                <w:color w:val="auto"/>
                <w:kern w:val="0"/>
                <w:sz w:val="24"/>
                <w:highlight w:val="none"/>
                <w:u w:val="none" w:color="auto"/>
              </w:rPr>
            </w:pPr>
            <w:r>
              <w:rPr>
                <w:rFonts w:hint="default" w:ascii="Times New Roman" w:hAnsi="Times New Roman" w:cs="Times New Roman"/>
                <w:iCs/>
                <w:color w:val="auto"/>
                <w:kern w:val="0"/>
                <w:sz w:val="24"/>
                <w:highlight w:val="none"/>
                <w:u w:val="none" w:color="auto"/>
              </w:rPr>
              <w:t>（</w:t>
            </w:r>
            <w:r>
              <w:rPr>
                <w:rFonts w:hint="eastAsia" w:cs="Times New Roman"/>
                <w:iCs/>
                <w:color w:val="auto"/>
                <w:kern w:val="0"/>
                <w:sz w:val="24"/>
                <w:highlight w:val="none"/>
                <w:u w:val="none" w:color="auto"/>
                <w:lang w:val="en-US" w:eastAsia="zh-CN"/>
              </w:rPr>
              <w:t>4</w:t>
            </w:r>
            <w:r>
              <w:rPr>
                <w:rFonts w:hint="default" w:ascii="Times New Roman" w:hAnsi="Times New Roman" w:cs="Times New Roman"/>
                <w:iCs/>
                <w:color w:val="auto"/>
                <w:kern w:val="0"/>
                <w:sz w:val="24"/>
                <w:highlight w:val="none"/>
                <w:u w:val="none" w:color="auto"/>
              </w:rPr>
              <w:t>）生活垃圾</w:t>
            </w:r>
          </w:p>
          <w:p w14:paraId="49DCFF0B">
            <w:pPr>
              <w:autoSpaceDE w:val="0"/>
              <w:autoSpaceDN w:val="0"/>
              <w:adjustRightInd w:val="0"/>
              <w:snapToGrid w:val="0"/>
              <w:spacing w:line="360" w:lineRule="auto"/>
              <w:ind w:firstLine="480" w:firstLineChars="200"/>
              <w:rPr>
                <w:rFonts w:hint="eastAsia" w:cs="Times New Roman"/>
                <w:iCs/>
                <w:color w:val="auto"/>
                <w:kern w:val="0"/>
                <w:sz w:val="24"/>
                <w:highlight w:val="none"/>
                <w:u w:val="none" w:color="auto"/>
                <w:lang w:eastAsia="zh-CN"/>
              </w:rPr>
            </w:pPr>
            <w:r>
              <w:rPr>
                <w:rFonts w:hint="default" w:ascii="Times New Roman" w:hAnsi="Times New Roman" w:cs="Times New Roman"/>
                <w:iCs/>
                <w:color w:val="auto"/>
                <w:kern w:val="0"/>
                <w:sz w:val="24"/>
                <w:highlight w:val="none"/>
                <w:u w:val="none" w:color="auto"/>
              </w:rPr>
              <w:t>项目工作人员</w:t>
            </w:r>
            <w:r>
              <w:rPr>
                <w:rFonts w:hint="eastAsia" w:ascii="Times New Roman" w:hAnsi="Times New Roman" w:cs="Times New Roman"/>
                <w:iCs/>
                <w:color w:val="auto"/>
                <w:kern w:val="0"/>
                <w:sz w:val="24"/>
                <w:highlight w:val="none"/>
                <w:u w:val="none" w:color="auto"/>
                <w:lang w:val="en-US" w:eastAsia="zh-CN"/>
              </w:rPr>
              <w:t>10</w:t>
            </w:r>
            <w:r>
              <w:rPr>
                <w:rFonts w:hint="default" w:ascii="Times New Roman" w:hAnsi="Times New Roman" w:cs="Times New Roman"/>
                <w:iCs/>
                <w:color w:val="auto"/>
                <w:kern w:val="0"/>
                <w:sz w:val="24"/>
                <w:highlight w:val="none"/>
                <w:u w:val="none" w:color="auto"/>
              </w:rPr>
              <w:t>人，按每人每天产生0.5kg垃圾计算，则生活垃圾产生量</w:t>
            </w:r>
            <w:r>
              <w:rPr>
                <w:rFonts w:hint="default" w:ascii="Times New Roman" w:hAnsi="Times New Roman" w:cs="Times New Roman"/>
                <w:iCs/>
                <w:color w:val="auto"/>
                <w:kern w:val="0"/>
                <w:sz w:val="24"/>
                <w:highlight w:val="none"/>
                <w:u w:val="none" w:color="auto"/>
                <w:lang w:val="en-US" w:eastAsia="zh-CN"/>
              </w:rPr>
              <w:t>0.</w:t>
            </w:r>
            <w:r>
              <w:rPr>
                <w:rFonts w:hint="eastAsia" w:ascii="Times New Roman" w:hAnsi="Times New Roman" w:cs="Times New Roman"/>
                <w:iCs/>
                <w:color w:val="auto"/>
                <w:kern w:val="0"/>
                <w:sz w:val="24"/>
                <w:highlight w:val="none"/>
                <w:u w:val="none" w:color="auto"/>
                <w:lang w:val="en-US" w:eastAsia="zh-CN"/>
              </w:rPr>
              <w:t>25</w:t>
            </w:r>
            <w:r>
              <w:rPr>
                <w:rFonts w:hint="default" w:ascii="Times New Roman" w:hAnsi="Times New Roman" w:cs="Times New Roman"/>
                <w:iCs/>
                <w:color w:val="auto"/>
                <w:kern w:val="0"/>
                <w:sz w:val="24"/>
                <w:highlight w:val="none"/>
                <w:u w:val="none" w:color="auto"/>
              </w:rPr>
              <w:t>t/a，暂存在密闭垃圾箱内，委托环卫部门统一处理</w:t>
            </w:r>
            <w:r>
              <w:rPr>
                <w:rFonts w:hint="eastAsia" w:cs="Times New Roman"/>
                <w:iCs/>
                <w:color w:val="auto"/>
                <w:kern w:val="0"/>
                <w:sz w:val="24"/>
                <w:highlight w:val="none"/>
                <w:u w:val="none" w:color="auto"/>
                <w:lang w:eastAsia="zh-CN"/>
              </w:rPr>
              <w:t>。</w:t>
            </w:r>
          </w:p>
          <w:p w14:paraId="2D4502B8">
            <w:pPr>
              <w:autoSpaceDE w:val="0"/>
              <w:autoSpaceDN w:val="0"/>
              <w:adjustRightInd w:val="0"/>
              <w:snapToGrid w:val="0"/>
              <w:spacing w:line="360" w:lineRule="auto"/>
              <w:ind w:firstLine="480" w:firstLineChars="200"/>
              <w:rPr>
                <w:rFonts w:hint="eastAsia" w:cs="Times New Roman"/>
                <w:iCs/>
                <w:color w:val="auto"/>
                <w:kern w:val="0"/>
                <w:sz w:val="24"/>
                <w:highlight w:val="none"/>
                <w:u w:val="none" w:color="auto"/>
                <w:lang w:eastAsia="zh-CN"/>
              </w:rPr>
            </w:pPr>
            <w:r>
              <w:rPr>
                <w:rFonts w:hint="eastAsia" w:cs="Times New Roman"/>
                <w:iCs/>
                <w:color w:val="auto"/>
                <w:kern w:val="0"/>
                <w:sz w:val="24"/>
                <w:highlight w:val="none"/>
                <w:u w:val="none" w:color="auto"/>
                <w:lang w:eastAsia="zh-CN"/>
              </w:rPr>
              <w:t>（</w:t>
            </w:r>
            <w:r>
              <w:rPr>
                <w:rFonts w:hint="eastAsia" w:cs="Times New Roman"/>
                <w:iCs/>
                <w:color w:val="auto"/>
                <w:kern w:val="0"/>
                <w:sz w:val="24"/>
                <w:highlight w:val="none"/>
                <w:u w:val="none" w:color="auto"/>
                <w:lang w:val="en-US" w:eastAsia="zh-CN"/>
              </w:rPr>
              <w:t>5</w:t>
            </w:r>
            <w:r>
              <w:rPr>
                <w:rFonts w:hint="eastAsia" w:cs="Times New Roman"/>
                <w:iCs/>
                <w:color w:val="auto"/>
                <w:kern w:val="0"/>
                <w:sz w:val="24"/>
                <w:highlight w:val="none"/>
                <w:u w:val="none" w:color="auto"/>
                <w:lang w:eastAsia="zh-CN"/>
              </w:rPr>
              <w:t>）</w:t>
            </w:r>
            <w:r>
              <w:rPr>
                <w:rFonts w:ascii="宋体" w:hAnsi="宋体" w:eastAsia="宋体" w:cs="宋体"/>
                <w:color w:val="auto"/>
                <w:spacing w:val="-3"/>
                <w:sz w:val="24"/>
                <w:szCs w:val="24"/>
                <w:highlight w:val="none"/>
                <w:u w:val="none" w:color="auto"/>
              </w:rPr>
              <w:t>原粮杂质</w:t>
            </w:r>
          </w:p>
          <w:p w14:paraId="53A82F27">
            <w:pPr>
              <w:autoSpaceDE w:val="0"/>
              <w:autoSpaceDN w:val="0"/>
              <w:adjustRightInd w:val="0"/>
              <w:snapToGrid w:val="0"/>
              <w:spacing w:line="360" w:lineRule="auto"/>
              <w:ind w:firstLine="480" w:firstLineChars="200"/>
              <w:rPr>
                <w:rFonts w:hint="eastAsia" w:ascii="Times New Roman" w:hAnsi="Times New Roman" w:eastAsia="宋体" w:cs="Times New Roman"/>
                <w:iCs/>
                <w:color w:val="auto"/>
                <w:kern w:val="0"/>
                <w:sz w:val="24"/>
                <w:highlight w:val="none"/>
                <w:u w:val="none" w:color="auto"/>
                <w:lang w:eastAsia="zh-CN"/>
              </w:rPr>
            </w:pPr>
            <w:r>
              <w:rPr>
                <w:rFonts w:hint="eastAsia" w:cs="Times New Roman"/>
                <w:iCs/>
                <w:color w:val="auto"/>
                <w:kern w:val="0"/>
                <w:sz w:val="24"/>
                <w:highlight w:val="yellow"/>
                <w:u w:val="none" w:color="auto"/>
                <w:lang w:eastAsia="zh-CN"/>
              </w:rPr>
              <w:t>由</w:t>
            </w:r>
            <w:r>
              <w:rPr>
                <w:rFonts w:hint="eastAsia" w:cs="Times New Roman"/>
                <w:iCs/>
                <w:color w:val="auto"/>
                <w:kern w:val="0"/>
                <w:sz w:val="24"/>
                <w:highlight w:val="yellow"/>
                <w:u w:val="none" w:color="auto"/>
                <w:lang w:val="en-US" w:eastAsia="zh-CN"/>
              </w:rPr>
              <w:t>装卸、</w:t>
            </w:r>
            <w:r>
              <w:rPr>
                <w:rFonts w:hint="eastAsia" w:ascii="Times New Roman" w:hAnsi="Times New Roman" w:eastAsia="宋体" w:cs="Times New Roman"/>
                <w:iCs/>
                <w:color w:val="auto"/>
                <w:kern w:val="0"/>
                <w:sz w:val="24"/>
                <w:highlight w:val="yellow"/>
                <w:u w:val="none" w:color="auto"/>
                <w:lang w:eastAsia="zh-CN"/>
              </w:rPr>
              <w:t>筛分过程产生，</w:t>
            </w:r>
            <w:r>
              <w:rPr>
                <w:rFonts w:hint="eastAsia" w:ascii="Times New Roman" w:hAnsi="Times New Roman" w:eastAsia="宋体" w:cs="Times New Roman"/>
                <w:iCs/>
                <w:color w:val="auto"/>
                <w:kern w:val="0"/>
                <w:sz w:val="24"/>
                <w:highlight w:val="none"/>
                <w:u w:val="none" w:color="auto"/>
                <w:lang w:eastAsia="zh-CN"/>
              </w:rPr>
              <w:t>主要是玉米杂质及玉米皮</w:t>
            </w:r>
            <w:r>
              <w:rPr>
                <w:rFonts w:hint="eastAsia" w:cs="Times New Roman"/>
                <w:iCs/>
                <w:color w:val="auto"/>
                <w:kern w:val="0"/>
                <w:sz w:val="24"/>
                <w:highlight w:val="none"/>
                <w:u w:val="none" w:color="auto"/>
                <w:lang w:eastAsia="zh-CN"/>
              </w:rPr>
              <w:t>（不含石子）</w:t>
            </w:r>
            <w:r>
              <w:rPr>
                <w:rFonts w:hint="eastAsia" w:ascii="Times New Roman" w:hAnsi="Times New Roman" w:eastAsia="宋体" w:cs="Times New Roman"/>
                <w:iCs/>
                <w:color w:val="auto"/>
                <w:kern w:val="0"/>
                <w:sz w:val="24"/>
                <w:highlight w:val="none"/>
                <w:u w:val="none" w:color="auto"/>
                <w:lang w:eastAsia="zh-CN"/>
              </w:rPr>
              <w:t>，</w:t>
            </w:r>
            <w:r>
              <w:rPr>
                <w:rFonts w:hint="eastAsia" w:cs="Times New Roman"/>
                <w:iCs/>
                <w:color w:val="auto"/>
                <w:kern w:val="0"/>
                <w:sz w:val="24"/>
                <w:highlight w:val="none"/>
                <w:u w:val="single" w:color="auto"/>
                <w:lang w:val="en-US" w:eastAsia="zh-CN"/>
              </w:rPr>
              <w:t>则原粮杂质产生量为1.014</w:t>
            </w:r>
            <w:r>
              <w:rPr>
                <w:rFonts w:hint="eastAsia" w:ascii="Times New Roman" w:hAnsi="Times New Roman" w:eastAsia="宋体" w:cs="Times New Roman"/>
                <w:iCs/>
                <w:color w:val="auto"/>
                <w:kern w:val="0"/>
                <w:sz w:val="24"/>
                <w:highlight w:val="none"/>
                <w:u w:val="single" w:color="auto"/>
                <w:lang w:eastAsia="zh-CN"/>
              </w:rPr>
              <w:t>t/a；</w:t>
            </w:r>
            <w:r>
              <w:rPr>
                <w:rFonts w:hint="eastAsia" w:cs="Times New Roman"/>
                <w:iCs/>
                <w:color w:val="auto"/>
                <w:kern w:val="0"/>
                <w:sz w:val="24"/>
                <w:highlight w:val="none"/>
                <w:u w:val="single" w:color="auto"/>
                <w:lang w:val="en-US" w:eastAsia="zh-CN"/>
              </w:rPr>
              <w:t>袋装</w:t>
            </w:r>
            <w:r>
              <w:rPr>
                <w:rFonts w:hint="eastAsia" w:ascii="Times New Roman" w:hAnsi="Times New Roman" w:eastAsia="宋体" w:cs="Times New Roman"/>
                <w:iCs/>
                <w:color w:val="auto"/>
                <w:kern w:val="0"/>
                <w:sz w:val="24"/>
                <w:highlight w:val="none"/>
                <w:u w:val="single" w:color="auto"/>
                <w:lang w:eastAsia="zh-CN"/>
              </w:rPr>
              <w:t>暂存于仓库，外售做饲料</w:t>
            </w:r>
            <w:r>
              <w:rPr>
                <w:rFonts w:hint="eastAsia" w:ascii="Times New Roman" w:hAnsi="Times New Roman" w:eastAsia="宋体" w:cs="Times New Roman"/>
                <w:iCs/>
                <w:color w:val="auto"/>
                <w:kern w:val="0"/>
                <w:sz w:val="24"/>
                <w:highlight w:val="none"/>
                <w:u w:val="none" w:color="auto"/>
                <w:lang w:eastAsia="zh-CN"/>
              </w:rPr>
              <w:t>。</w:t>
            </w:r>
          </w:p>
          <w:p w14:paraId="3B16671F">
            <w:pPr>
              <w:autoSpaceDE w:val="0"/>
              <w:autoSpaceDN w:val="0"/>
              <w:adjustRightInd w:val="0"/>
              <w:snapToGrid w:val="0"/>
              <w:spacing w:line="360" w:lineRule="auto"/>
              <w:ind w:firstLine="480" w:firstLineChars="200"/>
              <w:rPr>
                <w:rFonts w:hint="eastAsia" w:ascii="Times New Roman" w:hAnsi="Times New Roman" w:eastAsia="宋体" w:cs="Times New Roman"/>
                <w:iCs/>
                <w:color w:val="auto"/>
                <w:kern w:val="0"/>
                <w:sz w:val="24"/>
                <w:highlight w:val="none"/>
                <w:u w:val="none" w:color="auto"/>
                <w:lang w:eastAsia="zh-CN"/>
              </w:rPr>
            </w:pPr>
            <w:r>
              <w:rPr>
                <w:rFonts w:hint="eastAsia" w:ascii="Times New Roman" w:hAnsi="Times New Roman" w:eastAsia="宋体" w:cs="Times New Roman"/>
                <w:iCs/>
                <w:color w:val="auto"/>
                <w:kern w:val="0"/>
                <w:sz w:val="24"/>
                <w:highlight w:val="none"/>
                <w:u w:val="none" w:color="auto"/>
                <w:lang w:eastAsia="zh-CN"/>
              </w:rPr>
              <w:t>（6）烘干截留粉尘</w:t>
            </w:r>
          </w:p>
          <w:p w14:paraId="449CCB28">
            <w:pPr>
              <w:autoSpaceDE w:val="0"/>
              <w:autoSpaceDN w:val="0"/>
              <w:adjustRightInd w:val="0"/>
              <w:snapToGrid w:val="0"/>
              <w:spacing w:line="360" w:lineRule="auto"/>
              <w:ind w:firstLine="480" w:firstLineChars="200"/>
              <w:rPr>
                <w:rFonts w:hint="eastAsia" w:ascii="Times New Roman" w:hAnsi="Times New Roman" w:eastAsia="宋体" w:cs="Times New Roman"/>
                <w:iCs/>
                <w:color w:val="auto"/>
                <w:kern w:val="0"/>
                <w:sz w:val="24"/>
                <w:highlight w:val="none"/>
                <w:u w:val="single" w:color="auto"/>
                <w:lang w:eastAsia="zh-CN"/>
              </w:rPr>
            </w:pPr>
            <w:r>
              <w:rPr>
                <w:rFonts w:hint="eastAsia" w:ascii="Times New Roman" w:hAnsi="Times New Roman" w:eastAsia="宋体" w:cs="Times New Roman"/>
                <w:iCs/>
                <w:color w:val="auto"/>
                <w:kern w:val="0"/>
                <w:sz w:val="24"/>
                <w:highlight w:val="none"/>
                <w:u w:val="single" w:color="auto"/>
                <w:lang w:eastAsia="zh-CN"/>
              </w:rPr>
              <w:t>烘干塔</w:t>
            </w:r>
            <w:r>
              <w:rPr>
                <w:rFonts w:hint="eastAsia" w:cs="Times New Roman"/>
                <w:iCs/>
                <w:color w:val="auto"/>
                <w:kern w:val="0"/>
                <w:sz w:val="24"/>
                <w:highlight w:val="none"/>
                <w:u w:val="single" w:color="auto"/>
                <w:lang w:val="en-US" w:eastAsia="zh-CN"/>
              </w:rPr>
              <w:t>密闭</w:t>
            </w:r>
            <w:r>
              <w:rPr>
                <w:rFonts w:hint="eastAsia" w:ascii="Times New Roman" w:hAnsi="Times New Roman" w:eastAsia="宋体" w:cs="Times New Roman"/>
                <w:iCs/>
                <w:color w:val="auto"/>
                <w:kern w:val="0"/>
                <w:sz w:val="24"/>
                <w:highlight w:val="none"/>
                <w:u w:val="single" w:color="auto"/>
                <w:lang w:eastAsia="zh-CN"/>
              </w:rPr>
              <w:t>罩截留</w:t>
            </w:r>
            <w:r>
              <w:rPr>
                <w:rFonts w:hint="eastAsia" w:cs="Times New Roman"/>
                <w:iCs/>
                <w:color w:val="auto"/>
                <w:kern w:val="0"/>
                <w:sz w:val="24"/>
                <w:highlight w:val="none"/>
                <w:u w:val="single" w:color="auto"/>
                <w:lang w:eastAsia="zh-CN"/>
              </w:rPr>
              <w:t>粉尘</w:t>
            </w:r>
            <w:r>
              <w:rPr>
                <w:rFonts w:hint="eastAsia" w:ascii="Times New Roman" w:hAnsi="Times New Roman" w:eastAsia="宋体" w:cs="Times New Roman"/>
                <w:iCs/>
                <w:color w:val="auto"/>
                <w:kern w:val="0"/>
                <w:sz w:val="24"/>
                <w:highlight w:val="none"/>
                <w:u w:val="single" w:color="auto"/>
                <w:lang w:eastAsia="zh-CN"/>
              </w:rPr>
              <w:t>产生量为</w:t>
            </w:r>
            <w:r>
              <w:rPr>
                <w:rFonts w:hint="eastAsia" w:cs="Times New Roman"/>
                <w:iCs/>
                <w:color w:val="auto"/>
                <w:kern w:val="0"/>
                <w:sz w:val="24"/>
                <w:highlight w:val="none"/>
                <w:u w:val="single" w:color="auto"/>
                <w:lang w:val="en-US" w:eastAsia="zh-CN"/>
              </w:rPr>
              <w:t>2.477</w:t>
            </w:r>
            <w:r>
              <w:rPr>
                <w:rFonts w:hint="eastAsia" w:ascii="Times New Roman" w:hAnsi="Times New Roman" w:eastAsia="宋体" w:cs="Times New Roman"/>
                <w:iCs/>
                <w:color w:val="auto"/>
                <w:kern w:val="0"/>
                <w:sz w:val="24"/>
                <w:highlight w:val="none"/>
                <w:u w:val="single" w:color="auto"/>
                <w:lang w:eastAsia="zh-CN"/>
              </w:rPr>
              <w:t>t/a，暂存于仓库，外售做饲料。</w:t>
            </w:r>
          </w:p>
          <w:p w14:paraId="73A8F55C">
            <w:pPr>
              <w:adjustRightInd w:val="0"/>
              <w:snapToGrid w:val="0"/>
              <w:jc w:val="center"/>
              <w:rPr>
                <w:rFonts w:hint="default" w:ascii="Times New Roman" w:hAnsi="Times New Roman" w:cs="Times New Roman"/>
                <w:b/>
                <w:bCs/>
                <w:color w:val="auto"/>
                <w:spacing w:val="-2"/>
                <w:sz w:val="24"/>
                <w:highlight w:val="none"/>
                <w:u w:val="none" w:color="auto"/>
              </w:rPr>
            </w:pPr>
            <w:r>
              <w:rPr>
                <w:rFonts w:hint="default" w:ascii="Times New Roman" w:hAnsi="Times New Roman" w:cs="Times New Roman"/>
                <w:b/>
                <w:bCs/>
                <w:color w:val="auto"/>
                <w:spacing w:val="-2"/>
                <w:sz w:val="24"/>
                <w:highlight w:val="none"/>
                <w:u w:val="none" w:color="auto"/>
              </w:rPr>
              <w:t>表</w:t>
            </w:r>
            <w:r>
              <w:rPr>
                <w:rFonts w:hint="eastAsia" w:cs="Times New Roman"/>
                <w:b/>
                <w:bCs/>
                <w:color w:val="auto"/>
                <w:spacing w:val="-2"/>
                <w:sz w:val="24"/>
                <w:highlight w:val="none"/>
                <w:u w:val="none" w:color="auto"/>
                <w:lang w:val="en-US" w:eastAsia="zh-CN"/>
              </w:rPr>
              <w:t>4-17</w:t>
            </w:r>
            <w:r>
              <w:rPr>
                <w:rFonts w:hint="default" w:ascii="Times New Roman" w:hAnsi="Times New Roman" w:cs="Times New Roman"/>
                <w:b/>
                <w:bCs/>
                <w:color w:val="auto"/>
                <w:spacing w:val="-2"/>
                <w:sz w:val="24"/>
                <w:highlight w:val="none"/>
                <w:u w:val="none" w:color="auto"/>
              </w:rPr>
              <w:t>固废产生及处理情况一览表</w:t>
            </w:r>
          </w:p>
          <w:tbl>
            <w:tblPr>
              <w:tblStyle w:val="44"/>
              <w:tblW w:w="7536" w:type="dxa"/>
              <w:tblInd w:w="11"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59"/>
              <w:gridCol w:w="499"/>
              <w:gridCol w:w="1589"/>
              <w:gridCol w:w="1267"/>
              <w:gridCol w:w="1271"/>
              <w:gridCol w:w="1038"/>
              <w:gridCol w:w="1413"/>
            </w:tblGrid>
            <w:tr w14:paraId="63C9224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459" w:type="dxa"/>
                  <w:tcBorders>
                    <w:tl2br w:val="nil"/>
                    <w:tr2bl w:val="nil"/>
                  </w:tcBorders>
                  <w:textDirection w:val="tbRlV"/>
                  <w:vAlign w:val="center"/>
                </w:tcPr>
                <w:p w14:paraId="310D4823">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序号</w:t>
                  </w:r>
                </w:p>
              </w:tc>
              <w:tc>
                <w:tcPr>
                  <w:tcW w:w="499" w:type="dxa"/>
                  <w:tcBorders>
                    <w:tl2br w:val="nil"/>
                    <w:tr2bl w:val="nil"/>
                  </w:tcBorders>
                  <w:textDirection w:val="tbRlV"/>
                  <w:vAlign w:val="center"/>
                </w:tcPr>
                <w:p w14:paraId="5B6E24EC">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分类</w:t>
                  </w:r>
                </w:p>
              </w:tc>
              <w:tc>
                <w:tcPr>
                  <w:tcW w:w="1589" w:type="dxa"/>
                  <w:tcBorders>
                    <w:tl2br w:val="nil"/>
                    <w:tr2bl w:val="nil"/>
                  </w:tcBorders>
                  <w:vAlign w:val="center"/>
                </w:tcPr>
                <w:p w14:paraId="5038891D">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固废名称</w:t>
                  </w:r>
                </w:p>
              </w:tc>
              <w:tc>
                <w:tcPr>
                  <w:tcW w:w="1267" w:type="dxa"/>
                  <w:tcBorders>
                    <w:tl2br w:val="nil"/>
                    <w:tr2bl w:val="nil"/>
                  </w:tcBorders>
                  <w:vAlign w:val="center"/>
                </w:tcPr>
                <w:p w14:paraId="40F08C5F">
                  <w:pPr>
                    <w:pStyle w:val="43"/>
                    <w:spacing w:line="219" w:lineRule="auto"/>
                    <w:jc w:val="center"/>
                    <w:rPr>
                      <w:rFonts w:hint="default" w:ascii="Times New Roman" w:hAnsi="Times New Roman" w:cs="Times New Roman"/>
                      <w:color w:val="auto"/>
                      <w:spacing w:val="2"/>
                      <w:sz w:val="21"/>
                      <w:szCs w:val="21"/>
                      <w:highlight w:val="none"/>
                      <w:u w:val="single" w:color="auto"/>
                      <w:lang w:eastAsia="zh-CN"/>
                    </w:rPr>
                  </w:pPr>
                  <w:r>
                    <w:rPr>
                      <w:rFonts w:hint="default" w:ascii="Times New Roman" w:hAnsi="Times New Roman" w:cs="Times New Roman"/>
                      <w:color w:val="auto"/>
                      <w:spacing w:val="2"/>
                      <w:sz w:val="21"/>
                      <w:szCs w:val="21"/>
                      <w:highlight w:val="none"/>
                      <w:u w:val="single" w:color="auto"/>
                      <w:lang w:eastAsia="zh-CN"/>
                    </w:rPr>
                    <w:t>固废代码</w:t>
                  </w:r>
                </w:p>
              </w:tc>
              <w:tc>
                <w:tcPr>
                  <w:tcW w:w="1271" w:type="dxa"/>
                  <w:tcBorders>
                    <w:tl2br w:val="nil"/>
                    <w:tr2bl w:val="nil"/>
                  </w:tcBorders>
                  <w:vAlign w:val="center"/>
                </w:tcPr>
                <w:p w14:paraId="61540481">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产污环节</w:t>
                  </w:r>
                </w:p>
              </w:tc>
              <w:tc>
                <w:tcPr>
                  <w:tcW w:w="1038" w:type="dxa"/>
                  <w:tcBorders>
                    <w:tl2br w:val="nil"/>
                    <w:tr2bl w:val="nil"/>
                  </w:tcBorders>
                  <w:vAlign w:val="center"/>
                </w:tcPr>
                <w:p w14:paraId="5C7D74FD">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产生量</w:t>
                  </w:r>
                  <w:r>
                    <w:rPr>
                      <w:rFonts w:hint="eastAsia" w:ascii="Times New Roman" w:hAnsi="Times New Roman" w:cs="Times New Roman"/>
                      <w:color w:val="auto"/>
                      <w:spacing w:val="2"/>
                      <w:sz w:val="21"/>
                      <w:szCs w:val="21"/>
                      <w:highlight w:val="none"/>
                      <w:u w:val="none" w:color="auto"/>
                      <w:lang w:eastAsia="zh-CN"/>
                    </w:rPr>
                    <w:t>（</w:t>
                  </w:r>
                  <w:r>
                    <w:rPr>
                      <w:rFonts w:hint="default" w:ascii="Times New Roman" w:hAnsi="Times New Roman" w:cs="Times New Roman"/>
                      <w:color w:val="auto"/>
                      <w:spacing w:val="2"/>
                      <w:sz w:val="21"/>
                      <w:szCs w:val="21"/>
                      <w:highlight w:val="none"/>
                      <w:u w:val="none" w:color="auto"/>
                      <w:lang w:eastAsia="zh-CN"/>
                    </w:rPr>
                    <w:t>t/a</w:t>
                  </w:r>
                  <w:r>
                    <w:rPr>
                      <w:rFonts w:hint="eastAsia" w:ascii="Times New Roman" w:hAnsi="Times New Roman" w:cs="Times New Roman"/>
                      <w:color w:val="auto"/>
                      <w:spacing w:val="2"/>
                      <w:sz w:val="21"/>
                      <w:szCs w:val="21"/>
                      <w:highlight w:val="none"/>
                      <w:u w:val="none" w:color="auto"/>
                      <w:lang w:eastAsia="zh-CN"/>
                    </w:rPr>
                    <w:t>）</w:t>
                  </w:r>
                </w:p>
              </w:tc>
              <w:tc>
                <w:tcPr>
                  <w:tcW w:w="1413" w:type="dxa"/>
                  <w:tcBorders>
                    <w:tl2br w:val="nil"/>
                    <w:tr2bl w:val="nil"/>
                  </w:tcBorders>
                  <w:vAlign w:val="center"/>
                </w:tcPr>
                <w:p w14:paraId="5CCEB75D">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处理方式和去向</w:t>
                  </w:r>
                </w:p>
              </w:tc>
            </w:tr>
            <w:tr w14:paraId="7D9189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459" w:type="dxa"/>
                  <w:tcBorders>
                    <w:tl2br w:val="nil"/>
                    <w:tr2bl w:val="nil"/>
                  </w:tcBorders>
                  <w:vAlign w:val="center"/>
                </w:tcPr>
                <w:p w14:paraId="7E6B3702">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1</w:t>
                  </w:r>
                </w:p>
              </w:tc>
              <w:tc>
                <w:tcPr>
                  <w:tcW w:w="499" w:type="dxa"/>
                  <w:vMerge w:val="restart"/>
                  <w:tcBorders>
                    <w:tl2br w:val="nil"/>
                    <w:tr2bl w:val="nil"/>
                  </w:tcBorders>
                  <w:textDirection w:val="tbLrV"/>
                  <w:vAlign w:val="center"/>
                </w:tcPr>
                <w:p w14:paraId="4FDCC46E">
                  <w:pPr>
                    <w:pStyle w:val="43"/>
                    <w:spacing w:line="219" w:lineRule="auto"/>
                    <w:ind w:left="113" w:right="113"/>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一般固废</w:t>
                  </w:r>
                </w:p>
              </w:tc>
              <w:tc>
                <w:tcPr>
                  <w:tcW w:w="1589" w:type="dxa"/>
                  <w:tcBorders>
                    <w:tl2br w:val="nil"/>
                    <w:tr2bl w:val="nil"/>
                  </w:tcBorders>
                  <w:vAlign w:val="center"/>
                </w:tcPr>
                <w:p w14:paraId="6C5E8AEB">
                  <w:pPr>
                    <w:pStyle w:val="43"/>
                    <w:spacing w:line="219" w:lineRule="auto"/>
                    <w:jc w:val="center"/>
                    <w:rPr>
                      <w:rFonts w:hint="default" w:ascii="Times New Roman" w:hAnsi="Times New Roman" w:eastAsia="宋体" w:cs="Times New Roman"/>
                      <w:color w:val="auto"/>
                      <w:spacing w:val="2"/>
                      <w:sz w:val="21"/>
                      <w:szCs w:val="21"/>
                      <w:highlight w:val="none"/>
                      <w:u w:val="none" w:color="auto"/>
                      <w:lang w:eastAsia="zh-CN"/>
                    </w:rPr>
                  </w:pPr>
                  <w:r>
                    <w:rPr>
                      <w:rFonts w:hint="default" w:ascii="Times New Roman" w:hAnsi="Times New Roman" w:eastAsia="宋体" w:cs="Times New Roman"/>
                      <w:color w:val="auto"/>
                      <w:spacing w:val="2"/>
                      <w:sz w:val="21"/>
                      <w:szCs w:val="21"/>
                      <w:highlight w:val="none"/>
                      <w:u w:val="none" w:color="auto"/>
                      <w:lang w:eastAsia="zh-CN"/>
                    </w:rPr>
                    <w:t>除尘</w:t>
                  </w:r>
                  <w:r>
                    <w:rPr>
                      <w:rFonts w:hint="default" w:ascii="Times New Roman" w:hAnsi="Times New Roman" w:eastAsia="宋体" w:cs="Times New Roman"/>
                      <w:color w:val="auto"/>
                      <w:spacing w:val="2"/>
                      <w:sz w:val="21"/>
                      <w:szCs w:val="21"/>
                      <w:highlight w:val="none"/>
                      <w:u w:val="none" w:color="auto"/>
                      <w:lang w:val="en-US" w:eastAsia="zh-CN"/>
                    </w:rPr>
                    <w:t>灰</w:t>
                  </w:r>
                </w:p>
              </w:tc>
              <w:tc>
                <w:tcPr>
                  <w:tcW w:w="1267" w:type="dxa"/>
                  <w:tcBorders>
                    <w:tl2br w:val="nil"/>
                    <w:tr2bl w:val="nil"/>
                  </w:tcBorders>
                  <w:vAlign w:val="center"/>
                </w:tcPr>
                <w:p w14:paraId="17A54BCC">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cs="Times New Roman"/>
                      <w:color w:val="auto"/>
                      <w:spacing w:val="2"/>
                      <w:sz w:val="21"/>
                      <w:szCs w:val="21"/>
                      <w:highlight w:val="none"/>
                      <w:u w:val="single" w:color="auto"/>
                      <w:lang w:val="en-US" w:eastAsia="zh-CN"/>
                    </w:rPr>
                    <w:t>SW59</w:t>
                  </w:r>
                </w:p>
                <w:p w14:paraId="75955800">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eastAsia="zh-CN"/>
                    </w:rPr>
                  </w:pPr>
                  <w:r>
                    <w:rPr>
                      <w:rFonts w:hint="eastAsia" w:ascii="Times New Roman" w:hAnsi="Times New Roman" w:eastAsia="宋体" w:cs="Times New Roman"/>
                      <w:color w:val="auto"/>
                      <w:spacing w:val="2"/>
                      <w:sz w:val="21"/>
                      <w:szCs w:val="21"/>
                      <w:highlight w:val="none"/>
                      <w:u w:val="single" w:color="auto"/>
                      <w:lang w:val="en-US" w:eastAsia="zh-CN"/>
                    </w:rPr>
                    <w:t>900-099-S59</w:t>
                  </w:r>
                </w:p>
              </w:tc>
              <w:tc>
                <w:tcPr>
                  <w:tcW w:w="1271" w:type="dxa"/>
                  <w:tcBorders>
                    <w:tl2br w:val="nil"/>
                    <w:tr2bl w:val="nil"/>
                  </w:tcBorders>
                  <w:vAlign w:val="center"/>
                </w:tcPr>
                <w:p w14:paraId="41C8F1B4">
                  <w:pPr>
                    <w:pStyle w:val="43"/>
                    <w:spacing w:line="219" w:lineRule="auto"/>
                    <w:jc w:val="center"/>
                    <w:rPr>
                      <w:rFonts w:hint="default" w:ascii="Times New Roman" w:hAnsi="Times New Roman" w:eastAsia="宋体" w:cs="Times New Roman"/>
                      <w:color w:val="auto"/>
                      <w:spacing w:val="2"/>
                      <w:sz w:val="21"/>
                      <w:szCs w:val="21"/>
                      <w:highlight w:val="none"/>
                      <w:u w:val="none" w:color="auto"/>
                      <w:lang w:eastAsia="zh-CN"/>
                    </w:rPr>
                  </w:pPr>
                  <w:r>
                    <w:rPr>
                      <w:rFonts w:hint="eastAsia" w:ascii="Times New Roman" w:hAnsi="Times New Roman" w:eastAsia="宋体" w:cs="Times New Roman"/>
                      <w:color w:val="auto"/>
                      <w:spacing w:val="2"/>
                      <w:sz w:val="21"/>
                      <w:szCs w:val="21"/>
                      <w:highlight w:val="none"/>
                      <w:u w:val="none" w:color="auto"/>
                      <w:lang w:val="en-US" w:eastAsia="zh-CN"/>
                    </w:rPr>
                    <w:t>袋式除尘器</w:t>
                  </w:r>
                </w:p>
              </w:tc>
              <w:tc>
                <w:tcPr>
                  <w:tcW w:w="1038" w:type="dxa"/>
                  <w:tcBorders>
                    <w:tl2br w:val="nil"/>
                    <w:tr2bl w:val="nil"/>
                  </w:tcBorders>
                  <w:vAlign w:val="center"/>
                </w:tcPr>
                <w:p w14:paraId="33A492A4">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cs="Times New Roman"/>
                      <w:i w:val="0"/>
                      <w:iCs w:val="0"/>
                      <w:color w:val="auto"/>
                      <w:spacing w:val="2"/>
                      <w:sz w:val="21"/>
                      <w:szCs w:val="21"/>
                      <w:highlight w:val="none"/>
                      <w:u w:val="single" w:color="auto"/>
                      <w:lang w:val="en-US" w:eastAsia="zh-CN"/>
                    </w:rPr>
                    <w:t>113.256</w:t>
                  </w:r>
                </w:p>
              </w:tc>
              <w:tc>
                <w:tcPr>
                  <w:tcW w:w="1413" w:type="dxa"/>
                  <w:tcBorders>
                    <w:tl2br w:val="nil"/>
                    <w:tr2bl w:val="nil"/>
                  </w:tcBorders>
                  <w:vAlign w:val="center"/>
                </w:tcPr>
                <w:p w14:paraId="721DD464">
                  <w:pPr>
                    <w:pStyle w:val="43"/>
                    <w:spacing w:line="219" w:lineRule="auto"/>
                    <w:jc w:val="center"/>
                    <w:rPr>
                      <w:rFonts w:hint="default" w:ascii="Times New Roman" w:hAnsi="Times New Roman" w:eastAsia="宋体" w:cs="Times New Roman"/>
                      <w:color w:val="auto"/>
                      <w:spacing w:val="2"/>
                      <w:sz w:val="21"/>
                      <w:szCs w:val="21"/>
                      <w:highlight w:val="none"/>
                      <w:u w:val="none" w:color="auto"/>
                      <w:lang w:eastAsia="zh-CN"/>
                    </w:rPr>
                  </w:pPr>
                  <w:r>
                    <w:rPr>
                      <w:rFonts w:hint="default" w:ascii="Times New Roman" w:hAnsi="Times New Roman" w:eastAsia="宋体" w:cs="Times New Roman"/>
                      <w:color w:val="auto"/>
                      <w:spacing w:val="2"/>
                      <w:sz w:val="21"/>
                      <w:szCs w:val="21"/>
                      <w:highlight w:val="none"/>
                      <w:u w:val="none" w:color="auto"/>
                      <w:lang w:val="en-US" w:eastAsia="zh-CN"/>
                    </w:rPr>
                    <w:t>外售用作肥料</w:t>
                  </w:r>
                </w:p>
              </w:tc>
            </w:tr>
            <w:tr w14:paraId="4F9F4B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459" w:type="dxa"/>
                  <w:tcBorders>
                    <w:tl2br w:val="nil"/>
                    <w:tr2bl w:val="nil"/>
                  </w:tcBorders>
                  <w:vAlign w:val="center"/>
                </w:tcPr>
                <w:p w14:paraId="4FB27225">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2</w:t>
                  </w:r>
                </w:p>
              </w:tc>
              <w:tc>
                <w:tcPr>
                  <w:tcW w:w="499" w:type="dxa"/>
                  <w:vMerge w:val="continue"/>
                  <w:tcBorders>
                    <w:tl2br w:val="nil"/>
                    <w:tr2bl w:val="nil"/>
                  </w:tcBorders>
                  <w:textDirection w:val="tbRlV"/>
                  <w:vAlign w:val="center"/>
                </w:tcPr>
                <w:p w14:paraId="786900FD">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p>
              </w:tc>
              <w:tc>
                <w:tcPr>
                  <w:tcW w:w="1589" w:type="dxa"/>
                  <w:tcBorders>
                    <w:tl2br w:val="nil"/>
                    <w:tr2bl w:val="nil"/>
                  </w:tcBorders>
                  <w:vAlign w:val="center"/>
                </w:tcPr>
                <w:p w14:paraId="6D654390">
                  <w:pPr>
                    <w:pStyle w:val="43"/>
                    <w:spacing w:line="219" w:lineRule="auto"/>
                    <w:jc w:val="center"/>
                    <w:rPr>
                      <w:rFonts w:hint="default" w:ascii="Times New Roman" w:hAnsi="Times New Roman" w:eastAsia="宋体" w:cs="Times New Roman"/>
                      <w:color w:val="auto"/>
                      <w:spacing w:val="2"/>
                      <w:sz w:val="21"/>
                      <w:szCs w:val="21"/>
                      <w:highlight w:val="none"/>
                      <w:u w:val="none" w:color="auto"/>
                      <w:lang w:eastAsia="zh-CN"/>
                    </w:rPr>
                  </w:pPr>
                  <w:r>
                    <w:rPr>
                      <w:rFonts w:hint="eastAsia" w:ascii="Times New Roman" w:hAnsi="Times New Roman" w:eastAsia="宋体" w:cs="Times New Roman"/>
                      <w:color w:val="auto"/>
                      <w:spacing w:val="2"/>
                      <w:sz w:val="21"/>
                      <w:szCs w:val="21"/>
                      <w:highlight w:val="none"/>
                      <w:u w:val="none" w:color="auto"/>
                      <w:lang w:val="en-US" w:eastAsia="zh-CN"/>
                    </w:rPr>
                    <w:t>炉渣</w:t>
                  </w:r>
                </w:p>
              </w:tc>
              <w:tc>
                <w:tcPr>
                  <w:tcW w:w="1267" w:type="dxa"/>
                  <w:tcBorders>
                    <w:tl2br w:val="nil"/>
                    <w:tr2bl w:val="nil"/>
                  </w:tcBorders>
                  <w:shd w:val="clear" w:color="auto" w:fill="auto"/>
                  <w:vAlign w:val="center"/>
                </w:tcPr>
                <w:p w14:paraId="418D86AC">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eastAsia="宋体" w:cs="Times New Roman"/>
                      <w:color w:val="auto"/>
                      <w:spacing w:val="2"/>
                      <w:sz w:val="21"/>
                      <w:szCs w:val="21"/>
                      <w:highlight w:val="none"/>
                      <w:u w:val="single" w:color="auto"/>
                      <w:lang w:val="en-US" w:eastAsia="zh-CN"/>
                    </w:rPr>
                    <w:t>SW03</w:t>
                  </w:r>
                </w:p>
                <w:p w14:paraId="3A0C7AE3">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default" w:ascii="Times New Roman" w:hAnsi="Times New Roman" w:eastAsia="宋体" w:cs="Times New Roman"/>
                      <w:color w:val="auto"/>
                      <w:spacing w:val="2"/>
                      <w:sz w:val="21"/>
                      <w:szCs w:val="21"/>
                      <w:highlight w:val="none"/>
                      <w:u w:val="single" w:color="auto"/>
                      <w:lang w:val="en-US" w:eastAsia="zh-CN"/>
                    </w:rPr>
                    <w:t>900-099-S03</w:t>
                  </w:r>
                </w:p>
              </w:tc>
              <w:tc>
                <w:tcPr>
                  <w:tcW w:w="1271" w:type="dxa"/>
                  <w:tcBorders>
                    <w:tl2br w:val="nil"/>
                    <w:tr2bl w:val="nil"/>
                  </w:tcBorders>
                  <w:vAlign w:val="center"/>
                </w:tcPr>
                <w:p w14:paraId="24317DD0">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none" w:color="auto"/>
                      <w:lang w:val="en-US" w:eastAsia="zh-CN"/>
                    </w:rPr>
                    <w:t>热风炉</w:t>
                  </w:r>
                </w:p>
              </w:tc>
              <w:tc>
                <w:tcPr>
                  <w:tcW w:w="1038" w:type="dxa"/>
                  <w:tcBorders>
                    <w:tl2br w:val="nil"/>
                    <w:tr2bl w:val="nil"/>
                  </w:tcBorders>
                  <w:vAlign w:val="center"/>
                </w:tcPr>
                <w:p w14:paraId="49EAB58C">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cs="Times New Roman"/>
                      <w:color w:val="auto"/>
                      <w:spacing w:val="2"/>
                      <w:sz w:val="21"/>
                      <w:szCs w:val="21"/>
                      <w:highlight w:val="yellow"/>
                      <w:u w:val="single" w:color="auto"/>
                      <w:lang w:val="en-US" w:eastAsia="zh-CN"/>
                    </w:rPr>
                    <w:t>96.104</w:t>
                  </w:r>
                </w:p>
              </w:tc>
              <w:tc>
                <w:tcPr>
                  <w:tcW w:w="1413" w:type="dxa"/>
                  <w:tcBorders>
                    <w:tl2br w:val="nil"/>
                    <w:tr2bl w:val="nil"/>
                  </w:tcBorders>
                  <w:vAlign w:val="center"/>
                </w:tcPr>
                <w:p w14:paraId="71632E33">
                  <w:pPr>
                    <w:pStyle w:val="43"/>
                    <w:spacing w:line="219" w:lineRule="auto"/>
                    <w:jc w:val="center"/>
                    <w:rPr>
                      <w:rFonts w:hint="default" w:ascii="Times New Roman" w:hAnsi="Times New Roman" w:eastAsia="宋体" w:cs="Times New Roman"/>
                      <w:color w:val="auto"/>
                      <w:spacing w:val="2"/>
                      <w:sz w:val="21"/>
                      <w:szCs w:val="21"/>
                      <w:highlight w:val="none"/>
                      <w:u w:val="none" w:color="auto"/>
                      <w:lang w:eastAsia="zh-CN"/>
                    </w:rPr>
                  </w:pPr>
                  <w:r>
                    <w:rPr>
                      <w:rFonts w:hint="default" w:ascii="Times New Roman" w:hAnsi="Times New Roman" w:eastAsia="宋体" w:cs="Times New Roman"/>
                      <w:color w:val="auto"/>
                      <w:spacing w:val="2"/>
                      <w:sz w:val="21"/>
                      <w:szCs w:val="21"/>
                      <w:highlight w:val="none"/>
                      <w:u w:val="none" w:color="auto"/>
                      <w:lang w:val="en-US" w:eastAsia="zh-CN"/>
                    </w:rPr>
                    <w:t>外售用作肥料</w:t>
                  </w:r>
                </w:p>
              </w:tc>
            </w:tr>
            <w:tr w14:paraId="718FE3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459" w:type="dxa"/>
                  <w:tcBorders>
                    <w:tl2br w:val="nil"/>
                    <w:tr2bl w:val="nil"/>
                  </w:tcBorders>
                  <w:vAlign w:val="center"/>
                </w:tcPr>
                <w:p w14:paraId="7433A030">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3</w:t>
                  </w:r>
                </w:p>
              </w:tc>
              <w:tc>
                <w:tcPr>
                  <w:tcW w:w="499" w:type="dxa"/>
                  <w:vMerge w:val="continue"/>
                  <w:tcBorders>
                    <w:tl2br w:val="nil"/>
                    <w:tr2bl w:val="nil"/>
                  </w:tcBorders>
                  <w:textDirection w:val="tbRlV"/>
                  <w:vAlign w:val="center"/>
                </w:tcPr>
                <w:p w14:paraId="47B0FCFA">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p>
              </w:tc>
              <w:tc>
                <w:tcPr>
                  <w:tcW w:w="1589" w:type="dxa"/>
                  <w:tcBorders>
                    <w:tl2br w:val="nil"/>
                    <w:tr2bl w:val="nil"/>
                  </w:tcBorders>
                  <w:vAlign w:val="center"/>
                </w:tcPr>
                <w:p w14:paraId="56B68F65">
                  <w:pPr>
                    <w:pStyle w:val="43"/>
                    <w:spacing w:line="219" w:lineRule="auto"/>
                    <w:jc w:val="center"/>
                    <w:rPr>
                      <w:rFonts w:hint="default" w:ascii="Times New Roman" w:hAnsi="Times New Roman" w:eastAsia="宋体" w:cs="Times New Roman"/>
                      <w:color w:val="auto"/>
                      <w:spacing w:val="2"/>
                      <w:sz w:val="21"/>
                      <w:szCs w:val="21"/>
                      <w:highlight w:val="none"/>
                      <w:u w:val="none" w:color="auto"/>
                      <w:lang w:eastAsia="zh-CN"/>
                    </w:rPr>
                  </w:pPr>
                  <w:r>
                    <w:rPr>
                      <w:rFonts w:hint="eastAsia" w:ascii="Times New Roman" w:hAnsi="Times New Roman" w:eastAsia="宋体" w:cs="Times New Roman"/>
                      <w:color w:val="auto"/>
                      <w:spacing w:val="2"/>
                      <w:sz w:val="21"/>
                      <w:szCs w:val="21"/>
                      <w:highlight w:val="none"/>
                      <w:u w:val="none" w:color="auto"/>
                      <w:lang w:eastAsia="zh-CN"/>
                    </w:rPr>
                    <w:t>废布袋</w:t>
                  </w:r>
                </w:p>
              </w:tc>
              <w:tc>
                <w:tcPr>
                  <w:tcW w:w="1267" w:type="dxa"/>
                  <w:tcBorders>
                    <w:tl2br w:val="nil"/>
                    <w:tr2bl w:val="nil"/>
                  </w:tcBorders>
                  <w:vAlign w:val="center"/>
                </w:tcPr>
                <w:p w14:paraId="5E3CB4B0">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cs="Times New Roman"/>
                      <w:color w:val="auto"/>
                      <w:spacing w:val="2"/>
                      <w:sz w:val="21"/>
                      <w:szCs w:val="21"/>
                      <w:highlight w:val="none"/>
                      <w:u w:val="single" w:color="auto"/>
                      <w:lang w:val="en-US" w:eastAsia="zh-CN"/>
                    </w:rPr>
                    <w:t>SW59</w:t>
                  </w:r>
                </w:p>
                <w:p w14:paraId="1A13D828">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eastAsia="zh-CN"/>
                    </w:rPr>
                  </w:pPr>
                  <w:r>
                    <w:rPr>
                      <w:rFonts w:hint="default" w:ascii="Times New Roman" w:hAnsi="Times New Roman" w:eastAsia="宋体" w:cs="Times New Roman"/>
                      <w:color w:val="auto"/>
                      <w:spacing w:val="2"/>
                      <w:sz w:val="21"/>
                      <w:szCs w:val="21"/>
                      <w:highlight w:val="none"/>
                      <w:u w:val="single" w:color="auto"/>
                      <w:lang w:eastAsia="zh-CN"/>
                    </w:rPr>
                    <w:t>900-009-S59</w:t>
                  </w:r>
                </w:p>
              </w:tc>
              <w:tc>
                <w:tcPr>
                  <w:tcW w:w="1271" w:type="dxa"/>
                  <w:tcBorders>
                    <w:tl2br w:val="nil"/>
                    <w:tr2bl w:val="nil"/>
                  </w:tcBorders>
                  <w:vAlign w:val="center"/>
                </w:tcPr>
                <w:p w14:paraId="3367A058">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none" w:color="auto"/>
                      <w:lang w:val="en-US" w:eastAsia="zh-CN"/>
                    </w:rPr>
                    <w:t>袋式除尘器</w:t>
                  </w:r>
                </w:p>
              </w:tc>
              <w:tc>
                <w:tcPr>
                  <w:tcW w:w="1038" w:type="dxa"/>
                  <w:tcBorders>
                    <w:tl2br w:val="nil"/>
                    <w:tr2bl w:val="nil"/>
                  </w:tcBorders>
                  <w:vAlign w:val="center"/>
                </w:tcPr>
                <w:p w14:paraId="09B4F283">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none" w:color="auto"/>
                      <w:lang w:val="en-US" w:eastAsia="zh-CN"/>
                    </w:rPr>
                    <w:t>0.1</w:t>
                  </w:r>
                </w:p>
              </w:tc>
              <w:tc>
                <w:tcPr>
                  <w:tcW w:w="1413" w:type="dxa"/>
                  <w:tcBorders>
                    <w:tl2br w:val="nil"/>
                    <w:tr2bl w:val="nil"/>
                  </w:tcBorders>
                  <w:vAlign w:val="center"/>
                </w:tcPr>
                <w:p w14:paraId="2AEF146A">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cs="Times New Roman"/>
                      <w:color w:val="auto"/>
                      <w:spacing w:val="2"/>
                      <w:sz w:val="21"/>
                      <w:szCs w:val="21"/>
                      <w:highlight w:val="none"/>
                      <w:u w:val="none" w:color="auto"/>
                      <w:lang w:val="en-US" w:eastAsia="zh-CN"/>
                    </w:rPr>
                    <w:t>更换后由厂家回收</w:t>
                  </w:r>
                </w:p>
              </w:tc>
            </w:tr>
            <w:tr w14:paraId="1C52D0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459" w:type="dxa"/>
                  <w:tcBorders>
                    <w:tl2br w:val="nil"/>
                    <w:tr2bl w:val="nil"/>
                  </w:tcBorders>
                  <w:vAlign w:val="center"/>
                </w:tcPr>
                <w:p w14:paraId="19D26F8F">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r>
                    <w:rPr>
                      <w:rFonts w:hint="default" w:ascii="Times New Roman" w:hAnsi="Times New Roman" w:cs="Times New Roman"/>
                      <w:color w:val="auto"/>
                      <w:spacing w:val="2"/>
                      <w:sz w:val="21"/>
                      <w:szCs w:val="21"/>
                      <w:highlight w:val="none"/>
                      <w:u w:val="none" w:color="auto"/>
                      <w:lang w:eastAsia="zh-CN"/>
                    </w:rPr>
                    <w:t>4</w:t>
                  </w:r>
                </w:p>
              </w:tc>
              <w:tc>
                <w:tcPr>
                  <w:tcW w:w="499" w:type="dxa"/>
                  <w:vMerge w:val="continue"/>
                  <w:tcBorders>
                    <w:tl2br w:val="nil"/>
                    <w:tr2bl w:val="nil"/>
                  </w:tcBorders>
                  <w:textDirection w:val="tbRlV"/>
                  <w:vAlign w:val="center"/>
                </w:tcPr>
                <w:p w14:paraId="2010D3A2">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p>
              </w:tc>
              <w:tc>
                <w:tcPr>
                  <w:tcW w:w="1589" w:type="dxa"/>
                  <w:tcBorders>
                    <w:tl2br w:val="nil"/>
                    <w:tr2bl w:val="nil"/>
                  </w:tcBorders>
                  <w:shd w:val="clear" w:color="auto" w:fill="auto"/>
                  <w:vAlign w:val="center"/>
                </w:tcPr>
                <w:p w14:paraId="62076EC5">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default" w:ascii="Times New Roman" w:hAnsi="Times New Roman" w:eastAsia="宋体" w:cs="Times New Roman"/>
                      <w:color w:val="auto"/>
                      <w:spacing w:val="2"/>
                      <w:sz w:val="21"/>
                      <w:szCs w:val="21"/>
                      <w:highlight w:val="none"/>
                      <w:u w:val="none" w:color="auto"/>
                      <w:lang w:val="en-US" w:eastAsia="zh-CN"/>
                    </w:rPr>
                    <w:t>生活垃圾</w:t>
                  </w:r>
                </w:p>
              </w:tc>
              <w:tc>
                <w:tcPr>
                  <w:tcW w:w="1267" w:type="dxa"/>
                  <w:tcBorders>
                    <w:tl2br w:val="nil"/>
                    <w:tr2bl w:val="nil"/>
                  </w:tcBorders>
                  <w:shd w:val="clear" w:color="auto" w:fill="auto"/>
                  <w:vAlign w:val="center"/>
                </w:tcPr>
                <w:p w14:paraId="5A776761">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eastAsia="宋体" w:cs="Times New Roman"/>
                      <w:color w:val="auto"/>
                      <w:spacing w:val="2"/>
                      <w:sz w:val="21"/>
                      <w:szCs w:val="21"/>
                      <w:highlight w:val="none"/>
                      <w:u w:val="single" w:color="auto"/>
                      <w:lang w:val="en-US" w:eastAsia="zh-CN"/>
                    </w:rPr>
                    <w:t>/</w:t>
                  </w:r>
                </w:p>
              </w:tc>
              <w:tc>
                <w:tcPr>
                  <w:tcW w:w="1271" w:type="dxa"/>
                  <w:tcBorders>
                    <w:tl2br w:val="nil"/>
                    <w:tr2bl w:val="nil"/>
                  </w:tcBorders>
                  <w:shd w:val="clear" w:color="auto" w:fill="auto"/>
                  <w:vAlign w:val="center"/>
                </w:tcPr>
                <w:p w14:paraId="3184AC49">
                  <w:pPr>
                    <w:pStyle w:val="43"/>
                    <w:spacing w:line="219" w:lineRule="auto"/>
                    <w:jc w:val="center"/>
                    <w:rPr>
                      <w:rFonts w:hint="eastAsia"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none" w:color="auto"/>
                      <w:lang w:val="en-US" w:eastAsia="zh-CN"/>
                    </w:rPr>
                    <w:t>职工</w:t>
                  </w:r>
                </w:p>
              </w:tc>
              <w:tc>
                <w:tcPr>
                  <w:tcW w:w="1038" w:type="dxa"/>
                  <w:tcBorders>
                    <w:tl2br w:val="nil"/>
                    <w:tr2bl w:val="nil"/>
                  </w:tcBorders>
                  <w:shd w:val="clear" w:color="auto" w:fill="auto"/>
                  <w:vAlign w:val="center"/>
                </w:tcPr>
                <w:p w14:paraId="09226501">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none" w:color="auto"/>
                      <w:lang w:val="en-US" w:eastAsia="zh-CN"/>
                    </w:rPr>
                    <w:t>0.25</w:t>
                  </w:r>
                </w:p>
              </w:tc>
              <w:tc>
                <w:tcPr>
                  <w:tcW w:w="1413" w:type="dxa"/>
                  <w:tcBorders>
                    <w:tl2br w:val="nil"/>
                    <w:tr2bl w:val="nil"/>
                  </w:tcBorders>
                  <w:shd w:val="clear" w:color="auto" w:fill="auto"/>
                  <w:vAlign w:val="center"/>
                </w:tcPr>
                <w:p w14:paraId="2121B641">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default" w:ascii="Times New Roman" w:hAnsi="Times New Roman" w:eastAsia="宋体" w:cs="Times New Roman"/>
                      <w:color w:val="auto"/>
                      <w:spacing w:val="2"/>
                      <w:sz w:val="21"/>
                      <w:szCs w:val="21"/>
                      <w:highlight w:val="none"/>
                      <w:u w:val="none" w:color="auto"/>
                      <w:lang w:eastAsia="zh-CN"/>
                    </w:rPr>
                    <w:t>环卫部门集中处置</w:t>
                  </w:r>
                </w:p>
              </w:tc>
            </w:tr>
            <w:tr w14:paraId="2C6F2A8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459" w:type="dxa"/>
                  <w:tcBorders>
                    <w:tl2br w:val="nil"/>
                    <w:tr2bl w:val="nil"/>
                  </w:tcBorders>
                  <w:vAlign w:val="center"/>
                </w:tcPr>
                <w:p w14:paraId="7FF58B62">
                  <w:pPr>
                    <w:pStyle w:val="43"/>
                    <w:spacing w:line="219" w:lineRule="auto"/>
                    <w:jc w:val="center"/>
                    <w:rPr>
                      <w:rFonts w:hint="default" w:ascii="Times New Roman" w:hAnsi="Times New Roman" w:cs="Times New Roman"/>
                      <w:color w:val="auto"/>
                      <w:spacing w:val="2"/>
                      <w:sz w:val="21"/>
                      <w:szCs w:val="21"/>
                      <w:highlight w:val="none"/>
                      <w:u w:val="none" w:color="auto"/>
                      <w:lang w:val="en-US" w:eastAsia="zh-CN"/>
                    </w:rPr>
                  </w:pPr>
                  <w:r>
                    <w:rPr>
                      <w:rFonts w:hint="eastAsia" w:ascii="Times New Roman" w:hAnsi="Times New Roman" w:cs="Times New Roman"/>
                      <w:color w:val="auto"/>
                      <w:spacing w:val="2"/>
                      <w:sz w:val="21"/>
                      <w:szCs w:val="21"/>
                      <w:highlight w:val="none"/>
                      <w:u w:val="none" w:color="auto"/>
                      <w:lang w:val="en-US" w:eastAsia="zh-CN"/>
                    </w:rPr>
                    <w:t>5</w:t>
                  </w:r>
                </w:p>
              </w:tc>
              <w:tc>
                <w:tcPr>
                  <w:tcW w:w="499" w:type="dxa"/>
                  <w:vMerge w:val="continue"/>
                  <w:tcBorders>
                    <w:tl2br w:val="nil"/>
                    <w:tr2bl w:val="nil"/>
                  </w:tcBorders>
                  <w:textDirection w:val="tbRlV"/>
                  <w:vAlign w:val="center"/>
                </w:tcPr>
                <w:p w14:paraId="68AF141B">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p>
              </w:tc>
              <w:tc>
                <w:tcPr>
                  <w:tcW w:w="1589" w:type="dxa"/>
                  <w:tcBorders>
                    <w:tl2br w:val="nil"/>
                    <w:tr2bl w:val="nil"/>
                  </w:tcBorders>
                  <w:shd w:val="clear" w:color="auto" w:fill="auto"/>
                  <w:vAlign w:val="center"/>
                </w:tcPr>
                <w:p w14:paraId="1904FBD3">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default" w:ascii="Times New Roman" w:hAnsi="Times New Roman" w:eastAsia="宋体" w:cs="Times New Roman"/>
                      <w:color w:val="auto"/>
                      <w:spacing w:val="2"/>
                      <w:sz w:val="21"/>
                      <w:szCs w:val="21"/>
                      <w:highlight w:val="none"/>
                      <w:u w:val="none" w:color="auto"/>
                      <w:lang w:eastAsia="zh-CN"/>
                    </w:rPr>
                    <w:t>原粮杂质</w:t>
                  </w:r>
                </w:p>
              </w:tc>
              <w:tc>
                <w:tcPr>
                  <w:tcW w:w="1267" w:type="dxa"/>
                  <w:tcBorders>
                    <w:tl2br w:val="nil"/>
                    <w:tr2bl w:val="nil"/>
                  </w:tcBorders>
                  <w:shd w:val="clear" w:color="auto" w:fill="auto"/>
                  <w:vAlign w:val="center"/>
                </w:tcPr>
                <w:p w14:paraId="5A291457">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cs="Times New Roman"/>
                      <w:color w:val="auto"/>
                      <w:spacing w:val="2"/>
                      <w:sz w:val="21"/>
                      <w:szCs w:val="21"/>
                      <w:highlight w:val="none"/>
                      <w:u w:val="single" w:color="auto"/>
                      <w:lang w:val="en-US" w:eastAsia="zh-CN"/>
                    </w:rPr>
                    <w:t>SW59</w:t>
                  </w:r>
                </w:p>
                <w:p w14:paraId="30699917">
                  <w:pPr>
                    <w:pStyle w:val="43"/>
                    <w:spacing w:line="219" w:lineRule="auto"/>
                    <w:jc w:val="center"/>
                    <w:rPr>
                      <w:rFonts w:hint="eastAsia" w:ascii="Times New Roman" w:hAnsi="Times New Roman" w:eastAsia="宋体" w:cs="Times New Roman"/>
                      <w:color w:val="auto"/>
                      <w:spacing w:val="2"/>
                      <w:sz w:val="21"/>
                      <w:szCs w:val="21"/>
                      <w:highlight w:val="none"/>
                      <w:u w:val="single" w:color="auto"/>
                      <w:lang w:val="en-US" w:eastAsia="zh-CN"/>
                    </w:rPr>
                  </w:pPr>
                  <w:r>
                    <w:rPr>
                      <w:rFonts w:hint="default" w:ascii="Times New Roman" w:hAnsi="Times New Roman" w:eastAsia="宋体" w:cs="Times New Roman"/>
                      <w:color w:val="auto"/>
                      <w:spacing w:val="2"/>
                      <w:sz w:val="21"/>
                      <w:szCs w:val="21"/>
                      <w:highlight w:val="none"/>
                      <w:u w:val="single" w:color="auto"/>
                      <w:lang w:eastAsia="zh-CN"/>
                    </w:rPr>
                    <w:t>900-099-S59</w:t>
                  </w:r>
                </w:p>
              </w:tc>
              <w:tc>
                <w:tcPr>
                  <w:tcW w:w="1271" w:type="dxa"/>
                  <w:tcBorders>
                    <w:tl2br w:val="nil"/>
                    <w:tr2bl w:val="nil"/>
                  </w:tcBorders>
                  <w:shd w:val="clear" w:color="auto" w:fill="auto"/>
                  <w:vAlign w:val="center"/>
                </w:tcPr>
                <w:p w14:paraId="26E9FB4E">
                  <w:pPr>
                    <w:pStyle w:val="43"/>
                    <w:spacing w:line="219" w:lineRule="auto"/>
                    <w:jc w:val="center"/>
                    <w:rPr>
                      <w:rFonts w:hint="eastAsia" w:ascii="Times New Roman" w:hAnsi="Times New Roman" w:eastAsia="宋体" w:cs="Times New Roman"/>
                      <w:color w:val="auto"/>
                      <w:spacing w:val="2"/>
                      <w:sz w:val="21"/>
                      <w:szCs w:val="21"/>
                      <w:highlight w:val="none"/>
                      <w:u w:val="none" w:color="auto"/>
                      <w:lang w:val="en-US" w:eastAsia="zh-CN"/>
                    </w:rPr>
                  </w:pPr>
                  <w:r>
                    <w:rPr>
                      <w:rFonts w:hint="default" w:ascii="Times New Roman" w:hAnsi="Times New Roman" w:eastAsia="宋体" w:cs="Times New Roman"/>
                      <w:color w:val="auto"/>
                      <w:spacing w:val="2"/>
                      <w:sz w:val="21"/>
                      <w:szCs w:val="21"/>
                      <w:highlight w:val="none"/>
                      <w:u w:val="none" w:color="auto"/>
                      <w:lang w:eastAsia="zh-CN"/>
                    </w:rPr>
                    <w:t>筛分</w:t>
                  </w:r>
                  <w:r>
                    <w:rPr>
                      <w:rFonts w:hint="eastAsia" w:ascii="Times New Roman" w:hAnsi="Times New Roman" w:cs="Times New Roman"/>
                      <w:color w:val="auto"/>
                      <w:spacing w:val="2"/>
                      <w:sz w:val="21"/>
                      <w:szCs w:val="21"/>
                      <w:highlight w:val="none"/>
                      <w:u w:val="none" w:color="auto"/>
                      <w:lang w:eastAsia="zh-CN"/>
                    </w:rPr>
                    <w:t>、装卸</w:t>
                  </w:r>
                </w:p>
              </w:tc>
              <w:tc>
                <w:tcPr>
                  <w:tcW w:w="1038" w:type="dxa"/>
                  <w:tcBorders>
                    <w:tl2br w:val="nil"/>
                    <w:tr2bl w:val="nil"/>
                  </w:tcBorders>
                  <w:shd w:val="clear" w:color="auto" w:fill="auto"/>
                  <w:vAlign w:val="center"/>
                </w:tcPr>
                <w:p w14:paraId="3CC82D69">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cs="Times New Roman"/>
                      <w:color w:val="auto"/>
                      <w:spacing w:val="2"/>
                      <w:sz w:val="21"/>
                      <w:szCs w:val="21"/>
                      <w:highlight w:val="none"/>
                      <w:u w:val="single" w:color="auto"/>
                      <w:lang w:val="en-US" w:eastAsia="zh-CN"/>
                    </w:rPr>
                    <w:t>1.014</w:t>
                  </w:r>
                </w:p>
              </w:tc>
              <w:tc>
                <w:tcPr>
                  <w:tcW w:w="1413" w:type="dxa"/>
                  <w:tcBorders>
                    <w:tl2br w:val="nil"/>
                    <w:tr2bl w:val="nil"/>
                  </w:tcBorders>
                  <w:shd w:val="clear" w:color="auto" w:fill="auto"/>
                  <w:vAlign w:val="center"/>
                </w:tcPr>
                <w:p w14:paraId="3B2984CF">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none" w:color="auto"/>
                      <w:lang w:val="en-US" w:eastAsia="zh-CN"/>
                    </w:rPr>
                    <w:t>外售用作饲料</w:t>
                  </w:r>
                </w:p>
              </w:tc>
            </w:tr>
            <w:tr w14:paraId="437435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459" w:type="dxa"/>
                  <w:tcBorders>
                    <w:tl2br w:val="nil"/>
                    <w:tr2bl w:val="nil"/>
                  </w:tcBorders>
                  <w:vAlign w:val="center"/>
                </w:tcPr>
                <w:p w14:paraId="742B102E">
                  <w:pPr>
                    <w:pStyle w:val="43"/>
                    <w:spacing w:line="219" w:lineRule="auto"/>
                    <w:jc w:val="center"/>
                    <w:rPr>
                      <w:rFonts w:hint="default" w:ascii="Times New Roman" w:hAnsi="Times New Roman" w:cs="Times New Roman"/>
                      <w:color w:val="auto"/>
                      <w:spacing w:val="2"/>
                      <w:sz w:val="21"/>
                      <w:szCs w:val="21"/>
                      <w:highlight w:val="none"/>
                      <w:u w:val="none" w:color="auto"/>
                      <w:lang w:val="en-US" w:eastAsia="zh-CN"/>
                    </w:rPr>
                  </w:pPr>
                  <w:r>
                    <w:rPr>
                      <w:rFonts w:hint="eastAsia" w:ascii="Times New Roman" w:hAnsi="Times New Roman" w:cs="Times New Roman"/>
                      <w:color w:val="auto"/>
                      <w:spacing w:val="2"/>
                      <w:sz w:val="21"/>
                      <w:szCs w:val="21"/>
                      <w:highlight w:val="none"/>
                      <w:u w:val="none" w:color="auto"/>
                      <w:lang w:val="en-US" w:eastAsia="zh-CN"/>
                    </w:rPr>
                    <w:t>6</w:t>
                  </w:r>
                </w:p>
              </w:tc>
              <w:tc>
                <w:tcPr>
                  <w:tcW w:w="499" w:type="dxa"/>
                  <w:vMerge w:val="continue"/>
                  <w:tcBorders>
                    <w:tl2br w:val="nil"/>
                    <w:tr2bl w:val="nil"/>
                  </w:tcBorders>
                  <w:textDirection w:val="tbRlV"/>
                  <w:vAlign w:val="center"/>
                </w:tcPr>
                <w:p w14:paraId="1C60591D">
                  <w:pPr>
                    <w:pStyle w:val="43"/>
                    <w:spacing w:line="219" w:lineRule="auto"/>
                    <w:jc w:val="center"/>
                    <w:rPr>
                      <w:rFonts w:hint="default" w:ascii="Times New Roman" w:hAnsi="Times New Roman" w:cs="Times New Roman"/>
                      <w:color w:val="auto"/>
                      <w:spacing w:val="2"/>
                      <w:sz w:val="21"/>
                      <w:szCs w:val="21"/>
                      <w:highlight w:val="none"/>
                      <w:u w:val="none" w:color="auto"/>
                      <w:lang w:eastAsia="zh-CN"/>
                    </w:rPr>
                  </w:pPr>
                </w:p>
              </w:tc>
              <w:tc>
                <w:tcPr>
                  <w:tcW w:w="1589" w:type="dxa"/>
                  <w:tcBorders>
                    <w:tl2br w:val="nil"/>
                    <w:tr2bl w:val="nil"/>
                  </w:tcBorders>
                  <w:shd w:val="clear" w:color="auto" w:fill="auto"/>
                  <w:vAlign w:val="center"/>
                </w:tcPr>
                <w:p w14:paraId="13FB50A9">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none" w:color="auto"/>
                      <w:lang w:eastAsia="zh-CN"/>
                    </w:rPr>
                    <w:t>烘干截留粉尘</w:t>
                  </w:r>
                </w:p>
              </w:tc>
              <w:tc>
                <w:tcPr>
                  <w:tcW w:w="1267" w:type="dxa"/>
                  <w:tcBorders>
                    <w:tl2br w:val="nil"/>
                    <w:tr2bl w:val="nil"/>
                  </w:tcBorders>
                  <w:shd w:val="clear" w:color="auto" w:fill="auto"/>
                  <w:vAlign w:val="center"/>
                </w:tcPr>
                <w:p w14:paraId="33915507">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cs="Times New Roman"/>
                      <w:color w:val="auto"/>
                      <w:spacing w:val="2"/>
                      <w:sz w:val="21"/>
                      <w:szCs w:val="21"/>
                      <w:highlight w:val="none"/>
                      <w:u w:val="single" w:color="auto"/>
                      <w:lang w:val="en-US" w:eastAsia="zh-CN"/>
                    </w:rPr>
                    <w:t>SW59</w:t>
                  </w:r>
                </w:p>
                <w:p w14:paraId="79D89FA0">
                  <w:pPr>
                    <w:pStyle w:val="43"/>
                    <w:spacing w:line="219" w:lineRule="auto"/>
                    <w:jc w:val="center"/>
                    <w:rPr>
                      <w:rFonts w:hint="eastAsia" w:ascii="Times New Roman" w:hAnsi="Times New Roman" w:eastAsia="宋体" w:cs="Times New Roman"/>
                      <w:color w:val="auto"/>
                      <w:spacing w:val="2"/>
                      <w:sz w:val="21"/>
                      <w:szCs w:val="21"/>
                      <w:highlight w:val="none"/>
                      <w:u w:val="single" w:color="auto"/>
                      <w:lang w:val="en-US" w:eastAsia="zh-CN"/>
                    </w:rPr>
                  </w:pPr>
                  <w:r>
                    <w:rPr>
                      <w:rFonts w:hint="default" w:ascii="Times New Roman" w:hAnsi="Times New Roman" w:eastAsia="宋体" w:cs="Times New Roman"/>
                      <w:color w:val="auto"/>
                      <w:spacing w:val="2"/>
                      <w:sz w:val="21"/>
                      <w:szCs w:val="21"/>
                      <w:highlight w:val="none"/>
                      <w:u w:val="single" w:color="auto"/>
                      <w:lang w:eastAsia="zh-CN"/>
                    </w:rPr>
                    <w:t>900-099-S59</w:t>
                  </w:r>
                </w:p>
              </w:tc>
              <w:tc>
                <w:tcPr>
                  <w:tcW w:w="1271" w:type="dxa"/>
                  <w:tcBorders>
                    <w:tl2br w:val="nil"/>
                    <w:tr2bl w:val="nil"/>
                  </w:tcBorders>
                  <w:shd w:val="clear" w:color="auto" w:fill="auto"/>
                  <w:vAlign w:val="center"/>
                </w:tcPr>
                <w:p w14:paraId="55A41C96">
                  <w:pPr>
                    <w:pStyle w:val="43"/>
                    <w:spacing w:line="219" w:lineRule="auto"/>
                    <w:jc w:val="center"/>
                    <w:rPr>
                      <w:rFonts w:hint="default"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none" w:color="auto"/>
                      <w:lang w:val="en-US" w:eastAsia="zh-CN"/>
                    </w:rPr>
                    <w:t>烘干</w:t>
                  </w:r>
                </w:p>
              </w:tc>
              <w:tc>
                <w:tcPr>
                  <w:tcW w:w="1038" w:type="dxa"/>
                  <w:tcBorders>
                    <w:tl2br w:val="nil"/>
                    <w:tr2bl w:val="nil"/>
                  </w:tcBorders>
                  <w:shd w:val="clear" w:color="auto" w:fill="auto"/>
                  <w:vAlign w:val="center"/>
                </w:tcPr>
                <w:p w14:paraId="5608532D">
                  <w:pPr>
                    <w:pStyle w:val="43"/>
                    <w:spacing w:line="219" w:lineRule="auto"/>
                    <w:jc w:val="center"/>
                    <w:rPr>
                      <w:rFonts w:hint="default" w:ascii="Times New Roman" w:hAnsi="Times New Roman" w:eastAsia="宋体" w:cs="Times New Roman"/>
                      <w:color w:val="auto"/>
                      <w:spacing w:val="2"/>
                      <w:sz w:val="21"/>
                      <w:szCs w:val="21"/>
                      <w:highlight w:val="none"/>
                      <w:u w:val="single" w:color="auto"/>
                      <w:lang w:val="en-US" w:eastAsia="zh-CN"/>
                    </w:rPr>
                  </w:pPr>
                  <w:r>
                    <w:rPr>
                      <w:rFonts w:hint="eastAsia" w:ascii="Times New Roman" w:hAnsi="Times New Roman" w:cs="Times New Roman"/>
                      <w:color w:val="auto"/>
                      <w:spacing w:val="2"/>
                      <w:sz w:val="21"/>
                      <w:szCs w:val="21"/>
                      <w:highlight w:val="none"/>
                      <w:u w:val="single" w:color="auto"/>
                      <w:lang w:val="en-US" w:eastAsia="zh-CN"/>
                    </w:rPr>
                    <w:t>2.477</w:t>
                  </w:r>
                </w:p>
              </w:tc>
              <w:tc>
                <w:tcPr>
                  <w:tcW w:w="1413" w:type="dxa"/>
                  <w:tcBorders>
                    <w:tl2br w:val="nil"/>
                    <w:tr2bl w:val="nil"/>
                  </w:tcBorders>
                  <w:shd w:val="clear" w:color="auto" w:fill="auto"/>
                  <w:vAlign w:val="center"/>
                </w:tcPr>
                <w:p w14:paraId="55B10395">
                  <w:pPr>
                    <w:pStyle w:val="43"/>
                    <w:spacing w:line="219" w:lineRule="auto"/>
                    <w:jc w:val="center"/>
                    <w:rPr>
                      <w:rFonts w:hint="default" w:ascii="Times New Roman" w:hAnsi="Times New Roman" w:eastAsia="宋体" w:cs="Times New Roman"/>
                      <w:color w:val="auto"/>
                      <w:spacing w:val="2"/>
                      <w:sz w:val="21"/>
                      <w:szCs w:val="21"/>
                      <w:highlight w:val="none"/>
                      <w:u w:val="none" w:color="auto"/>
                      <w:lang w:eastAsia="zh-CN"/>
                    </w:rPr>
                  </w:pPr>
                  <w:r>
                    <w:rPr>
                      <w:rFonts w:hint="eastAsia" w:ascii="Times New Roman" w:hAnsi="Times New Roman" w:eastAsia="宋体" w:cs="Times New Roman"/>
                      <w:color w:val="auto"/>
                      <w:spacing w:val="2"/>
                      <w:sz w:val="21"/>
                      <w:szCs w:val="21"/>
                      <w:highlight w:val="none"/>
                      <w:u w:val="none" w:color="auto"/>
                      <w:lang w:val="en-US" w:eastAsia="zh-CN"/>
                    </w:rPr>
                    <w:t>外售用作饲料</w:t>
                  </w:r>
                </w:p>
              </w:tc>
            </w:tr>
            <w:tr w14:paraId="24EAF0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7536" w:type="dxa"/>
                  <w:gridSpan w:val="7"/>
                  <w:tcBorders>
                    <w:tl2br w:val="nil"/>
                    <w:tr2bl w:val="nil"/>
                  </w:tcBorders>
                  <w:vAlign w:val="center"/>
                </w:tcPr>
                <w:p w14:paraId="4B4995C2">
                  <w:pPr>
                    <w:pStyle w:val="43"/>
                    <w:spacing w:line="219" w:lineRule="auto"/>
                    <w:jc w:val="left"/>
                    <w:rPr>
                      <w:rFonts w:hint="eastAsia" w:ascii="Times New Roman" w:hAnsi="Times New Roman" w:eastAsia="宋体" w:cs="Times New Roman"/>
                      <w:color w:val="auto"/>
                      <w:spacing w:val="2"/>
                      <w:sz w:val="21"/>
                      <w:szCs w:val="21"/>
                      <w:highlight w:val="none"/>
                      <w:u w:val="none" w:color="auto"/>
                      <w:lang w:val="en-US" w:eastAsia="zh-CN"/>
                    </w:rPr>
                  </w:pPr>
                  <w:r>
                    <w:rPr>
                      <w:rFonts w:hint="eastAsia" w:ascii="Times New Roman" w:hAnsi="Times New Roman" w:eastAsia="宋体" w:cs="Times New Roman"/>
                      <w:color w:val="auto"/>
                      <w:spacing w:val="2"/>
                      <w:sz w:val="21"/>
                      <w:szCs w:val="21"/>
                      <w:highlight w:val="none"/>
                      <w:u w:val="single" w:color="auto"/>
                      <w:lang w:val="en-US" w:eastAsia="zh-CN"/>
                    </w:rPr>
                    <w:t>注：固体废物代码参照《固体废物分类与代码目录》</w:t>
                  </w:r>
                </w:p>
              </w:tc>
            </w:tr>
          </w:tbl>
          <w:p w14:paraId="0EE4F858">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u w:val="none" w:color="auto"/>
              </w:rPr>
            </w:pPr>
            <w:r>
              <w:rPr>
                <w:rFonts w:hint="eastAsia" w:cs="Times New Roman"/>
                <w:color w:val="auto"/>
                <w:sz w:val="24"/>
                <w:szCs w:val="24"/>
                <w:highlight w:val="none"/>
                <w:u w:val="none" w:color="auto"/>
                <w:lang w:val="en-US" w:eastAsia="zh-CN"/>
              </w:rPr>
              <w:t>4.9.2</w:t>
            </w:r>
            <w:r>
              <w:rPr>
                <w:rFonts w:hint="default" w:ascii="Times New Roman" w:hAnsi="Times New Roman" w:eastAsia="宋体" w:cs="Times New Roman"/>
                <w:color w:val="auto"/>
                <w:sz w:val="24"/>
                <w:szCs w:val="24"/>
                <w:highlight w:val="none"/>
                <w:u w:val="none" w:color="auto"/>
              </w:rPr>
              <w:t>固体废物环境管理要求</w:t>
            </w:r>
          </w:p>
          <w:p w14:paraId="737BD2F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pacing w:val="0"/>
                <w:kern w:val="21"/>
                <w:sz w:val="24"/>
                <w:szCs w:val="24"/>
                <w:highlight w:val="none"/>
                <w:u w:val="none" w:color="auto"/>
                <w:lang w:val="en-US" w:eastAsia="zh-CN" w:bidi="ar-SA"/>
              </w:rPr>
              <w:t>根据《中华人民共和国固体废物污染环境防治法》，</w:t>
            </w:r>
            <w:r>
              <w:rPr>
                <w:rFonts w:hint="default" w:ascii="Times New Roman" w:hAnsi="Times New Roman" w:eastAsia="宋体" w:cs="Times New Roman"/>
                <w:color w:val="auto"/>
                <w:sz w:val="24"/>
                <w:szCs w:val="24"/>
                <w:highlight w:val="none"/>
                <w:u w:val="none" w:color="auto"/>
              </w:rPr>
              <w:t>产生、收集、贮存、运输、利用、处置固体废物的单位，应当采取防扬散、防流失、防渗漏或者其他防止污染环境的措施，不得擅自倾倒、堆放、丢弃、遗撒固体废物。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产生工业固体废物的单位应当取得排污许可证。</w:t>
            </w:r>
          </w:p>
          <w:p w14:paraId="3D1B36CA">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highlight w:val="none"/>
                <w:u w:val="none" w:color="auto"/>
              </w:rPr>
            </w:pPr>
            <w:r>
              <w:rPr>
                <w:rFonts w:hint="eastAsia" w:cs="Times New Roman"/>
                <w:color w:val="auto"/>
                <w:sz w:val="24"/>
                <w:szCs w:val="24"/>
                <w:highlight w:val="none"/>
                <w:u w:val="none" w:color="auto"/>
                <w:lang w:val="en-US" w:eastAsia="zh-CN"/>
              </w:rPr>
              <w:t>4.10</w:t>
            </w:r>
            <w:r>
              <w:rPr>
                <w:rFonts w:hint="default" w:ascii="Times New Roman" w:hAnsi="Times New Roman" w:eastAsia="宋体" w:cs="Times New Roman"/>
                <w:color w:val="auto"/>
                <w:sz w:val="24"/>
                <w:szCs w:val="24"/>
                <w:highlight w:val="none"/>
                <w:u w:val="none" w:color="auto"/>
              </w:rPr>
              <w:t>土壤、地下水</w:t>
            </w:r>
          </w:p>
          <w:p w14:paraId="71E7C28A">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color w:val="auto"/>
                <w:sz w:val="24"/>
                <w:szCs w:val="24"/>
                <w:u w:val="none" w:color="auto"/>
              </w:rPr>
            </w:pPr>
            <w:r>
              <w:rPr>
                <w:rFonts w:hint="eastAsia"/>
                <w:bCs/>
                <w:color w:val="auto"/>
                <w:sz w:val="24"/>
                <w:highlight w:val="none"/>
                <w:u w:val="none" w:color="auto"/>
              </w:rPr>
              <w:t>本项目生产原料为玉米，属于天然物质，不包含涉及重金属、有机化合物的物料</w:t>
            </w:r>
            <w:r>
              <w:rPr>
                <w:rFonts w:hint="eastAsia"/>
                <w:bCs/>
                <w:color w:val="auto"/>
                <w:sz w:val="24"/>
                <w:highlight w:val="none"/>
                <w:u w:val="none" w:color="auto"/>
                <w:lang w:eastAsia="zh-CN"/>
              </w:rPr>
              <w:t>。</w:t>
            </w:r>
            <w:r>
              <w:rPr>
                <w:rFonts w:hint="eastAsia" w:ascii="Times New Roman" w:hAnsi="Times New Roman" w:eastAsia="宋体" w:cs="Times New Roman"/>
                <w:color w:val="auto"/>
                <w:spacing w:val="0"/>
                <w:kern w:val="21"/>
                <w:sz w:val="24"/>
                <w:szCs w:val="24"/>
                <w:highlight w:val="none"/>
                <w:u w:val="none" w:color="auto"/>
                <w:lang w:val="en-US" w:eastAsia="zh-CN" w:bidi="ar-SA"/>
              </w:rPr>
              <w:t>本项目</w:t>
            </w:r>
            <w:r>
              <w:rPr>
                <w:rFonts w:hint="eastAsia" w:cs="Times New Roman"/>
                <w:color w:val="auto"/>
                <w:spacing w:val="0"/>
                <w:kern w:val="21"/>
                <w:sz w:val="24"/>
                <w:szCs w:val="24"/>
                <w:highlight w:val="none"/>
                <w:u w:val="none" w:color="auto"/>
                <w:lang w:val="en-US" w:eastAsia="zh-CN" w:bidi="ar-SA"/>
              </w:rPr>
              <w:t>生产过程</w:t>
            </w:r>
            <w:r>
              <w:rPr>
                <w:rFonts w:hint="eastAsia" w:ascii="Times New Roman" w:hAnsi="Times New Roman" w:eastAsia="宋体" w:cs="Times New Roman"/>
                <w:color w:val="auto"/>
                <w:spacing w:val="0"/>
                <w:kern w:val="21"/>
                <w:sz w:val="24"/>
                <w:szCs w:val="24"/>
                <w:highlight w:val="none"/>
                <w:u w:val="none" w:color="auto"/>
                <w:lang w:val="en-US" w:eastAsia="zh-CN" w:bidi="ar-SA"/>
              </w:rPr>
              <w:t>不涉及重金属及持久性有机污染物，不涉及有毒有害物质，不产生危险废物。</w:t>
            </w:r>
          </w:p>
          <w:p w14:paraId="33A43B66">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color w:val="auto"/>
                <w:spacing w:val="0"/>
                <w:kern w:val="21"/>
                <w:sz w:val="24"/>
                <w:szCs w:val="24"/>
                <w:highlight w:val="none"/>
                <w:u w:val="none" w:color="auto"/>
                <w:lang w:val="en-US" w:eastAsia="zh-CN" w:bidi="ar-SA"/>
              </w:rPr>
            </w:pPr>
            <w:r>
              <w:rPr>
                <w:rFonts w:hint="eastAsia"/>
                <w:bCs/>
                <w:color w:val="auto"/>
                <w:sz w:val="24"/>
                <w:highlight w:val="none"/>
                <w:u w:val="none" w:color="auto"/>
              </w:rPr>
              <w:t>生产过程中不涉及地下水及土壤的污染途径；运营期不会对地下水和土壤产生不利的影响</w:t>
            </w:r>
            <w:r>
              <w:rPr>
                <w:rFonts w:hint="eastAsia"/>
                <w:color w:val="auto"/>
                <w:sz w:val="24"/>
                <w:highlight w:val="none"/>
                <w:u w:val="none" w:color="auto"/>
                <w:lang w:eastAsia="zh-CN"/>
              </w:rPr>
              <w:t>。</w:t>
            </w:r>
          </w:p>
          <w:p w14:paraId="7CDF6AEE">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pacing w:val="0"/>
                <w:kern w:val="21"/>
                <w:sz w:val="24"/>
                <w:szCs w:val="24"/>
                <w:highlight w:val="none"/>
                <w:u w:val="none" w:color="auto"/>
                <w:lang w:val="en-US" w:eastAsia="zh-CN" w:bidi="ar-SA"/>
              </w:rPr>
            </w:pPr>
            <w:r>
              <w:rPr>
                <w:rFonts w:hint="eastAsia" w:cs="Times New Roman"/>
                <w:color w:val="auto"/>
                <w:spacing w:val="0"/>
                <w:kern w:val="21"/>
                <w:sz w:val="24"/>
                <w:szCs w:val="24"/>
                <w:highlight w:val="none"/>
                <w:u w:val="none" w:color="auto"/>
                <w:lang w:val="en-US" w:eastAsia="zh-CN" w:bidi="ar-SA"/>
              </w:rPr>
              <w:t>4.11</w:t>
            </w:r>
            <w:r>
              <w:rPr>
                <w:rFonts w:hint="default" w:ascii="Times New Roman" w:hAnsi="Times New Roman" w:eastAsia="宋体" w:cs="Times New Roman"/>
                <w:color w:val="auto"/>
                <w:spacing w:val="0"/>
                <w:kern w:val="21"/>
                <w:sz w:val="24"/>
                <w:szCs w:val="24"/>
                <w:highlight w:val="none"/>
                <w:u w:val="none" w:color="auto"/>
                <w:lang w:val="en-US" w:eastAsia="zh-CN" w:bidi="ar-SA"/>
              </w:rPr>
              <w:t>环境风险</w:t>
            </w:r>
          </w:p>
          <w:p w14:paraId="6D6F4F3B">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color w:val="auto"/>
                <w:spacing w:val="0"/>
                <w:kern w:val="21"/>
                <w:sz w:val="24"/>
                <w:szCs w:val="24"/>
                <w:highlight w:val="none"/>
                <w:u w:val="none" w:color="auto"/>
                <w:lang w:val="en-US" w:eastAsia="zh-CN" w:bidi="ar-SA"/>
              </w:rPr>
              <w:t>本项目为</w:t>
            </w:r>
            <w:r>
              <w:rPr>
                <w:rFonts w:hint="eastAsia" w:eastAsia="宋体" w:cs="Times New Roman"/>
                <w:color w:val="auto"/>
                <w:spacing w:val="0"/>
                <w:kern w:val="21"/>
                <w:sz w:val="24"/>
                <w:szCs w:val="24"/>
                <w:highlight w:val="none"/>
                <w:u w:val="none" w:color="auto"/>
                <w:lang w:val="en-US" w:eastAsia="zh-CN" w:bidi="ar-SA"/>
              </w:rPr>
              <w:t>粮食烘干项目</w:t>
            </w:r>
            <w:r>
              <w:rPr>
                <w:rFonts w:hint="eastAsia" w:ascii="Times New Roman" w:hAnsi="Times New Roman" w:eastAsia="宋体" w:cs="Times New Roman"/>
                <w:color w:val="auto"/>
                <w:spacing w:val="0"/>
                <w:kern w:val="21"/>
                <w:sz w:val="24"/>
                <w:szCs w:val="24"/>
                <w:highlight w:val="none"/>
                <w:u w:val="none" w:color="auto"/>
                <w:lang w:val="en-US" w:eastAsia="zh-CN" w:bidi="ar-SA"/>
              </w:rPr>
              <w:t>，</w:t>
            </w:r>
            <w:r>
              <w:rPr>
                <w:rFonts w:hint="eastAsia" w:eastAsia="宋体" w:cs="Times New Roman"/>
                <w:color w:val="auto"/>
                <w:spacing w:val="0"/>
                <w:kern w:val="21"/>
                <w:sz w:val="24"/>
                <w:szCs w:val="24"/>
                <w:highlight w:val="none"/>
                <w:u w:val="none" w:color="auto"/>
                <w:lang w:val="en-US" w:eastAsia="zh-CN" w:bidi="ar-SA"/>
              </w:rPr>
              <w:t>热风炉</w:t>
            </w:r>
            <w:r>
              <w:rPr>
                <w:rFonts w:hint="eastAsia" w:ascii="Times New Roman" w:hAnsi="Times New Roman" w:eastAsia="宋体" w:cs="Times New Roman"/>
                <w:color w:val="auto"/>
                <w:spacing w:val="0"/>
                <w:kern w:val="21"/>
                <w:sz w:val="24"/>
                <w:szCs w:val="24"/>
                <w:highlight w:val="none"/>
                <w:u w:val="none" w:color="auto"/>
                <w:lang w:val="en-US" w:eastAsia="zh-CN" w:bidi="ar-SA"/>
              </w:rPr>
              <w:t>运行过程中不涉及有毒有害危险品使用，</w:t>
            </w:r>
            <w:r>
              <w:rPr>
                <w:rFonts w:hint="eastAsia" w:ascii="Times New Roman" w:hAnsi="Times New Roman" w:eastAsia="宋体" w:cs="Times New Roman"/>
                <w:b w:val="0"/>
                <w:bCs w:val="0"/>
                <w:color w:val="auto"/>
                <w:kern w:val="2"/>
                <w:sz w:val="24"/>
                <w:szCs w:val="24"/>
                <w:u w:val="none" w:color="auto"/>
                <w:lang w:val="en-US" w:eastAsia="zh-CN" w:bidi="ar-SA"/>
              </w:rPr>
              <w:t>燃料为生物质压缩成型颗粒，</w:t>
            </w:r>
            <w:r>
              <w:rPr>
                <w:rFonts w:hint="eastAsia" w:ascii="Times New Roman" w:hAnsi="Times New Roman" w:eastAsia="宋体" w:cs="Times New Roman"/>
                <w:color w:val="auto"/>
                <w:spacing w:val="0"/>
                <w:kern w:val="21"/>
                <w:sz w:val="24"/>
                <w:szCs w:val="24"/>
                <w:highlight w:val="none"/>
                <w:u w:val="none" w:color="auto"/>
                <w:lang w:val="en-US" w:eastAsia="zh-CN" w:bidi="ar-SA"/>
              </w:rPr>
              <w:t>运营期产生的污染物主要为</w:t>
            </w:r>
            <w:r>
              <w:rPr>
                <w:rFonts w:hint="eastAsia" w:eastAsia="宋体" w:cs="Times New Roman"/>
                <w:color w:val="auto"/>
                <w:spacing w:val="0"/>
                <w:kern w:val="21"/>
                <w:sz w:val="24"/>
                <w:szCs w:val="24"/>
                <w:highlight w:val="none"/>
                <w:u w:val="none" w:color="auto"/>
                <w:lang w:val="en-US" w:eastAsia="zh-CN" w:bidi="ar-SA"/>
              </w:rPr>
              <w:t>热风炉</w:t>
            </w:r>
            <w:r>
              <w:rPr>
                <w:rFonts w:hint="eastAsia" w:ascii="Times New Roman" w:hAnsi="Times New Roman" w:eastAsia="宋体" w:cs="Times New Roman"/>
                <w:color w:val="auto"/>
                <w:spacing w:val="0"/>
                <w:kern w:val="21"/>
                <w:sz w:val="24"/>
                <w:szCs w:val="24"/>
                <w:highlight w:val="none"/>
                <w:u w:val="none" w:color="auto"/>
                <w:lang w:val="en-US" w:eastAsia="zh-CN" w:bidi="ar-SA"/>
              </w:rPr>
              <w:t>烟气和灰渣。本项目</w:t>
            </w:r>
            <w:r>
              <w:rPr>
                <w:rFonts w:hint="eastAsia" w:ascii="Times New Roman" w:hAnsi="Times New Roman" w:eastAsia="宋体" w:cs="Times New Roman"/>
                <w:b w:val="0"/>
                <w:bCs w:val="0"/>
                <w:color w:val="auto"/>
                <w:kern w:val="2"/>
                <w:sz w:val="24"/>
                <w:szCs w:val="24"/>
                <w:u w:val="none" w:color="auto"/>
                <w:lang w:val="en-US" w:eastAsia="zh-CN" w:bidi="ar-SA"/>
              </w:rPr>
              <w:t>正常运营过程中不会对土壤及地下水造成影响。</w:t>
            </w:r>
          </w:p>
          <w:p w14:paraId="12A6E615">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（1）风险判定</w:t>
            </w:r>
          </w:p>
          <w:p w14:paraId="2BA409B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根据《建设项目环境风险评价技术导则》（HJ 169-2018），本项目所涉及的易燃物料为生物质颗粒，故本项目风险潜势为I，环境风险评价为简单分析，因此不设置专章。</w:t>
            </w:r>
          </w:p>
          <w:p w14:paraId="7A43CE6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（2）风险识别</w:t>
            </w:r>
          </w:p>
          <w:p w14:paraId="2375EE53">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本项目主要燃料为生物质颗粒，为易燃品，在储存过程遇火源引发火灾，既造成巨大经济损失又可能造成不必要的人员伤亡。</w:t>
            </w:r>
          </w:p>
          <w:p w14:paraId="22AEE62D">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（3）环境风险防范措施</w:t>
            </w:r>
          </w:p>
          <w:p w14:paraId="6E80A1A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①合理设置生物质燃料存放地点，本项目燃料存放在单独燃料间内，远离</w:t>
            </w:r>
            <w:r>
              <w:rPr>
                <w:rFonts w:hint="eastAsia" w:cs="Times New Roman"/>
                <w:b w:val="0"/>
                <w:bCs w:val="0"/>
                <w:color w:val="auto"/>
                <w:kern w:val="2"/>
                <w:sz w:val="24"/>
                <w:szCs w:val="24"/>
                <w:u w:val="none" w:color="auto"/>
                <w:lang w:val="en-US" w:eastAsia="zh-CN" w:bidi="ar-SA"/>
              </w:rPr>
              <w:t>热风炉</w:t>
            </w:r>
            <w:r>
              <w:rPr>
                <w:rFonts w:hint="eastAsia" w:ascii="Times New Roman" w:hAnsi="Times New Roman" w:eastAsia="宋体" w:cs="Times New Roman"/>
                <w:b w:val="0"/>
                <w:bCs w:val="0"/>
                <w:color w:val="auto"/>
                <w:kern w:val="2"/>
                <w:sz w:val="24"/>
                <w:szCs w:val="24"/>
                <w:u w:val="none" w:color="auto"/>
                <w:lang w:val="en-US" w:eastAsia="zh-CN" w:bidi="ar-SA"/>
              </w:rPr>
              <w:t>房存放；注意生物质燃料使用安全，配备相应的消防器材，并确保消防设施好用。厂房内配备灭火器等消防器材。</w:t>
            </w:r>
          </w:p>
          <w:p w14:paraId="2FA9CF17">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②生物质储存区内严禁吸烟，严禁带入火柴、打火机等火种。</w:t>
            </w:r>
          </w:p>
          <w:p w14:paraId="4D5FE036">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eastAsia" w:ascii="Times New Roman" w:hAnsi="Times New Roman" w:eastAsia="宋体" w:cs="Times New Roman"/>
                <w:b w:val="0"/>
                <w:bCs w:val="0"/>
                <w:color w:val="auto"/>
                <w:kern w:val="2"/>
                <w:sz w:val="24"/>
                <w:szCs w:val="24"/>
                <w:u w:val="none" w:color="auto"/>
                <w:lang w:val="en-US" w:eastAsia="zh-CN" w:bidi="ar-SA"/>
              </w:rPr>
            </w:pPr>
            <w:r>
              <w:rPr>
                <w:rFonts w:hint="eastAsia" w:ascii="Times New Roman" w:hAnsi="Times New Roman" w:eastAsia="宋体" w:cs="Times New Roman"/>
                <w:b w:val="0"/>
                <w:bCs w:val="0"/>
                <w:color w:val="auto"/>
                <w:kern w:val="2"/>
                <w:sz w:val="24"/>
                <w:szCs w:val="24"/>
                <w:u w:val="none" w:color="auto"/>
                <w:lang w:val="en-US" w:eastAsia="zh-CN" w:bidi="ar-SA"/>
              </w:rPr>
              <w:t>③加强宣传培训，提高员工消防安全素质。</w:t>
            </w:r>
          </w:p>
          <w:p w14:paraId="733EDE08">
            <w:pPr>
              <w:keepNext w:val="0"/>
              <w:keepLines w:val="0"/>
              <w:pageBreakBefore w:val="0"/>
              <w:widowControl w:val="0"/>
              <w:numPr>
                <w:ilvl w:val="0"/>
                <w:numId w:val="0"/>
              </w:numPr>
              <w:kinsoku/>
              <w:wordWrap/>
              <w:overflowPunct/>
              <w:topLinePunct w:val="0"/>
              <w:bidi w:val="0"/>
              <w:adjustRightInd w:val="0"/>
              <w:snapToGrid w:val="0"/>
              <w:spacing w:line="360" w:lineRule="auto"/>
              <w:ind w:firstLine="480" w:firstLineChars="200"/>
              <w:textAlignment w:val="auto"/>
              <w:rPr>
                <w:rFonts w:hint="eastAsia" w:cs="Times New Roman"/>
                <w:bCs/>
                <w:color w:val="auto"/>
                <w:sz w:val="24"/>
                <w:highlight w:val="none"/>
                <w:u w:val="none" w:color="auto"/>
                <w:lang w:val="en-US" w:eastAsia="zh-CN"/>
              </w:rPr>
            </w:pPr>
            <w:r>
              <w:rPr>
                <w:rFonts w:hint="eastAsia" w:cs="Times New Roman"/>
                <w:bCs/>
                <w:color w:val="auto"/>
                <w:kern w:val="2"/>
                <w:sz w:val="24"/>
                <w:szCs w:val="24"/>
                <w:highlight w:val="none"/>
                <w:u w:val="none" w:color="auto"/>
                <w:lang w:val="en-US" w:eastAsia="zh-CN" w:bidi="ar-SA"/>
              </w:rPr>
              <w:t>4.12</w:t>
            </w:r>
            <w:r>
              <w:rPr>
                <w:rFonts w:hint="eastAsia" w:cs="Times New Roman"/>
                <w:bCs/>
                <w:color w:val="auto"/>
                <w:sz w:val="24"/>
                <w:highlight w:val="none"/>
                <w:u w:val="none" w:color="auto"/>
                <w:lang w:val="en-US" w:eastAsia="zh-CN"/>
              </w:rPr>
              <w:t>环境监测</w:t>
            </w:r>
          </w:p>
          <w:p w14:paraId="26BACBD6">
            <w:pPr>
              <w:keepNext w:val="0"/>
              <w:keepLines w:val="0"/>
              <w:pageBreakBefore w:val="0"/>
              <w:widowControl w:val="0"/>
              <w:numPr>
                <w:ilvl w:val="0"/>
                <w:numId w:val="0"/>
              </w:numPr>
              <w:kinsoku/>
              <w:wordWrap/>
              <w:overflowPunct/>
              <w:topLinePunct w:val="0"/>
              <w:bidi w:val="0"/>
              <w:adjustRightInd w:val="0"/>
              <w:snapToGrid w:val="0"/>
              <w:spacing w:line="360" w:lineRule="auto"/>
              <w:ind w:firstLine="480" w:firstLineChars="200"/>
              <w:textAlignment w:val="auto"/>
              <w:rPr>
                <w:rFonts w:hint="eastAsia" w:cs="Times New Roman"/>
                <w:bCs/>
                <w:color w:val="auto"/>
                <w:sz w:val="24"/>
                <w:highlight w:val="none"/>
                <w:u w:val="none" w:color="auto"/>
                <w:lang w:val="en-US" w:eastAsia="zh-CN"/>
              </w:rPr>
            </w:pPr>
            <w:r>
              <w:rPr>
                <w:rFonts w:hint="eastAsia" w:cs="Times New Roman"/>
                <w:bCs/>
                <w:color w:val="auto"/>
                <w:sz w:val="24"/>
                <w:highlight w:val="none"/>
                <w:u w:val="none" w:color="auto"/>
                <w:lang w:val="en-US" w:eastAsia="zh-CN"/>
              </w:rPr>
              <w:t>本项目自行监测的内容如下：</w:t>
            </w:r>
          </w:p>
          <w:p w14:paraId="197EC82E">
            <w:pPr>
              <w:adjustRightInd w:val="0"/>
              <w:snapToGrid w:val="0"/>
              <w:spacing w:line="360" w:lineRule="auto"/>
              <w:jc w:val="center"/>
              <w:rPr>
                <w:rFonts w:hint="eastAsia" w:cs="Times New Roman"/>
                <w:b/>
                <w:bCs/>
                <w:color w:val="auto"/>
                <w:spacing w:val="-2"/>
                <w:sz w:val="24"/>
                <w:highlight w:val="none"/>
                <w:u w:val="none" w:color="auto"/>
                <w:lang w:eastAsia="zh-CN"/>
              </w:rPr>
            </w:pPr>
            <w:r>
              <w:rPr>
                <w:rFonts w:hint="default" w:ascii="Times New Roman" w:hAnsi="Times New Roman" w:cs="Times New Roman"/>
                <w:b/>
                <w:bCs/>
                <w:color w:val="auto"/>
                <w:spacing w:val="-2"/>
                <w:sz w:val="24"/>
                <w:highlight w:val="none"/>
                <w:u w:val="none" w:color="auto"/>
              </w:rPr>
              <w:t>表4</w:t>
            </w:r>
            <w:r>
              <w:rPr>
                <w:rFonts w:hint="eastAsia" w:cs="Times New Roman"/>
                <w:b/>
                <w:bCs/>
                <w:color w:val="auto"/>
                <w:spacing w:val="-2"/>
                <w:sz w:val="24"/>
                <w:highlight w:val="none"/>
                <w:u w:val="none" w:color="auto"/>
                <w:lang w:val="en-US" w:eastAsia="zh-CN"/>
              </w:rPr>
              <w:t>-20</w:t>
            </w:r>
            <w:r>
              <w:rPr>
                <w:rFonts w:hint="eastAsia" w:cs="Times New Roman"/>
                <w:b/>
                <w:bCs/>
                <w:color w:val="auto"/>
                <w:spacing w:val="-2"/>
                <w:sz w:val="24"/>
                <w:highlight w:val="none"/>
                <w:u w:val="none" w:color="auto"/>
                <w:lang w:eastAsia="zh-CN"/>
              </w:rPr>
              <w:t>自行监测一览表</w:t>
            </w:r>
          </w:p>
          <w:tbl>
            <w:tblPr>
              <w:tblStyle w:val="29"/>
              <w:tblW w:w="777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2782"/>
              <w:gridCol w:w="1892"/>
              <w:gridCol w:w="1613"/>
            </w:tblGrid>
            <w:tr w14:paraId="7AC4FE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491" w:type="dxa"/>
                  <w:tcBorders>
                    <w:tl2br w:val="nil"/>
                    <w:tr2bl w:val="nil"/>
                  </w:tcBorders>
                  <w:vAlign w:val="center"/>
                </w:tcPr>
                <w:p w14:paraId="561AA613">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排放形式</w:t>
                  </w:r>
                </w:p>
              </w:tc>
              <w:tc>
                <w:tcPr>
                  <w:tcW w:w="2782" w:type="dxa"/>
                  <w:tcBorders>
                    <w:tl2br w:val="nil"/>
                    <w:tr2bl w:val="nil"/>
                  </w:tcBorders>
                  <w:vAlign w:val="center"/>
                </w:tcPr>
                <w:p w14:paraId="04488149">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监测点位</w:t>
                  </w:r>
                </w:p>
              </w:tc>
              <w:tc>
                <w:tcPr>
                  <w:tcW w:w="1892" w:type="dxa"/>
                  <w:tcBorders>
                    <w:tl2br w:val="nil"/>
                    <w:tr2bl w:val="nil"/>
                  </w:tcBorders>
                  <w:vAlign w:val="center"/>
                </w:tcPr>
                <w:p w14:paraId="3CE4DD17">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监测指标</w:t>
                  </w:r>
                </w:p>
              </w:tc>
              <w:tc>
                <w:tcPr>
                  <w:tcW w:w="1613" w:type="dxa"/>
                  <w:tcBorders>
                    <w:tl2br w:val="nil"/>
                    <w:tr2bl w:val="nil"/>
                  </w:tcBorders>
                  <w:vAlign w:val="center"/>
                </w:tcPr>
                <w:p w14:paraId="5B40C60C">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最低监测频次</w:t>
                  </w:r>
                </w:p>
              </w:tc>
            </w:tr>
            <w:tr w14:paraId="1E7E79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91" w:type="dxa"/>
                  <w:vMerge w:val="restart"/>
                  <w:tcBorders>
                    <w:tl2br w:val="nil"/>
                    <w:tr2bl w:val="nil"/>
                  </w:tcBorders>
                  <w:vAlign w:val="center"/>
                </w:tcPr>
                <w:p w14:paraId="2740C88C">
                  <w:pPr>
                    <w:adjustRightInd w:val="0"/>
                    <w:snapToGrid w:val="0"/>
                    <w:spacing w:line="240" w:lineRule="auto"/>
                    <w:jc w:val="center"/>
                    <w:rPr>
                      <w:rFonts w:hint="eastAsia" w:ascii="Times New Roman" w:hAnsi="Times New Roman" w:eastAsia="宋体" w:cs="Times New Roman"/>
                      <w:snapToGrid w:val="0"/>
                      <w:color w:val="auto"/>
                      <w:sz w:val="21"/>
                      <w:szCs w:val="21"/>
                      <w:highlight w:val="none"/>
                      <w:u w:val="none" w:color="auto"/>
                      <w:lang w:val="en-US" w:eastAsia="zh-CN"/>
                    </w:rPr>
                  </w:pPr>
                  <w:r>
                    <w:rPr>
                      <w:rFonts w:hint="eastAsia" w:cs="Times New Roman"/>
                      <w:snapToGrid w:val="0"/>
                      <w:color w:val="auto"/>
                      <w:sz w:val="21"/>
                      <w:szCs w:val="21"/>
                      <w:highlight w:val="none"/>
                      <w:u w:val="none" w:color="auto"/>
                      <w:lang w:val="en-US" w:eastAsia="zh-CN"/>
                    </w:rPr>
                    <w:t>有组织</w:t>
                  </w:r>
                </w:p>
              </w:tc>
              <w:tc>
                <w:tcPr>
                  <w:tcW w:w="2782" w:type="dxa"/>
                  <w:vMerge w:val="restart"/>
                  <w:tcBorders>
                    <w:tl2br w:val="nil"/>
                    <w:tr2bl w:val="nil"/>
                  </w:tcBorders>
                  <w:vAlign w:val="center"/>
                </w:tcPr>
                <w:p w14:paraId="457F32C2">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eastAsia="zh-CN"/>
                    </w:rPr>
                  </w:pPr>
                  <w:r>
                    <w:rPr>
                      <w:rFonts w:hint="eastAsia" w:cs="Times New Roman"/>
                      <w:snapToGrid w:val="0"/>
                      <w:color w:val="auto"/>
                      <w:sz w:val="21"/>
                      <w:szCs w:val="21"/>
                      <w:highlight w:val="none"/>
                      <w:u w:val="none" w:color="auto"/>
                      <w:lang w:val="en-US" w:eastAsia="zh-CN"/>
                    </w:rPr>
                    <w:t>热风炉</w:t>
                  </w:r>
                  <w:r>
                    <w:rPr>
                      <w:rFonts w:hint="eastAsia" w:cs="Times New Roman"/>
                      <w:snapToGrid w:val="0"/>
                      <w:color w:val="auto"/>
                      <w:sz w:val="21"/>
                      <w:szCs w:val="21"/>
                      <w:highlight w:val="none"/>
                      <w:u w:val="none" w:color="auto"/>
                      <w:lang w:eastAsia="zh-CN"/>
                    </w:rPr>
                    <w:t>烟囱</w:t>
                  </w:r>
                  <w:r>
                    <w:rPr>
                      <w:rFonts w:hint="default" w:ascii="Times New Roman" w:hAnsi="Times New Roman" w:cs="Times New Roman"/>
                      <w:snapToGrid w:val="0"/>
                      <w:color w:val="auto"/>
                      <w:sz w:val="21"/>
                      <w:szCs w:val="21"/>
                      <w:highlight w:val="none"/>
                      <w:u w:val="none" w:color="auto"/>
                      <w:lang w:eastAsia="zh-CN"/>
                    </w:rPr>
                    <w:t>（</w:t>
                  </w:r>
                  <w:r>
                    <w:rPr>
                      <w:rFonts w:hint="default" w:ascii="Times New Roman" w:hAnsi="Times New Roman" w:cs="Times New Roman"/>
                      <w:snapToGrid w:val="0"/>
                      <w:color w:val="auto"/>
                      <w:sz w:val="21"/>
                      <w:szCs w:val="21"/>
                      <w:highlight w:val="none"/>
                      <w:u w:val="none" w:color="auto"/>
                    </w:rPr>
                    <w:t>DA00</w:t>
                  </w:r>
                  <w:r>
                    <w:rPr>
                      <w:rFonts w:hint="eastAsia" w:cs="Times New Roman"/>
                      <w:snapToGrid w:val="0"/>
                      <w:color w:val="auto"/>
                      <w:sz w:val="21"/>
                      <w:szCs w:val="21"/>
                      <w:highlight w:val="none"/>
                      <w:u w:val="none" w:color="auto"/>
                      <w:lang w:val="en-US" w:eastAsia="zh-CN"/>
                    </w:rPr>
                    <w:t>1</w:t>
                  </w:r>
                  <w:r>
                    <w:rPr>
                      <w:rFonts w:hint="default" w:ascii="Times New Roman" w:hAnsi="Times New Roman" w:cs="Times New Roman"/>
                      <w:snapToGrid w:val="0"/>
                      <w:color w:val="auto"/>
                      <w:sz w:val="21"/>
                      <w:szCs w:val="21"/>
                      <w:highlight w:val="none"/>
                      <w:u w:val="none" w:color="auto"/>
                      <w:lang w:eastAsia="zh-CN"/>
                    </w:rPr>
                    <w:t>）</w:t>
                  </w:r>
                </w:p>
              </w:tc>
              <w:tc>
                <w:tcPr>
                  <w:tcW w:w="1892" w:type="dxa"/>
                  <w:tcBorders>
                    <w:tl2br w:val="nil"/>
                    <w:tr2bl w:val="nil"/>
                  </w:tcBorders>
                  <w:vAlign w:val="center"/>
                </w:tcPr>
                <w:p w14:paraId="505DF561">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val="en-US" w:eastAsia="zh-CN"/>
                    </w:rPr>
                  </w:pPr>
                  <w:r>
                    <w:rPr>
                      <w:rFonts w:hint="default" w:ascii="Times New Roman" w:hAnsi="Times New Roman" w:cs="Times New Roman"/>
                      <w:snapToGrid w:val="0"/>
                      <w:color w:val="auto"/>
                      <w:sz w:val="21"/>
                      <w:szCs w:val="21"/>
                      <w:highlight w:val="none"/>
                      <w:u w:val="none" w:color="auto"/>
                    </w:rPr>
                    <w:t>颗粒物</w:t>
                  </w:r>
                  <w:r>
                    <w:rPr>
                      <w:rFonts w:hint="default" w:ascii="Times New Roman" w:hAnsi="Times New Roman" w:cs="Times New Roman"/>
                      <w:snapToGrid w:val="0"/>
                      <w:color w:val="auto"/>
                      <w:sz w:val="21"/>
                      <w:szCs w:val="21"/>
                      <w:highlight w:val="none"/>
                      <w:u w:val="none" w:color="auto"/>
                      <w:lang w:eastAsia="zh-CN"/>
                    </w:rPr>
                    <w:t>、</w:t>
                  </w:r>
                  <w:r>
                    <w:rPr>
                      <w:rFonts w:hint="default" w:ascii="Times New Roman" w:hAnsi="Times New Roman" w:cs="Times New Roman"/>
                      <w:snapToGrid w:val="0"/>
                      <w:color w:val="auto"/>
                      <w:sz w:val="21"/>
                      <w:szCs w:val="21"/>
                      <w:highlight w:val="none"/>
                      <w:u w:val="none" w:color="auto"/>
                      <w:lang w:val="en-US" w:eastAsia="zh-CN"/>
                    </w:rPr>
                    <w:t>二氧化硫、林格曼黑度</w:t>
                  </w:r>
                </w:p>
              </w:tc>
              <w:tc>
                <w:tcPr>
                  <w:tcW w:w="1613" w:type="dxa"/>
                  <w:tcBorders>
                    <w:tl2br w:val="nil"/>
                    <w:tr2bl w:val="nil"/>
                  </w:tcBorders>
                  <w:vAlign w:val="center"/>
                </w:tcPr>
                <w:p w14:paraId="5CE0B118">
                  <w:pPr>
                    <w:adjustRightInd w:val="0"/>
                    <w:snapToGrid w:val="0"/>
                    <w:spacing w:line="240" w:lineRule="auto"/>
                    <w:jc w:val="center"/>
                    <w:rPr>
                      <w:rFonts w:hint="eastAsia" w:ascii="Times New Roman" w:hAnsi="Times New Roman" w:eastAsia="宋体" w:cs="Times New Roman"/>
                      <w:snapToGrid w:val="0"/>
                      <w:color w:val="auto"/>
                      <w:sz w:val="21"/>
                      <w:szCs w:val="21"/>
                      <w:highlight w:val="none"/>
                      <w:u w:val="none" w:color="auto"/>
                      <w:lang w:val="en-US" w:eastAsia="zh-CN"/>
                    </w:rPr>
                  </w:pPr>
                  <w:r>
                    <w:rPr>
                      <w:rFonts w:hint="default" w:ascii="Times New Roman" w:hAnsi="Times New Roman" w:cs="Times New Roman"/>
                      <w:snapToGrid w:val="0"/>
                      <w:color w:val="auto"/>
                      <w:sz w:val="21"/>
                      <w:szCs w:val="21"/>
                      <w:highlight w:val="none"/>
                      <w:u w:val="none" w:color="auto"/>
                    </w:rPr>
                    <w:t>1次/</w:t>
                  </w:r>
                  <w:r>
                    <w:rPr>
                      <w:rFonts w:hint="eastAsia" w:cs="Times New Roman"/>
                      <w:snapToGrid w:val="0"/>
                      <w:color w:val="auto"/>
                      <w:sz w:val="21"/>
                      <w:szCs w:val="21"/>
                      <w:highlight w:val="none"/>
                      <w:u w:val="none" w:color="auto"/>
                      <w:lang w:val="en-US" w:eastAsia="zh-CN"/>
                    </w:rPr>
                    <w:t>年</w:t>
                  </w:r>
                </w:p>
              </w:tc>
            </w:tr>
            <w:tr w14:paraId="33F504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91" w:type="dxa"/>
                  <w:vMerge w:val="continue"/>
                  <w:tcBorders>
                    <w:tl2br w:val="nil"/>
                    <w:tr2bl w:val="nil"/>
                  </w:tcBorders>
                  <w:vAlign w:val="center"/>
                </w:tcPr>
                <w:p w14:paraId="194C59DA">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p>
              </w:tc>
              <w:tc>
                <w:tcPr>
                  <w:tcW w:w="2782" w:type="dxa"/>
                  <w:vMerge w:val="continue"/>
                  <w:tcBorders>
                    <w:tl2br w:val="nil"/>
                    <w:tr2bl w:val="nil"/>
                  </w:tcBorders>
                  <w:vAlign w:val="center"/>
                </w:tcPr>
                <w:p w14:paraId="54134125">
                  <w:pPr>
                    <w:adjustRightInd w:val="0"/>
                    <w:snapToGrid w:val="0"/>
                    <w:spacing w:line="240" w:lineRule="auto"/>
                    <w:jc w:val="center"/>
                    <w:rPr>
                      <w:rFonts w:hint="eastAsia" w:cs="Times New Roman"/>
                      <w:snapToGrid w:val="0"/>
                      <w:color w:val="auto"/>
                      <w:sz w:val="21"/>
                      <w:szCs w:val="21"/>
                      <w:highlight w:val="none"/>
                      <w:u w:val="none" w:color="auto"/>
                      <w:lang w:val="en-US" w:eastAsia="zh-CN"/>
                    </w:rPr>
                  </w:pPr>
                </w:p>
              </w:tc>
              <w:tc>
                <w:tcPr>
                  <w:tcW w:w="1892" w:type="dxa"/>
                  <w:tcBorders>
                    <w:tl2br w:val="nil"/>
                    <w:tr2bl w:val="nil"/>
                  </w:tcBorders>
                  <w:vAlign w:val="center"/>
                </w:tcPr>
                <w:p w14:paraId="6DC3BDEC">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lang w:val="en-US" w:eastAsia="zh-CN"/>
                    </w:rPr>
                    <w:t>氮氧化物</w:t>
                  </w:r>
                </w:p>
              </w:tc>
              <w:tc>
                <w:tcPr>
                  <w:tcW w:w="1613" w:type="dxa"/>
                  <w:tcBorders>
                    <w:tl2br w:val="nil"/>
                    <w:tr2bl w:val="nil"/>
                  </w:tcBorders>
                  <w:vAlign w:val="center"/>
                </w:tcPr>
                <w:p w14:paraId="2CE31D5C">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r>
                    <w:rPr>
                      <w:rFonts w:hint="default" w:ascii="Times New Roman" w:hAnsi="Times New Roman" w:cs="Times New Roman"/>
                      <w:snapToGrid w:val="0"/>
                      <w:color w:val="auto"/>
                      <w:sz w:val="21"/>
                      <w:szCs w:val="21"/>
                      <w:highlight w:val="none"/>
                      <w:u w:val="none" w:color="auto"/>
                    </w:rPr>
                    <w:t>1次/</w:t>
                  </w:r>
                  <w:r>
                    <w:rPr>
                      <w:rFonts w:hint="eastAsia" w:cs="Times New Roman"/>
                      <w:snapToGrid w:val="0"/>
                      <w:color w:val="auto"/>
                      <w:sz w:val="21"/>
                      <w:szCs w:val="21"/>
                      <w:highlight w:val="none"/>
                      <w:u w:val="none" w:color="auto"/>
                      <w:lang w:val="en-US" w:eastAsia="zh-CN"/>
                    </w:rPr>
                    <w:t>年</w:t>
                  </w:r>
                </w:p>
              </w:tc>
            </w:tr>
            <w:tr w14:paraId="2AAF03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91" w:type="dxa"/>
                  <w:vMerge w:val="restart"/>
                  <w:tcBorders>
                    <w:tl2br w:val="nil"/>
                    <w:tr2bl w:val="nil"/>
                  </w:tcBorders>
                  <w:vAlign w:val="center"/>
                </w:tcPr>
                <w:p w14:paraId="0198836E">
                  <w:pPr>
                    <w:adjustRightInd w:val="0"/>
                    <w:snapToGrid w:val="0"/>
                    <w:spacing w:line="240" w:lineRule="auto"/>
                    <w:jc w:val="center"/>
                    <w:rPr>
                      <w:rFonts w:hint="eastAsia" w:ascii="Times New Roman" w:hAnsi="Times New Roman" w:eastAsia="宋体" w:cs="Times New Roman"/>
                      <w:snapToGrid w:val="0"/>
                      <w:color w:val="auto"/>
                      <w:sz w:val="21"/>
                      <w:szCs w:val="21"/>
                      <w:highlight w:val="none"/>
                      <w:u w:val="none" w:color="auto"/>
                      <w:lang w:val="en-US" w:eastAsia="zh-CN"/>
                    </w:rPr>
                  </w:pPr>
                  <w:r>
                    <w:rPr>
                      <w:rFonts w:hint="eastAsia" w:cs="Times New Roman"/>
                      <w:snapToGrid w:val="0"/>
                      <w:color w:val="auto"/>
                      <w:sz w:val="21"/>
                      <w:szCs w:val="21"/>
                      <w:highlight w:val="none"/>
                      <w:u w:val="none" w:color="auto"/>
                      <w:lang w:val="en-US" w:eastAsia="zh-CN"/>
                    </w:rPr>
                    <w:t>无组织</w:t>
                  </w:r>
                </w:p>
              </w:tc>
              <w:tc>
                <w:tcPr>
                  <w:tcW w:w="2782" w:type="dxa"/>
                  <w:tcBorders>
                    <w:tl2br w:val="nil"/>
                    <w:tr2bl w:val="nil"/>
                  </w:tcBorders>
                  <w:vAlign w:val="center"/>
                </w:tcPr>
                <w:p w14:paraId="30F1BDDE">
                  <w:pPr>
                    <w:adjustRightInd w:val="0"/>
                    <w:snapToGrid w:val="0"/>
                    <w:spacing w:line="240" w:lineRule="auto"/>
                    <w:jc w:val="center"/>
                    <w:rPr>
                      <w:rFonts w:hint="default" w:cs="Times New Roman"/>
                      <w:snapToGrid w:val="0"/>
                      <w:color w:val="auto"/>
                      <w:sz w:val="21"/>
                      <w:szCs w:val="21"/>
                      <w:highlight w:val="none"/>
                      <w:u w:val="none" w:color="auto"/>
                      <w:lang w:val="en-US" w:eastAsia="zh-CN"/>
                    </w:rPr>
                  </w:pPr>
                  <w:r>
                    <w:rPr>
                      <w:rFonts w:hint="eastAsia" w:cs="Times New Roman"/>
                      <w:snapToGrid w:val="0"/>
                      <w:color w:val="auto"/>
                      <w:sz w:val="21"/>
                      <w:szCs w:val="21"/>
                      <w:highlight w:val="none"/>
                      <w:u w:val="none" w:color="auto"/>
                      <w:lang w:val="en-US" w:eastAsia="zh-CN"/>
                    </w:rPr>
                    <w:t>热风炉周边</w:t>
                  </w:r>
                </w:p>
              </w:tc>
              <w:tc>
                <w:tcPr>
                  <w:tcW w:w="1892" w:type="dxa"/>
                  <w:tcBorders>
                    <w:tl2br w:val="nil"/>
                    <w:tr2bl w:val="nil"/>
                  </w:tcBorders>
                  <w:vAlign w:val="center"/>
                </w:tcPr>
                <w:p w14:paraId="6092230E">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val="en-US" w:eastAsia="zh-CN"/>
                    </w:rPr>
                  </w:pPr>
                  <w:r>
                    <w:rPr>
                      <w:rFonts w:hint="eastAsia" w:ascii="Times New Roman" w:hAnsi="Times New Roman" w:eastAsia="宋体" w:cs="Times New Roman"/>
                      <w:snapToGrid w:val="0"/>
                      <w:color w:val="auto"/>
                      <w:sz w:val="21"/>
                      <w:szCs w:val="21"/>
                      <w:highlight w:val="none"/>
                      <w:u w:val="none" w:color="auto"/>
                      <w:lang w:val="en-US" w:eastAsia="zh-CN"/>
                    </w:rPr>
                    <w:t>颗粒物</w:t>
                  </w:r>
                </w:p>
              </w:tc>
              <w:tc>
                <w:tcPr>
                  <w:tcW w:w="1613" w:type="dxa"/>
                  <w:tcBorders>
                    <w:tl2br w:val="nil"/>
                    <w:tr2bl w:val="nil"/>
                  </w:tcBorders>
                  <w:vAlign w:val="center"/>
                </w:tcPr>
                <w:p w14:paraId="5CCFF5DF">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val="en-US" w:eastAsia="zh-CN"/>
                    </w:rPr>
                  </w:pPr>
                  <w:r>
                    <w:rPr>
                      <w:rFonts w:hint="default" w:ascii="Times New Roman" w:hAnsi="Times New Roman" w:eastAsia="宋体" w:cs="Times New Roman"/>
                      <w:snapToGrid w:val="0"/>
                      <w:color w:val="auto"/>
                      <w:sz w:val="21"/>
                      <w:szCs w:val="21"/>
                      <w:highlight w:val="none"/>
                      <w:u w:val="none" w:color="auto"/>
                      <w:lang w:val="en-US" w:eastAsia="zh-CN"/>
                    </w:rPr>
                    <w:t>1次/</w:t>
                  </w:r>
                  <w:r>
                    <w:rPr>
                      <w:rFonts w:hint="eastAsia" w:ascii="Times New Roman" w:hAnsi="Times New Roman" w:eastAsia="宋体" w:cs="Times New Roman"/>
                      <w:snapToGrid w:val="0"/>
                      <w:color w:val="auto"/>
                      <w:sz w:val="21"/>
                      <w:szCs w:val="21"/>
                      <w:highlight w:val="none"/>
                      <w:u w:val="none" w:color="auto"/>
                      <w:lang w:val="en-US" w:eastAsia="zh-CN"/>
                    </w:rPr>
                    <w:t>年</w:t>
                  </w:r>
                </w:p>
              </w:tc>
            </w:tr>
            <w:tr w14:paraId="4898F0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91" w:type="dxa"/>
                  <w:vMerge w:val="continue"/>
                  <w:tcBorders>
                    <w:tl2br w:val="nil"/>
                    <w:tr2bl w:val="nil"/>
                  </w:tcBorders>
                  <w:vAlign w:val="center"/>
                </w:tcPr>
                <w:p w14:paraId="3E638BC1">
                  <w:pPr>
                    <w:adjustRightInd w:val="0"/>
                    <w:snapToGrid w:val="0"/>
                    <w:spacing w:line="240" w:lineRule="auto"/>
                    <w:jc w:val="center"/>
                    <w:rPr>
                      <w:rFonts w:hint="default" w:ascii="Times New Roman" w:hAnsi="Times New Roman" w:cs="Times New Roman"/>
                      <w:snapToGrid w:val="0"/>
                      <w:color w:val="auto"/>
                      <w:sz w:val="21"/>
                      <w:szCs w:val="21"/>
                      <w:highlight w:val="none"/>
                      <w:u w:val="none" w:color="auto"/>
                    </w:rPr>
                  </w:pPr>
                </w:p>
              </w:tc>
              <w:tc>
                <w:tcPr>
                  <w:tcW w:w="2782" w:type="dxa"/>
                  <w:tcBorders>
                    <w:tl2br w:val="nil"/>
                    <w:tr2bl w:val="nil"/>
                  </w:tcBorders>
                  <w:vAlign w:val="center"/>
                </w:tcPr>
                <w:p w14:paraId="07B7F5A5">
                  <w:pPr>
                    <w:adjustRightInd w:val="0"/>
                    <w:snapToGrid w:val="0"/>
                    <w:spacing w:line="240" w:lineRule="auto"/>
                    <w:jc w:val="center"/>
                    <w:rPr>
                      <w:rFonts w:hint="default" w:cs="Times New Roman"/>
                      <w:snapToGrid w:val="0"/>
                      <w:color w:val="auto"/>
                      <w:sz w:val="21"/>
                      <w:szCs w:val="21"/>
                      <w:highlight w:val="none"/>
                      <w:u w:val="none" w:color="auto"/>
                      <w:lang w:val="en-US" w:eastAsia="zh-CN"/>
                    </w:rPr>
                  </w:pPr>
                  <w:r>
                    <w:rPr>
                      <w:rFonts w:hint="eastAsia" w:cs="Times New Roman"/>
                      <w:snapToGrid w:val="0"/>
                      <w:color w:val="auto"/>
                      <w:sz w:val="21"/>
                      <w:szCs w:val="21"/>
                      <w:highlight w:val="none"/>
                      <w:u w:val="none" w:color="auto"/>
                      <w:lang w:val="en-US" w:eastAsia="zh-CN"/>
                    </w:rPr>
                    <w:t>厂界</w:t>
                  </w:r>
                  <w:r>
                    <w:rPr>
                      <w:rFonts w:hint="default" w:ascii="Times New Roman" w:hAnsi="Times New Roman" w:cs="Times New Roman"/>
                      <w:snapToGrid w:val="0"/>
                      <w:color w:val="auto"/>
                      <w:szCs w:val="21"/>
                      <w:highlight w:val="none"/>
                      <w:u w:val="none" w:color="auto"/>
                      <w:lang w:eastAsia="zh-CN"/>
                    </w:rPr>
                    <w:t>（</w:t>
                  </w:r>
                  <w:r>
                    <w:rPr>
                      <w:rFonts w:hint="default" w:ascii="Times New Roman" w:hAnsi="Times New Roman" w:cs="Times New Roman"/>
                      <w:snapToGrid w:val="0"/>
                      <w:color w:val="auto"/>
                      <w:szCs w:val="21"/>
                      <w:highlight w:val="none"/>
                      <w:u w:val="none" w:color="auto"/>
                    </w:rPr>
                    <w:t>上风向1个监测点、下风向3个监测点</w:t>
                  </w:r>
                  <w:r>
                    <w:rPr>
                      <w:rFonts w:hint="default" w:ascii="Times New Roman" w:hAnsi="Times New Roman" w:cs="Times New Roman"/>
                      <w:snapToGrid w:val="0"/>
                      <w:color w:val="auto"/>
                      <w:szCs w:val="21"/>
                      <w:highlight w:val="none"/>
                      <w:u w:val="none" w:color="auto"/>
                      <w:lang w:eastAsia="zh-CN"/>
                    </w:rPr>
                    <w:t>）</w:t>
                  </w:r>
                </w:p>
              </w:tc>
              <w:tc>
                <w:tcPr>
                  <w:tcW w:w="1892" w:type="dxa"/>
                  <w:tcBorders>
                    <w:tl2br w:val="nil"/>
                    <w:tr2bl w:val="nil"/>
                  </w:tcBorders>
                  <w:vAlign w:val="center"/>
                </w:tcPr>
                <w:p w14:paraId="0951C390">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val="en-US" w:eastAsia="zh-CN"/>
                    </w:rPr>
                  </w:pPr>
                  <w:r>
                    <w:rPr>
                      <w:rFonts w:hint="eastAsia" w:ascii="Times New Roman" w:hAnsi="Times New Roman" w:eastAsia="宋体" w:cs="Times New Roman"/>
                      <w:snapToGrid w:val="0"/>
                      <w:color w:val="auto"/>
                      <w:sz w:val="21"/>
                      <w:szCs w:val="21"/>
                      <w:highlight w:val="none"/>
                      <w:u w:val="none" w:color="auto"/>
                      <w:lang w:val="en-US" w:eastAsia="zh-CN"/>
                    </w:rPr>
                    <w:t>颗粒物</w:t>
                  </w:r>
                </w:p>
              </w:tc>
              <w:tc>
                <w:tcPr>
                  <w:tcW w:w="1613" w:type="dxa"/>
                  <w:tcBorders>
                    <w:tl2br w:val="nil"/>
                    <w:tr2bl w:val="nil"/>
                  </w:tcBorders>
                  <w:vAlign w:val="center"/>
                </w:tcPr>
                <w:p w14:paraId="31621CE9">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val="en-US" w:eastAsia="zh-CN"/>
                    </w:rPr>
                  </w:pPr>
                  <w:r>
                    <w:rPr>
                      <w:rFonts w:hint="default" w:ascii="Times New Roman" w:hAnsi="Times New Roman" w:eastAsia="宋体" w:cs="Times New Roman"/>
                      <w:snapToGrid w:val="0"/>
                      <w:color w:val="auto"/>
                      <w:sz w:val="21"/>
                      <w:szCs w:val="21"/>
                      <w:highlight w:val="none"/>
                      <w:u w:val="none" w:color="auto"/>
                      <w:lang w:val="en-US" w:eastAsia="zh-CN"/>
                    </w:rPr>
                    <w:t>1次/</w:t>
                  </w:r>
                  <w:r>
                    <w:rPr>
                      <w:rFonts w:hint="eastAsia" w:ascii="Times New Roman" w:hAnsi="Times New Roman" w:eastAsia="宋体" w:cs="Times New Roman"/>
                      <w:snapToGrid w:val="0"/>
                      <w:color w:val="auto"/>
                      <w:sz w:val="21"/>
                      <w:szCs w:val="21"/>
                      <w:highlight w:val="none"/>
                      <w:u w:val="none" w:color="auto"/>
                      <w:lang w:val="en-US" w:eastAsia="zh-CN"/>
                    </w:rPr>
                    <w:t>年</w:t>
                  </w:r>
                </w:p>
              </w:tc>
            </w:tr>
            <w:tr w14:paraId="2538B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1491" w:type="dxa"/>
                  <w:tcBorders>
                    <w:tl2br w:val="nil"/>
                    <w:tr2bl w:val="nil"/>
                  </w:tcBorders>
                  <w:shd w:val="clear" w:color="auto" w:fill="auto"/>
                  <w:vAlign w:val="center"/>
                </w:tcPr>
                <w:p w14:paraId="5DEE1B8D">
                  <w:pPr>
                    <w:adjustRightInd w:val="0"/>
                    <w:snapToGrid w:val="0"/>
                    <w:spacing w:line="240" w:lineRule="auto"/>
                    <w:jc w:val="center"/>
                    <w:rPr>
                      <w:rFonts w:hint="default" w:ascii="Times New Roman" w:hAnsi="Times New Roman" w:eastAsia="宋体" w:cs="Times New Roman"/>
                      <w:snapToGrid w:val="0"/>
                      <w:color w:val="auto"/>
                      <w:kern w:val="2"/>
                      <w:sz w:val="21"/>
                      <w:szCs w:val="21"/>
                      <w:highlight w:val="none"/>
                      <w:u w:val="none" w:color="auto"/>
                      <w:lang w:val="en-US" w:eastAsia="zh-CN" w:bidi="ar-SA"/>
                    </w:rPr>
                  </w:pPr>
                  <w:r>
                    <w:rPr>
                      <w:rFonts w:hint="eastAsia" w:cs="Times New Roman"/>
                      <w:snapToGrid w:val="0"/>
                      <w:color w:val="auto"/>
                      <w:szCs w:val="21"/>
                      <w:highlight w:val="none"/>
                      <w:u w:val="none" w:color="auto"/>
                      <w:lang w:val="en-US" w:eastAsia="zh-CN"/>
                    </w:rPr>
                    <w:t>噪声</w:t>
                  </w:r>
                </w:p>
              </w:tc>
              <w:tc>
                <w:tcPr>
                  <w:tcW w:w="2782" w:type="dxa"/>
                  <w:tcBorders>
                    <w:tl2br w:val="nil"/>
                    <w:tr2bl w:val="nil"/>
                  </w:tcBorders>
                  <w:shd w:val="clear" w:color="auto" w:fill="auto"/>
                  <w:vAlign w:val="center"/>
                </w:tcPr>
                <w:p w14:paraId="1B4C81CB">
                  <w:pPr>
                    <w:spacing w:line="240" w:lineRule="auto"/>
                    <w:jc w:val="center"/>
                    <w:rPr>
                      <w:rFonts w:hint="eastAsia" w:ascii="Times New Roman" w:hAnsi="Times New Roman" w:eastAsia="宋体" w:cs="Times New Roman"/>
                      <w:color w:val="auto"/>
                      <w:kern w:val="2"/>
                      <w:sz w:val="21"/>
                      <w:szCs w:val="21"/>
                      <w:highlight w:val="none"/>
                      <w:u w:val="none" w:color="auto"/>
                      <w:lang w:val="en-US" w:eastAsia="zh-CN" w:bidi="ar-SA"/>
                    </w:rPr>
                  </w:pPr>
                  <w:r>
                    <w:rPr>
                      <w:rFonts w:hint="eastAsia" w:ascii="宋体" w:hAnsi="宋体" w:cs="宋体"/>
                      <w:color w:val="auto"/>
                      <w:szCs w:val="21"/>
                      <w:highlight w:val="none"/>
                      <w:u w:val="none" w:color="auto"/>
                    </w:rPr>
                    <w:t>厂界四周外</w:t>
                  </w:r>
                  <w:r>
                    <w:rPr>
                      <w:color w:val="auto"/>
                      <w:szCs w:val="21"/>
                      <w:highlight w:val="none"/>
                      <w:u w:val="none" w:color="auto"/>
                    </w:rPr>
                    <w:t>1m</w:t>
                  </w:r>
                  <w:r>
                    <w:rPr>
                      <w:rFonts w:hint="eastAsia"/>
                      <w:color w:val="auto"/>
                      <w:szCs w:val="21"/>
                      <w:highlight w:val="none"/>
                      <w:u w:val="none" w:color="auto"/>
                    </w:rPr>
                    <w:t>，各设一个监测点</w:t>
                  </w:r>
                </w:p>
              </w:tc>
              <w:tc>
                <w:tcPr>
                  <w:tcW w:w="1892" w:type="dxa"/>
                  <w:tcBorders>
                    <w:tl2br w:val="nil"/>
                    <w:tr2bl w:val="nil"/>
                  </w:tcBorders>
                  <w:shd w:val="clear" w:color="auto" w:fill="auto"/>
                  <w:vAlign w:val="center"/>
                </w:tcPr>
                <w:p w14:paraId="7434BE6C">
                  <w:pPr>
                    <w:adjustRightInd w:val="0"/>
                    <w:snapToGrid w:val="0"/>
                    <w:spacing w:line="240" w:lineRule="auto"/>
                    <w:jc w:val="center"/>
                    <w:rPr>
                      <w:rFonts w:hint="eastAsia" w:ascii="Times New Roman" w:hAnsi="Times New Roman" w:eastAsia="宋体" w:cs="Times New Roman"/>
                      <w:snapToGrid w:val="0"/>
                      <w:color w:val="auto"/>
                      <w:sz w:val="21"/>
                      <w:szCs w:val="21"/>
                      <w:highlight w:val="none"/>
                      <w:u w:val="none" w:color="auto"/>
                      <w:lang w:val="en-US" w:eastAsia="zh-CN"/>
                    </w:rPr>
                  </w:pPr>
                  <w:r>
                    <w:rPr>
                      <w:rFonts w:hint="eastAsia" w:ascii="Times New Roman" w:hAnsi="Times New Roman" w:eastAsia="宋体" w:cs="Times New Roman"/>
                      <w:snapToGrid w:val="0"/>
                      <w:color w:val="auto"/>
                      <w:sz w:val="21"/>
                      <w:szCs w:val="21"/>
                      <w:highlight w:val="none"/>
                      <w:u w:val="none" w:color="auto"/>
                      <w:lang w:val="en-US" w:eastAsia="zh-CN"/>
                    </w:rPr>
                    <w:t>L</w:t>
                  </w:r>
                  <w:r>
                    <w:rPr>
                      <w:rFonts w:hint="eastAsia" w:ascii="Times New Roman" w:hAnsi="Times New Roman" w:eastAsia="宋体" w:cs="Times New Roman"/>
                      <w:snapToGrid w:val="0"/>
                      <w:color w:val="auto"/>
                      <w:sz w:val="21"/>
                      <w:szCs w:val="21"/>
                      <w:highlight w:val="none"/>
                      <w:u w:val="none" w:color="auto"/>
                      <w:vertAlign w:val="subscript"/>
                      <w:lang w:val="en-US" w:eastAsia="zh-CN"/>
                    </w:rPr>
                    <w:t>eq</w:t>
                  </w:r>
                  <w:r>
                    <w:rPr>
                      <w:rFonts w:hint="eastAsia" w:cs="Times New Roman"/>
                      <w:snapToGrid w:val="0"/>
                      <w:color w:val="auto"/>
                      <w:sz w:val="21"/>
                      <w:szCs w:val="21"/>
                      <w:highlight w:val="none"/>
                      <w:u w:val="none" w:color="auto"/>
                      <w:lang w:val="en-US" w:eastAsia="zh-CN"/>
                    </w:rPr>
                    <w:t>、</w:t>
                  </w:r>
                  <w:r>
                    <w:rPr>
                      <w:rFonts w:hint="eastAsia" w:cs="Times New Roman"/>
                      <w:color w:val="auto"/>
                      <w:kern w:val="2"/>
                      <w:sz w:val="21"/>
                      <w:szCs w:val="21"/>
                      <w:highlight w:val="none"/>
                      <w:u w:val="none" w:color="auto"/>
                      <w:lang w:val="en-US" w:eastAsia="zh-CN"/>
                    </w:rPr>
                    <w:t>L</w:t>
                  </w:r>
                  <w:r>
                    <w:rPr>
                      <w:rFonts w:hint="eastAsia" w:cs="Times New Roman"/>
                      <w:color w:val="auto"/>
                      <w:kern w:val="2"/>
                      <w:sz w:val="21"/>
                      <w:szCs w:val="21"/>
                      <w:highlight w:val="none"/>
                      <w:u w:val="none" w:color="auto"/>
                      <w:vertAlign w:val="subscript"/>
                      <w:lang w:val="en-US" w:eastAsia="zh-CN"/>
                    </w:rPr>
                    <w:t>max</w:t>
                  </w:r>
                </w:p>
              </w:tc>
              <w:tc>
                <w:tcPr>
                  <w:tcW w:w="1613" w:type="dxa"/>
                  <w:tcBorders>
                    <w:tl2br w:val="nil"/>
                    <w:tr2bl w:val="nil"/>
                  </w:tcBorders>
                  <w:shd w:val="clear" w:color="auto" w:fill="auto"/>
                  <w:vAlign w:val="center"/>
                </w:tcPr>
                <w:p w14:paraId="448098B3">
                  <w:pPr>
                    <w:adjustRightInd w:val="0"/>
                    <w:snapToGrid w:val="0"/>
                    <w:spacing w:line="240" w:lineRule="auto"/>
                    <w:jc w:val="center"/>
                    <w:rPr>
                      <w:rFonts w:hint="default" w:ascii="Times New Roman" w:hAnsi="Times New Roman" w:eastAsia="宋体" w:cs="Times New Roman"/>
                      <w:snapToGrid w:val="0"/>
                      <w:color w:val="auto"/>
                      <w:sz w:val="21"/>
                      <w:szCs w:val="21"/>
                      <w:highlight w:val="none"/>
                      <w:u w:val="none" w:color="auto"/>
                      <w:lang w:val="en-US" w:eastAsia="zh-CN"/>
                    </w:rPr>
                  </w:pPr>
                  <w:r>
                    <w:rPr>
                      <w:rFonts w:hint="eastAsia" w:ascii="Times New Roman" w:hAnsi="Times New Roman" w:eastAsia="宋体" w:cs="Times New Roman"/>
                      <w:snapToGrid w:val="0"/>
                      <w:color w:val="auto"/>
                      <w:sz w:val="21"/>
                      <w:szCs w:val="21"/>
                      <w:highlight w:val="none"/>
                      <w:u w:val="none" w:color="auto"/>
                      <w:lang w:val="en-US" w:eastAsia="zh-CN"/>
                    </w:rPr>
                    <w:t>1次/季</w:t>
                  </w:r>
                </w:p>
              </w:tc>
            </w:tr>
            <w:tr w14:paraId="6440A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778" w:type="dxa"/>
                  <w:gridSpan w:val="4"/>
                  <w:tcBorders>
                    <w:tl2br w:val="nil"/>
                    <w:tr2bl w:val="nil"/>
                  </w:tcBorders>
                  <w:shd w:val="clear" w:color="auto" w:fill="auto"/>
                  <w:vAlign w:val="center"/>
                </w:tcPr>
                <w:p w14:paraId="7DFE57F5">
                  <w:pPr>
                    <w:adjustRightInd w:val="0"/>
                    <w:snapToGrid w:val="0"/>
                    <w:spacing w:line="240" w:lineRule="auto"/>
                    <w:jc w:val="center"/>
                    <w:rPr>
                      <w:rFonts w:hint="eastAsia" w:ascii="Times New Roman" w:hAnsi="Times New Roman" w:eastAsia="宋体" w:cs="Times New Roman"/>
                      <w:snapToGrid w:val="0"/>
                      <w:color w:val="auto"/>
                      <w:sz w:val="21"/>
                      <w:szCs w:val="21"/>
                      <w:highlight w:val="none"/>
                      <w:u w:val="none" w:color="auto"/>
                      <w:lang w:val="en-US" w:eastAsia="zh-CN"/>
                    </w:rPr>
                  </w:pPr>
                  <w:r>
                    <w:rPr>
                      <w:rFonts w:hint="eastAsia" w:cs="Times New Roman"/>
                      <w:color w:val="auto"/>
                      <w:kern w:val="2"/>
                      <w:sz w:val="21"/>
                      <w:szCs w:val="21"/>
                      <w:highlight w:val="none"/>
                      <w:u w:val="none" w:color="auto"/>
                      <w:lang w:val="en-US" w:eastAsia="zh-CN"/>
                    </w:rPr>
                    <w:t>注：昼间、夜间均生产的需分别监测昼间L</w:t>
                  </w:r>
                  <w:r>
                    <w:rPr>
                      <w:rFonts w:hint="eastAsia" w:cs="Times New Roman"/>
                      <w:color w:val="auto"/>
                      <w:kern w:val="2"/>
                      <w:sz w:val="21"/>
                      <w:szCs w:val="21"/>
                      <w:highlight w:val="none"/>
                      <w:u w:val="none" w:color="auto"/>
                      <w:vertAlign w:val="subscript"/>
                      <w:lang w:val="en-US" w:eastAsia="zh-CN"/>
                    </w:rPr>
                    <w:t>eq</w:t>
                  </w:r>
                  <w:r>
                    <w:rPr>
                      <w:rFonts w:hint="eastAsia" w:cs="Times New Roman"/>
                      <w:color w:val="auto"/>
                      <w:kern w:val="2"/>
                      <w:sz w:val="21"/>
                      <w:szCs w:val="21"/>
                      <w:highlight w:val="none"/>
                      <w:u w:val="none" w:color="auto"/>
                      <w:lang w:val="en-US" w:eastAsia="zh-CN"/>
                    </w:rPr>
                    <w:t>和夜间L</w:t>
                  </w:r>
                  <w:r>
                    <w:rPr>
                      <w:rFonts w:hint="eastAsia" w:cs="Times New Roman"/>
                      <w:color w:val="auto"/>
                      <w:kern w:val="2"/>
                      <w:sz w:val="21"/>
                      <w:szCs w:val="21"/>
                      <w:highlight w:val="none"/>
                      <w:u w:val="none" w:color="auto"/>
                      <w:vertAlign w:val="subscript"/>
                      <w:lang w:val="en-US" w:eastAsia="zh-CN"/>
                    </w:rPr>
                    <w:t>eq</w:t>
                  </w:r>
                  <w:r>
                    <w:rPr>
                      <w:rFonts w:hint="eastAsia" w:cs="Times New Roman"/>
                      <w:color w:val="auto"/>
                      <w:kern w:val="2"/>
                      <w:sz w:val="21"/>
                      <w:szCs w:val="21"/>
                      <w:highlight w:val="none"/>
                      <w:u w:val="none" w:color="auto"/>
                      <w:lang w:val="en-US" w:eastAsia="zh-CN"/>
                    </w:rPr>
                    <w:t>。夜间频发、偶发噪声需监测最大A声级L</w:t>
                  </w:r>
                  <w:r>
                    <w:rPr>
                      <w:rFonts w:hint="eastAsia" w:cs="Times New Roman"/>
                      <w:color w:val="auto"/>
                      <w:kern w:val="2"/>
                      <w:sz w:val="21"/>
                      <w:szCs w:val="21"/>
                      <w:highlight w:val="none"/>
                      <w:u w:val="none" w:color="auto"/>
                      <w:vertAlign w:val="subscript"/>
                      <w:lang w:val="en-US" w:eastAsia="zh-CN"/>
                    </w:rPr>
                    <w:t>max</w:t>
                  </w:r>
                  <w:r>
                    <w:rPr>
                      <w:rFonts w:hint="eastAsia" w:cs="Times New Roman"/>
                      <w:color w:val="auto"/>
                      <w:kern w:val="2"/>
                      <w:sz w:val="21"/>
                      <w:szCs w:val="21"/>
                      <w:highlight w:val="none"/>
                      <w:u w:val="none" w:color="auto"/>
                      <w:lang w:val="en-US" w:eastAsia="zh-CN"/>
                    </w:rPr>
                    <w:t>，频发噪声、偶发噪声在发生时进行监测。</w:t>
                  </w:r>
                </w:p>
              </w:tc>
            </w:tr>
          </w:tbl>
          <w:p w14:paraId="44505E78">
            <w:pPr>
              <w:adjustRightInd w:val="0"/>
              <w:snapToGrid w:val="0"/>
              <w:spacing w:line="360" w:lineRule="auto"/>
              <w:ind w:firstLine="480" w:firstLineChars="200"/>
              <w:rPr>
                <w:rFonts w:hint="default" w:ascii="Times New Roman" w:hAnsi="Times New Roman" w:cs="Times New Roman"/>
                <w:bCs/>
                <w:color w:val="auto"/>
                <w:sz w:val="24"/>
                <w:highlight w:val="none"/>
                <w:u w:val="none" w:color="auto"/>
                <w:lang w:val="zh-CN"/>
              </w:rPr>
            </w:pPr>
            <w:r>
              <w:rPr>
                <w:rFonts w:hint="eastAsia" w:cs="Times New Roman"/>
                <w:bCs/>
                <w:color w:val="auto"/>
                <w:sz w:val="24"/>
                <w:highlight w:val="none"/>
                <w:u w:val="none" w:color="auto"/>
                <w:lang w:val="en-US" w:eastAsia="zh-CN"/>
              </w:rPr>
              <w:t>4.13</w:t>
            </w:r>
            <w:r>
              <w:rPr>
                <w:rFonts w:hint="default" w:ascii="Times New Roman" w:hAnsi="Times New Roman" w:cs="Times New Roman"/>
                <w:bCs/>
                <w:color w:val="auto"/>
                <w:sz w:val="24"/>
                <w:highlight w:val="none"/>
                <w:u w:val="none" w:color="auto"/>
              </w:rPr>
              <w:t>环保投资估算及验收“三同时”</w:t>
            </w:r>
          </w:p>
          <w:p w14:paraId="4A071E12">
            <w:pPr>
              <w:adjustRightInd w:val="0"/>
              <w:snapToGrid w:val="0"/>
              <w:spacing w:line="360" w:lineRule="auto"/>
              <w:ind w:firstLine="480" w:firstLineChars="200"/>
              <w:rPr>
                <w:rFonts w:hint="default" w:ascii="Times New Roman" w:hAnsi="Times New Roman" w:cs="Times New Roman"/>
                <w:bCs/>
                <w:color w:val="auto"/>
                <w:sz w:val="24"/>
                <w:highlight w:val="none"/>
                <w:u w:val="none" w:color="auto"/>
              </w:rPr>
            </w:pPr>
            <w:r>
              <w:rPr>
                <w:rFonts w:hint="default" w:ascii="Times New Roman" w:hAnsi="Times New Roman" w:cs="Times New Roman"/>
                <w:bCs/>
                <w:color w:val="auto"/>
                <w:sz w:val="24"/>
                <w:highlight w:val="none"/>
                <w:u w:val="none" w:color="auto"/>
              </w:rPr>
              <w:t>为了确保该项目建成后全厂“三废”排放符合国家排放标准和总量控制要求，创造良好的生活环境和工作环境，减轻运营过程中所带来的环境污染，根据本环评提出的运营期环保治理措施和建议，对该项目各项环保设施投资进行估算，本项目总投资为</w:t>
            </w:r>
            <w:r>
              <w:rPr>
                <w:rFonts w:hint="eastAsia" w:cs="Times New Roman"/>
                <w:bCs/>
                <w:color w:val="auto"/>
                <w:sz w:val="24"/>
                <w:highlight w:val="none"/>
                <w:u w:val="none" w:color="auto"/>
                <w:lang w:val="en-US" w:eastAsia="zh-CN"/>
              </w:rPr>
              <w:t>110</w:t>
            </w:r>
            <w:r>
              <w:rPr>
                <w:rFonts w:hint="default" w:ascii="Times New Roman" w:hAnsi="Times New Roman" w:cs="Times New Roman"/>
                <w:bCs/>
                <w:color w:val="auto"/>
                <w:sz w:val="24"/>
                <w:highlight w:val="none"/>
                <w:u w:val="none" w:color="auto"/>
              </w:rPr>
              <w:t>万元，其中环保投资为</w:t>
            </w:r>
            <w:r>
              <w:rPr>
                <w:rFonts w:hint="eastAsia" w:cs="Times New Roman"/>
                <w:bCs/>
                <w:color w:val="auto"/>
                <w:sz w:val="24"/>
                <w:highlight w:val="none"/>
                <w:u w:val="none" w:color="auto"/>
                <w:lang w:val="en-US" w:eastAsia="zh-CN"/>
              </w:rPr>
              <w:t>5</w:t>
            </w:r>
            <w:r>
              <w:rPr>
                <w:rFonts w:hint="default" w:ascii="Times New Roman" w:hAnsi="Times New Roman" w:cs="Times New Roman"/>
                <w:bCs/>
                <w:color w:val="auto"/>
                <w:sz w:val="24"/>
                <w:highlight w:val="none"/>
                <w:u w:val="none" w:color="auto"/>
              </w:rPr>
              <w:t>万元，占总投资的</w:t>
            </w:r>
            <w:r>
              <w:rPr>
                <w:rFonts w:hint="eastAsia" w:cs="Times New Roman"/>
                <w:bCs/>
                <w:color w:val="auto"/>
                <w:sz w:val="24"/>
                <w:highlight w:val="none"/>
                <w:u w:val="none" w:color="auto"/>
                <w:lang w:val="en-US" w:eastAsia="zh-CN"/>
              </w:rPr>
              <w:t>4.5</w:t>
            </w:r>
            <w:r>
              <w:rPr>
                <w:rFonts w:hint="default" w:ascii="Times New Roman" w:hAnsi="Times New Roman" w:cs="Times New Roman"/>
                <w:bCs/>
                <w:color w:val="auto"/>
                <w:sz w:val="24"/>
                <w:highlight w:val="none"/>
                <w:u w:val="none" w:color="auto"/>
              </w:rPr>
              <w:t>%。环保投资明细详见下表。</w:t>
            </w:r>
          </w:p>
          <w:p w14:paraId="263667A7">
            <w:pPr>
              <w:adjustRightInd w:val="0"/>
              <w:snapToGrid w:val="0"/>
              <w:jc w:val="center"/>
              <w:rPr>
                <w:rFonts w:hint="default" w:ascii="Times New Roman" w:hAnsi="Times New Roman" w:cs="Times New Roman"/>
                <w:b/>
                <w:bCs/>
                <w:color w:val="auto"/>
                <w:spacing w:val="-2"/>
                <w:sz w:val="24"/>
                <w:highlight w:val="none"/>
                <w:u w:val="none" w:color="auto"/>
              </w:rPr>
            </w:pPr>
            <w:r>
              <w:rPr>
                <w:rFonts w:hint="default" w:ascii="Times New Roman" w:hAnsi="Times New Roman" w:cs="Times New Roman"/>
                <w:b/>
                <w:bCs/>
                <w:color w:val="auto"/>
                <w:spacing w:val="-2"/>
                <w:sz w:val="24"/>
                <w:highlight w:val="none"/>
                <w:u w:val="none" w:color="auto"/>
              </w:rPr>
              <w:t>表</w:t>
            </w:r>
            <w:r>
              <w:rPr>
                <w:rFonts w:hint="eastAsia" w:cs="Times New Roman"/>
                <w:b/>
                <w:bCs/>
                <w:color w:val="auto"/>
                <w:spacing w:val="-2"/>
                <w:sz w:val="24"/>
                <w:highlight w:val="none"/>
                <w:u w:val="none" w:color="auto"/>
                <w:lang w:val="en-US" w:eastAsia="zh-CN"/>
              </w:rPr>
              <w:t>4-21 “三同时”及环保投资一览表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487"/>
              <w:gridCol w:w="2758"/>
              <w:gridCol w:w="2051"/>
              <w:gridCol w:w="672"/>
            </w:tblGrid>
            <w:tr w14:paraId="2E2DAF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75" w:type="pct"/>
                  <w:noWrap w:val="0"/>
                  <w:vAlign w:val="center"/>
                </w:tcPr>
                <w:p w14:paraId="15EF1B3E">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b w:val="0"/>
                      <w:bCs w:val="0"/>
                      <w:color w:val="auto"/>
                      <w:sz w:val="21"/>
                      <w:szCs w:val="21"/>
                      <w:u w:val="none" w:color="auto"/>
                      <w:lang w:val="en-US" w:eastAsia="zh-CN"/>
                    </w:rPr>
                    <w:t>类别</w:t>
                  </w:r>
                </w:p>
              </w:tc>
              <w:tc>
                <w:tcPr>
                  <w:tcW w:w="944" w:type="pct"/>
                  <w:noWrap w:val="0"/>
                  <w:vAlign w:val="center"/>
                </w:tcPr>
                <w:p w14:paraId="0A47E909">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污染源</w:t>
                  </w:r>
                </w:p>
              </w:tc>
              <w:tc>
                <w:tcPr>
                  <w:tcW w:w="1751" w:type="pct"/>
                  <w:noWrap w:val="0"/>
                  <w:vAlign w:val="center"/>
                </w:tcPr>
                <w:p w14:paraId="19F6E453">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验收内容</w:t>
                  </w:r>
                </w:p>
              </w:tc>
              <w:tc>
                <w:tcPr>
                  <w:tcW w:w="1302" w:type="pct"/>
                  <w:noWrap w:val="0"/>
                  <w:vAlign w:val="center"/>
                </w:tcPr>
                <w:p w14:paraId="5781BA16">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验收要求</w:t>
                  </w:r>
                </w:p>
              </w:tc>
              <w:tc>
                <w:tcPr>
                  <w:tcW w:w="426" w:type="pct"/>
                  <w:noWrap w:val="0"/>
                  <w:vAlign w:val="center"/>
                </w:tcPr>
                <w:p w14:paraId="1BAD7C62">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r>
                    <w:rPr>
                      <w:rFonts w:hint="default" w:ascii="Times New Roman" w:hAnsi="Times New Roman" w:eastAsia="宋体" w:cs="Times New Roman"/>
                      <w:b w:val="0"/>
                      <w:bCs w:val="0"/>
                      <w:color w:val="auto"/>
                      <w:sz w:val="21"/>
                      <w:szCs w:val="21"/>
                      <w:u w:val="none" w:color="auto"/>
                    </w:rPr>
                    <w:t>金额</w:t>
                  </w:r>
                  <w:r>
                    <w:rPr>
                      <w:rFonts w:hint="default" w:ascii="Times New Roman" w:hAnsi="Times New Roman" w:eastAsia="宋体" w:cs="Times New Roman"/>
                      <w:b w:val="0"/>
                      <w:bCs w:val="0"/>
                      <w:color w:val="auto"/>
                      <w:sz w:val="21"/>
                      <w:szCs w:val="21"/>
                      <w:u w:val="none" w:color="auto"/>
                      <w:lang w:eastAsia="zh-CN"/>
                    </w:rPr>
                    <w:t>（</w:t>
                  </w:r>
                  <w:r>
                    <w:rPr>
                      <w:rFonts w:hint="default" w:ascii="Times New Roman" w:hAnsi="Times New Roman" w:eastAsia="宋体" w:cs="Times New Roman"/>
                      <w:b w:val="0"/>
                      <w:bCs w:val="0"/>
                      <w:color w:val="auto"/>
                      <w:sz w:val="21"/>
                      <w:szCs w:val="21"/>
                      <w:u w:val="none" w:color="auto"/>
                      <w:lang w:val="en-US" w:eastAsia="zh-CN"/>
                    </w:rPr>
                    <w:t>万元</w:t>
                  </w:r>
                  <w:r>
                    <w:rPr>
                      <w:rFonts w:hint="default" w:ascii="Times New Roman" w:hAnsi="Times New Roman" w:eastAsia="宋体" w:cs="Times New Roman"/>
                      <w:b w:val="0"/>
                      <w:bCs w:val="0"/>
                      <w:color w:val="auto"/>
                      <w:sz w:val="21"/>
                      <w:szCs w:val="21"/>
                      <w:u w:val="none" w:color="auto"/>
                      <w:lang w:eastAsia="zh-CN"/>
                    </w:rPr>
                    <w:t>）</w:t>
                  </w:r>
                </w:p>
              </w:tc>
            </w:tr>
            <w:tr w14:paraId="1ECE6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575" w:type="pct"/>
                  <w:vMerge w:val="restart"/>
                  <w:noWrap w:val="0"/>
                  <w:vAlign w:val="center"/>
                </w:tcPr>
                <w:p w14:paraId="20346247">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废气</w:t>
                  </w:r>
                </w:p>
              </w:tc>
              <w:tc>
                <w:tcPr>
                  <w:tcW w:w="944" w:type="pct"/>
                  <w:vMerge w:val="restart"/>
                  <w:noWrap w:val="0"/>
                  <w:vAlign w:val="center"/>
                </w:tcPr>
                <w:p w14:paraId="3CC615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21"/>
                      <w:szCs w:val="21"/>
                      <w:u w:val="none" w:color="auto"/>
                      <w:lang w:eastAsia="zh-CN"/>
                    </w:rPr>
                  </w:pPr>
                  <w:r>
                    <w:rPr>
                      <w:rFonts w:hint="default" w:ascii="Times New Roman" w:hAnsi="Times New Roman" w:eastAsia="宋体" w:cs="Times New Roman"/>
                      <w:b w:val="0"/>
                      <w:bCs w:val="0"/>
                      <w:color w:val="auto"/>
                      <w:sz w:val="21"/>
                      <w:szCs w:val="21"/>
                      <w:u w:val="none" w:color="auto"/>
                      <w:lang w:eastAsia="zh-CN"/>
                    </w:rPr>
                    <w:t>生物质</w:t>
                  </w:r>
                </w:p>
                <w:p w14:paraId="07AD75E4">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lang w:eastAsia="zh-CN"/>
                    </w:rPr>
                    <w:t>热风</w:t>
                  </w:r>
                  <w:r>
                    <w:rPr>
                      <w:rFonts w:hint="default" w:ascii="Times New Roman" w:hAnsi="Times New Roman" w:eastAsia="宋体" w:cs="Times New Roman"/>
                      <w:b w:val="0"/>
                      <w:bCs w:val="0"/>
                      <w:color w:val="auto"/>
                      <w:sz w:val="21"/>
                      <w:szCs w:val="21"/>
                      <w:u w:val="none" w:color="auto"/>
                    </w:rPr>
                    <w:t>炉</w:t>
                  </w:r>
                  <w:r>
                    <w:rPr>
                      <w:rFonts w:hint="default" w:ascii="Times New Roman" w:hAnsi="Times New Roman" w:eastAsia="宋体" w:cs="Times New Roman"/>
                      <w:b w:val="0"/>
                      <w:bCs w:val="0"/>
                      <w:color w:val="auto"/>
                      <w:sz w:val="21"/>
                      <w:szCs w:val="21"/>
                      <w:u w:val="none" w:color="auto"/>
                      <w:lang w:eastAsia="zh-CN"/>
                    </w:rPr>
                    <w:t>烟气</w:t>
                  </w:r>
                </w:p>
              </w:tc>
              <w:tc>
                <w:tcPr>
                  <w:tcW w:w="1751" w:type="pct"/>
                  <w:vMerge w:val="restart"/>
                  <w:noWrap w:val="0"/>
                  <w:vAlign w:val="center"/>
                </w:tcPr>
                <w:p w14:paraId="50DF3C44">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lang w:val="en-US" w:eastAsia="zh-CN"/>
                    </w:rPr>
                    <w:t>布袋除尘器+</w:t>
                  </w:r>
                  <w:r>
                    <w:rPr>
                      <w:rFonts w:hint="eastAsia" w:cs="Times New Roman"/>
                      <w:b w:val="0"/>
                      <w:bCs w:val="0"/>
                      <w:color w:val="auto"/>
                      <w:sz w:val="21"/>
                      <w:szCs w:val="21"/>
                      <w:u w:val="none" w:color="auto"/>
                      <w:lang w:val="en-US" w:eastAsia="zh-CN"/>
                    </w:rPr>
                    <w:t>18m烟囱</w:t>
                  </w:r>
                </w:p>
              </w:tc>
              <w:tc>
                <w:tcPr>
                  <w:tcW w:w="1302" w:type="pct"/>
                  <w:noWrap w:val="0"/>
                  <w:vAlign w:val="center"/>
                </w:tcPr>
                <w:p w14:paraId="30D6CB2C">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烟尘</w:t>
                  </w:r>
                  <w:r>
                    <w:rPr>
                      <w:rFonts w:hint="default" w:ascii="Times New Roman" w:hAnsi="Times New Roman" w:eastAsia="宋体" w:cs="Times New Roman"/>
                      <w:b w:val="0"/>
                      <w:bCs w:val="0"/>
                      <w:color w:val="auto"/>
                      <w:sz w:val="21"/>
                      <w:szCs w:val="21"/>
                      <w:u w:val="none" w:color="auto"/>
                      <w:lang w:eastAsia="zh-CN"/>
                    </w:rPr>
                    <w:t>、</w:t>
                  </w:r>
                  <w:r>
                    <w:rPr>
                      <w:rFonts w:hint="default" w:ascii="Times New Roman" w:hAnsi="Times New Roman" w:eastAsia="宋体" w:cs="Times New Roman"/>
                      <w:b w:val="0"/>
                      <w:bCs w:val="0"/>
                      <w:color w:val="auto"/>
                      <w:sz w:val="21"/>
                      <w:szCs w:val="21"/>
                      <w:u w:val="none" w:color="auto"/>
                    </w:rPr>
                    <w:t>SO</w:t>
                  </w:r>
                  <w:r>
                    <w:rPr>
                      <w:rFonts w:hint="default" w:ascii="Times New Roman" w:hAnsi="Times New Roman" w:eastAsia="宋体" w:cs="Times New Roman"/>
                      <w:b w:val="0"/>
                      <w:bCs w:val="0"/>
                      <w:color w:val="auto"/>
                      <w:sz w:val="21"/>
                      <w:szCs w:val="21"/>
                      <w:u w:val="none" w:color="auto"/>
                      <w:vertAlign w:val="subscript"/>
                    </w:rPr>
                    <w:t>2</w:t>
                  </w:r>
                  <w:r>
                    <w:rPr>
                      <w:rFonts w:hint="eastAsia" w:cs="Times New Roman"/>
                      <w:b w:val="0"/>
                      <w:bCs w:val="0"/>
                      <w:color w:val="auto"/>
                      <w:sz w:val="21"/>
                      <w:szCs w:val="21"/>
                      <w:u w:val="none" w:color="auto"/>
                      <w:vertAlign w:val="baseline"/>
                      <w:lang w:eastAsia="zh-CN"/>
                    </w:rPr>
                    <w:t>、</w:t>
                  </w:r>
                  <w:r>
                    <w:rPr>
                      <w:rFonts w:hint="eastAsia" w:cs="Times New Roman"/>
                      <w:b w:val="0"/>
                      <w:bCs w:val="0"/>
                      <w:color w:val="auto"/>
                      <w:sz w:val="21"/>
                      <w:szCs w:val="21"/>
                      <w:u w:val="none" w:color="auto"/>
                      <w:vertAlign w:val="baseline"/>
                      <w:lang w:val="en-US" w:eastAsia="zh-CN"/>
                    </w:rPr>
                    <w:t>林格曼黑度</w:t>
                  </w:r>
                  <w:r>
                    <w:rPr>
                      <w:rFonts w:hint="default" w:ascii="Times New Roman" w:hAnsi="Times New Roman" w:eastAsia="宋体" w:cs="Times New Roman"/>
                      <w:b w:val="0"/>
                      <w:bCs w:val="0"/>
                      <w:color w:val="auto"/>
                      <w:sz w:val="21"/>
                      <w:szCs w:val="21"/>
                      <w:u w:val="none" w:color="auto"/>
                      <w:lang w:eastAsia="zh-CN"/>
                    </w:rPr>
                    <w:t>执行</w:t>
                  </w:r>
                  <w:r>
                    <w:rPr>
                      <w:rFonts w:hint="default" w:ascii="Times New Roman" w:hAnsi="Times New Roman" w:eastAsia="宋体" w:cs="Times New Roman"/>
                      <w:b w:val="0"/>
                      <w:bCs w:val="0"/>
                      <w:color w:val="auto"/>
                      <w:sz w:val="21"/>
                      <w:szCs w:val="21"/>
                      <w:u w:val="none" w:color="auto"/>
                    </w:rPr>
                    <w:t>《</w:t>
                  </w:r>
                  <w:r>
                    <w:rPr>
                      <w:rFonts w:hint="default" w:ascii="Times New Roman" w:hAnsi="Times New Roman" w:eastAsia="宋体" w:cs="Times New Roman"/>
                      <w:b w:val="0"/>
                      <w:bCs w:val="0"/>
                      <w:color w:val="auto"/>
                      <w:kern w:val="2"/>
                      <w:sz w:val="21"/>
                      <w:szCs w:val="21"/>
                      <w:u w:val="none" w:color="auto"/>
                      <w:lang w:val="zh-CN" w:eastAsia="zh-CN" w:bidi="ar-SA"/>
                    </w:rPr>
                    <w:t>工业炉窑大气污染物排放标准</w:t>
                  </w:r>
                  <w:r>
                    <w:rPr>
                      <w:rFonts w:hint="default" w:ascii="Times New Roman" w:hAnsi="Times New Roman" w:eastAsia="宋体" w:cs="Times New Roman"/>
                      <w:b w:val="0"/>
                      <w:bCs w:val="0"/>
                      <w:color w:val="auto"/>
                      <w:sz w:val="21"/>
                      <w:szCs w:val="21"/>
                      <w:u w:val="none" w:color="auto"/>
                    </w:rPr>
                    <w:t>》（GB</w:t>
                  </w:r>
                  <w:r>
                    <w:rPr>
                      <w:rFonts w:hint="default" w:ascii="Times New Roman" w:hAnsi="Times New Roman" w:eastAsia="宋体" w:cs="Times New Roman"/>
                      <w:b w:val="0"/>
                      <w:bCs w:val="0"/>
                      <w:color w:val="auto"/>
                      <w:sz w:val="21"/>
                      <w:szCs w:val="21"/>
                      <w:u w:val="none" w:color="auto"/>
                      <w:lang w:val="en-US" w:eastAsia="zh-CN"/>
                    </w:rPr>
                    <w:t>9078</w:t>
                  </w:r>
                  <w:r>
                    <w:rPr>
                      <w:rFonts w:hint="default" w:ascii="Times New Roman" w:hAnsi="Times New Roman" w:eastAsia="宋体" w:cs="Times New Roman"/>
                      <w:b w:val="0"/>
                      <w:bCs w:val="0"/>
                      <w:color w:val="auto"/>
                      <w:sz w:val="21"/>
                      <w:szCs w:val="21"/>
                      <w:u w:val="none" w:color="auto"/>
                    </w:rPr>
                    <w:t>-1996）</w:t>
                  </w:r>
                </w:p>
              </w:tc>
              <w:tc>
                <w:tcPr>
                  <w:tcW w:w="426" w:type="pct"/>
                  <w:vMerge w:val="restart"/>
                  <w:noWrap w:val="0"/>
                  <w:vAlign w:val="center"/>
                </w:tcPr>
                <w:p w14:paraId="60AA0AED">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eastAsia" w:ascii="Times New Roman" w:hAnsi="Times New Roman" w:cs="Times New Roman"/>
                      <w:b w:val="0"/>
                      <w:bCs w:val="0"/>
                      <w:color w:val="auto"/>
                      <w:sz w:val="21"/>
                      <w:szCs w:val="21"/>
                      <w:u w:val="none" w:color="auto"/>
                      <w:lang w:val="en-US" w:eastAsia="zh-CN"/>
                    </w:rPr>
                    <w:t>1</w:t>
                  </w:r>
                </w:p>
              </w:tc>
            </w:tr>
            <w:tr w14:paraId="39AD7A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575" w:type="pct"/>
                  <w:vMerge w:val="continue"/>
                  <w:noWrap w:val="0"/>
                  <w:vAlign w:val="center"/>
                </w:tcPr>
                <w:p w14:paraId="2E867A97">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944" w:type="pct"/>
                  <w:vMerge w:val="continue"/>
                  <w:noWrap w:val="0"/>
                  <w:vAlign w:val="center"/>
                </w:tcPr>
                <w:p w14:paraId="066DEDC8">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1751" w:type="pct"/>
                  <w:vMerge w:val="continue"/>
                  <w:noWrap w:val="0"/>
                  <w:vAlign w:val="center"/>
                </w:tcPr>
                <w:p w14:paraId="76FA4276">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1302" w:type="pct"/>
                  <w:noWrap w:val="0"/>
                  <w:vAlign w:val="center"/>
                </w:tcPr>
                <w:p w14:paraId="3979CA5E">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val="0"/>
                      <w:color w:val="auto"/>
                      <w:sz w:val="21"/>
                      <w:szCs w:val="21"/>
                      <w:u w:val="none" w:color="auto"/>
                      <w:lang w:val="en-US" w:eastAsia="zh-CN"/>
                    </w:rPr>
                  </w:pPr>
                  <w:r>
                    <w:rPr>
                      <w:rFonts w:hint="default" w:ascii="Times New Roman" w:hAnsi="Times New Roman" w:eastAsia="宋体" w:cs="Times New Roman"/>
                      <w:b w:val="0"/>
                      <w:bCs w:val="0"/>
                      <w:color w:val="auto"/>
                      <w:sz w:val="21"/>
                      <w:szCs w:val="21"/>
                      <w:u w:val="none" w:color="auto"/>
                    </w:rPr>
                    <w:t>氮氧化物</w:t>
                  </w:r>
                  <w:r>
                    <w:rPr>
                      <w:rFonts w:hint="default" w:ascii="Times New Roman" w:hAnsi="Times New Roman" w:eastAsia="宋体" w:cs="Times New Roman"/>
                      <w:b w:val="0"/>
                      <w:bCs w:val="0"/>
                      <w:color w:val="auto"/>
                      <w:sz w:val="21"/>
                      <w:szCs w:val="21"/>
                      <w:u w:val="none" w:color="auto"/>
                      <w:lang w:eastAsia="zh-CN"/>
                    </w:rPr>
                    <w:t>执行</w:t>
                  </w:r>
                  <w:r>
                    <w:rPr>
                      <w:rFonts w:hint="default" w:ascii="Times New Roman" w:hAnsi="Times New Roman" w:eastAsia="宋体" w:cs="Times New Roman"/>
                      <w:b w:val="0"/>
                      <w:bCs w:val="0"/>
                      <w:color w:val="auto"/>
                      <w:sz w:val="21"/>
                      <w:szCs w:val="21"/>
                      <w:u w:val="none" w:color="auto"/>
                    </w:rPr>
                    <w:t>《大气污染物综合排放标准》（GB16297-1996）</w:t>
                  </w:r>
                  <w:r>
                    <w:rPr>
                      <w:rFonts w:hint="default" w:ascii="Times New Roman" w:hAnsi="Times New Roman" w:eastAsia="宋体" w:cs="Times New Roman"/>
                      <w:b w:val="0"/>
                      <w:bCs w:val="0"/>
                      <w:color w:val="auto"/>
                      <w:sz w:val="21"/>
                      <w:szCs w:val="21"/>
                      <w:u w:val="none" w:color="auto"/>
                      <w:lang w:eastAsia="zh-CN"/>
                    </w:rPr>
                    <w:t>表</w:t>
                  </w:r>
                  <w:r>
                    <w:rPr>
                      <w:rFonts w:hint="default" w:ascii="Times New Roman" w:hAnsi="Times New Roman" w:eastAsia="宋体" w:cs="Times New Roman"/>
                      <w:b w:val="0"/>
                      <w:bCs w:val="0"/>
                      <w:color w:val="auto"/>
                      <w:sz w:val="21"/>
                      <w:szCs w:val="21"/>
                      <w:u w:val="none" w:color="auto"/>
                      <w:lang w:val="en-US" w:eastAsia="zh-CN"/>
                    </w:rPr>
                    <w:t>2</w:t>
                  </w:r>
                  <w:r>
                    <w:rPr>
                      <w:rFonts w:hint="default" w:ascii="Times New Roman" w:hAnsi="Times New Roman" w:eastAsia="宋体" w:cs="Times New Roman"/>
                      <w:b w:val="0"/>
                      <w:bCs w:val="0"/>
                      <w:color w:val="auto"/>
                      <w:sz w:val="21"/>
                      <w:szCs w:val="21"/>
                      <w:u w:val="none" w:color="auto"/>
                    </w:rPr>
                    <w:t>中</w:t>
                  </w:r>
                  <w:r>
                    <w:rPr>
                      <w:rFonts w:hint="default" w:ascii="Times New Roman" w:hAnsi="Times New Roman" w:eastAsia="宋体" w:cs="Times New Roman"/>
                      <w:b w:val="0"/>
                      <w:bCs w:val="0"/>
                      <w:color w:val="auto"/>
                      <w:sz w:val="21"/>
                      <w:szCs w:val="21"/>
                      <w:u w:val="none" w:color="auto"/>
                      <w:lang w:eastAsia="zh-CN"/>
                    </w:rPr>
                    <w:t>二级排放</w:t>
                  </w:r>
                  <w:r>
                    <w:rPr>
                      <w:rFonts w:hint="default" w:ascii="Times New Roman" w:hAnsi="Times New Roman" w:eastAsia="宋体" w:cs="Times New Roman"/>
                      <w:b w:val="0"/>
                      <w:bCs w:val="0"/>
                      <w:color w:val="auto"/>
                      <w:sz w:val="21"/>
                      <w:szCs w:val="21"/>
                      <w:u w:val="none" w:color="auto"/>
                    </w:rPr>
                    <w:t>限值</w:t>
                  </w:r>
                  <w:r>
                    <w:rPr>
                      <w:rFonts w:hint="eastAsia" w:cs="Times New Roman"/>
                      <w:b w:val="0"/>
                      <w:bCs w:val="0"/>
                      <w:color w:val="auto"/>
                      <w:sz w:val="21"/>
                      <w:szCs w:val="21"/>
                      <w:u w:val="none" w:color="auto"/>
                      <w:lang w:val="en-US" w:eastAsia="zh-CN"/>
                    </w:rPr>
                    <w:t>和速率</w:t>
                  </w:r>
                </w:p>
              </w:tc>
              <w:tc>
                <w:tcPr>
                  <w:tcW w:w="426" w:type="pct"/>
                  <w:vMerge w:val="continue"/>
                  <w:noWrap w:val="0"/>
                  <w:vAlign w:val="center"/>
                </w:tcPr>
                <w:p w14:paraId="4384E5AF">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r>
            <w:tr w14:paraId="5D3EE9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75" w:type="pct"/>
                  <w:vMerge w:val="continue"/>
                  <w:noWrap w:val="0"/>
                  <w:vAlign w:val="center"/>
                </w:tcPr>
                <w:p w14:paraId="5379267A">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944" w:type="pct"/>
                  <w:noWrap w:val="0"/>
                  <w:vAlign w:val="center"/>
                </w:tcPr>
                <w:p w14:paraId="1CEA51A6">
                  <w:pPr>
                    <w:pStyle w:val="77"/>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21"/>
                      <w:szCs w:val="21"/>
                      <w:u w:val="none" w:color="auto"/>
                      <w:lang w:eastAsia="zh-CN"/>
                    </w:rPr>
                  </w:pPr>
                  <w:r>
                    <w:rPr>
                      <w:rFonts w:hint="default" w:ascii="Times New Roman" w:hAnsi="Times New Roman" w:eastAsia="宋体" w:cs="Times New Roman"/>
                      <w:b w:val="0"/>
                      <w:bCs w:val="0"/>
                      <w:color w:val="auto"/>
                      <w:sz w:val="21"/>
                      <w:szCs w:val="21"/>
                      <w:u w:val="none" w:color="auto"/>
                      <w:lang w:eastAsia="zh-CN"/>
                    </w:rPr>
                    <w:t>筛分粉尘</w:t>
                  </w:r>
                </w:p>
              </w:tc>
              <w:tc>
                <w:tcPr>
                  <w:tcW w:w="1751" w:type="pct"/>
                  <w:noWrap w:val="0"/>
                  <w:vAlign w:val="center"/>
                </w:tcPr>
                <w:p w14:paraId="0AA710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val="0"/>
                      <w:color w:val="auto"/>
                      <w:sz w:val="21"/>
                      <w:szCs w:val="21"/>
                      <w:u w:val="single" w:color="auto"/>
                      <w:lang w:eastAsia="zh-CN"/>
                    </w:rPr>
                  </w:pPr>
                  <w:r>
                    <w:rPr>
                      <w:rFonts w:hint="eastAsia" w:cs="Times New Roman"/>
                      <w:b w:val="0"/>
                      <w:bCs w:val="0"/>
                      <w:color w:val="auto"/>
                      <w:sz w:val="21"/>
                      <w:szCs w:val="21"/>
                      <w:u w:val="single" w:color="auto"/>
                      <w:lang w:val="en-US" w:eastAsia="zh-CN"/>
                    </w:rPr>
                    <w:t>圆筒筛上安装</w:t>
                  </w:r>
                  <w:r>
                    <w:rPr>
                      <w:rFonts w:hint="default" w:cs="Times New Roman"/>
                      <w:b w:val="0"/>
                      <w:bCs w:val="0"/>
                      <w:color w:val="auto"/>
                      <w:sz w:val="21"/>
                      <w:szCs w:val="21"/>
                      <w:u w:val="single" w:color="auto"/>
                      <w:lang w:eastAsia="zh-CN"/>
                    </w:rPr>
                    <w:t>密封罩</w:t>
                  </w:r>
                  <w:r>
                    <w:rPr>
                      <w:rFonts w:hint="eastAsia" w:cs="Times New Roman"/>
                      <w:b w:val="0"/>
                      <w:bCs w:val="0"/>
                      <w:color w:val="auto"/>
                      <w:sz w:val="21"/>
                      <w:szCs w:val="21"/>
                      <w:u w:val="single" w:color="auto"/>
                      <w:lang w:eastAsia="zh-CN"/>
                    </w:rPr>
                    <w:t>，圆筒筛下安装围挡</w:t>
                  </w:r>
                </w:p>
              </w:tc>
              <w:tc>
                <w:tcPr>
                  <w:tcW w:w="1302" w:type="pct"/>
                  <w:vMerge w:val="restart"/>
                  <w:noWrap w:val="0"/>
                  <w:vAlign w:val="center"/>
                </w:tcPr>
                <w:p w14:paraId="6A3CA703">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r>
                    <w:rPr>
                      <w:rFonts w:hint="default" w:ascii="Times New Roman" w:hAnsi="Times New Roman" w:eastAsia="宋体" w:cs="Times New Roman"/>
                      <w:b w:val="0"/>
                      <w:bCs w:val="0"/>
                      <w:color w:val="auto"/>
                      <w:sz w:val="21"/>
                      <w:szCs w:val="21"/>
                      <w:u w:val="none" w:color="auto"/>
                    </w:rPr>
                    <w:t>《大气污染物综合排放标准》（GB16297-1996）</w:t>
                  </w:r>
                  <w:r>
                    <w:rPr>
                      <w:rFonts w:hint="default" w:ascii="Times New Roman" w:hAnsi="Times New Roman" w:eastAsia="宋体" w:cs="Times New Roman"/>
                      <w:b w:val="0"/>
                      <w:bCs w:val="0"/>
                      <w:color w:val="auto"/>
                      <w:sz w:val="21"/>
                      <w:szCs w:val="21"/>
                      <w:u w:val="none" w:color="auto"/>
                      <w:lang w:eastAsia="zh-CN"/>
                    </w:rPr>
                    <w:t>表</w:t>
                  </w:r>
                  <w:r>
                    <w:rPr>
                      <w:rFonts w:hint="default" w:ascii="Times New Roman" w:hAnsi="Times New Roman" w:eastAsia="宋体" w:cs="Times New Roman"/>
                      <w:b w:val="0"/>
                      <w:bCs w:val="0"/>
                      <w:color w:val="auto"/>
                      <w:sz w:val="21"/>
                      <w:szCs w:val="21"/>
                      <w:u w:val="none" w:color="auto"/>
                      <w:lang w:val="en-US" w:eastAsia="zh-CN"/>
                    </w:rPr>
                    <w:t>2</w:t>
                  </w:r>
                  <w:r>
                    <w:rPr>
                      <w:rFonts w:hint="default" w:ascii="Times New Roman" w:hAnsi="Times New Roman" w:eastAsia="宋体" w:cs="Times New Roman"/>
                      <w:b w:val="0"/>
                      <w:bCs w:val="0"/>
                      <w:color w:val="auto"/>
                      <w:sz w:val="21"/>
                      <w:szCs w:val="21"/>
                      <w:u w:val="none" w:color="auto"/>
                    </w:rPr>
                    <w:t>中</w:t>
                  </w:r>
                  <w:r>
                    <w:rPr>
                      <w:rFonts w:hint="default" w:ascii="Times New Roman" w:hAnsi="Times New Roman" w:eastAsia="宋体" w:cs="Times New Roman"/>
                      <w:b w:val="0"/>
                      <w:bCs w:val="0"/>
                      <w:color w:val="auto"/>
                      <w:sz w:val="21"/>
                      <w:szCs w:val="21"/>
                      <w:u w:val="none" w:color="auto"/>
                      <w:lang w:val="en-US" w:eastAsia="zh-CN"/>
                    </w:rPr>
                    <w:t>无组织排放监控</w:t>
                  </w:r>
                  <w:r>
                    <w:rPr>
                      <w:rFonts w:hint="default" w:ascii="Times New Roman" w:hAnsi="Times New Roman" w:eastAsia="宋体" w:cs="Times New Roman"/>
                      <w:b w:val="0"/>
                      <w:bCs w:val="0"/>
                      <w:color w:val="auto"/>
                      <w:sz w:val="21"/>
                      <w:szCs w:val="21"/>
                      <w:u w:val="none" w:color="auto"/>
                    </w:rPr>
                    <w:t>浓度限值</w:t>
                  </w:r>
                </w:p>
              </w:tc>
              <w:tc>
                <w:tcPr>
                  <w:tcW w:w="426" w:type="pct"/>
                  <w:vMerge w:val="restart"/>
                  <w:noWrap w:val="0"/>
                  <w:vAlign w:val="center"/>
                </w:tcPr>
                <w:p w14:paraId="620C251A">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r>
                    <w:rPr>
                      <w:rFonts w:hint="default" w:ascii="Times New Roman" w:hAnsi="Times New Roman" w:cs="Times New Roman"/>
                      <w:b w:val="0"/>
                      <w:bCs w:val="0"/>
                      <w:color w:val="auto"/>
                      <w:sz w:val="21"/>
                      <w:szCs w:val="21"/>
                      <w:u w:val="none" w:color="auto"/>
                      <w:lang w:val="en-US" w:eastAsia="zh-CN"/>
                    </w:rPr>
                    <w:t>1</w:t>
                  </w:r>
                </w:p>
              </w:tc>
            </w:tr>
            <w:tr w14:paraId="26C773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75" w:type="pct"/>
                  <w:vMerge w:val="continue"/>
                  <w:noWrap w:val="0"/>
                  <w:vAlign w:val="center"/>
                </w:tcPr>
                <w:p w14:paraId="3BF7493F">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b w:val="0"/>
                      <w:bCs w:val="0"/>
                      <w:color w:val="auto"/>
                      <w:sz w:val="21"/>
                      <w:szCs w:val="21"/>
                      <w:u w:val="none" w:color="auto"/>
                    </w:rPr>
                  </w:pPr>
                </w:p>
              </w:tc>
              <w:tc>
                <w:tcPr>
                  <w:tcW w:w="944" w:type="pct"/>
                  <w:noWrap w:val="0"/>
                  <w:vAlign w:val="center"/>
                </w:tcPr>
                <w:p w14:paraId="4B4160CA">
                  <w:pPr>
                    <w:pStyle w:val="77"/>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21"/>
                      <w:szCs w:val="21"/>
                      <w:u w:val="none" w:color="auto"/>
                      <w:lang w:eastAsia="zh-CN"/>
                    </w:rPr>
                  </w:pPr>
                  <w:r>
                    <w:rPr>
                      <w:rFonts w:hint="default" w:ascii="Times New Roman" w:hAnsi="Times New Roman" w:eastAsia="宋体" w:cs="Times New Roman"/>
                      <w:b w:val="0"/>
                      <w:bCs w:val="0"/>
                      <w:color w:val="auto"/>
                      <w:sz w:val="21"/>
                      <w:szCs w:val="21"/>
                      <w:u w:val="none" w:color="auto"/>
                    </w:rPr>
                    <w:t>烘干粉尘</w:t>
                  </w:r>
                </w:p>
              </w:tc>
              <w:tc>
                <w:tcPr>
                  <w:tcW w:w="1751" w:type="pct"/>
                  <w:noWrap w:val="0"/>
                  <w:vAlign w:val="center"/>
                </w:tcPr>
                <w:p w14:paraId="582AE5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val="0"/>
                      <w:color w:val="auto"/>
                      <w:sz w:val="21"/>
                      <w:szCs w:val="21"/>
                      <w:u w:val="single" w:color="auto"/>
                      <w:lang w:eastAsia="zh-CN"/>
                    </w:rPr>
                  </w:pPr>
                  <w:r>
                    <w:rPr>
                      <w:rFonts w:hint="eastAsia" w:cs="Times New Roman"/>
                      <w:b w:val="0"/>
                      <w:bCs w:val="0"/>
                      <w:color w:val="auto"/>
                      <w:sz w:val="21"/>
                      <w:szCs w:val="21"/>
                      <w:u w:val="single" w:color="auto"/>
                      <w:lang w:eastAsia="zh-CN"/>
                    </w:rPr>
                    <w:t>烘干塔外设置密闭罩，排潮口处安装加密除尘网</w:t>
                  </w:r>
                </w:p>
              </w:tc>
              <w:tc>
                <w:tcPr>
                  <w:tcW w:w="1302" w:type="pct"/>
                  <w:vMerge w:val="continue"/>
                  <w:noWrap w:val="0"/>
                  <w:vAlign w:val="center"/>
                </w:tcPr>
                <w:p w14:paraId="3F0AD6DC">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p>
              </w:tc>
              <w:tc>
                <w:tcPr>
                  <w:tcW w:w="426" w:type="pct"/>
                  <w:vMerge w:val="continue"/>
                  <w:noWrap w:val="0"/>
                  <w:vAlign w:val="center"/>
                </w:tcPr>
                <w:p w14:paraId="7418F04D">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p>
              </w:tc>
            </w:tr>
            <w:tr w14:paraId="3C2D97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75" w:type="pct"/>
                  <w:vMerge w:val="continue"/>
                  <w:noWrap w:val="0"/>
                  <w:vAlign w:val="center"/>
                </w:tcPr>
                <w:p w14:paraId="22EBAC2B">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p>
              </w:tc>
              <w:tc>
                <w:tcPr>
                  <w:tcW w:w="944" w:type="pct"/>
                  <w:shd w:val="clear" w:color="auto" w:fill="auto"/>
                  <w:noWrap w:val="0"/>
                  <w:vAlign w:val="center"/>
                </w:tcPr>
                <w:p w14:paraId="0EB9CE12">
                  <w:pPr>
                    <w:pStyle w:val="77"/>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21"/>
                      <w:szCs w:val="21"/>
                      <w:u w:val="none" w:color="auto"/>
                      <w:lang w:val="en-US" w:eastAsia="zh-CN" w:bidi="ar-SA"/>
                    </w:rPr>
                  </w:pPr>
                  <w:r>
                    <w:rPr>
                      <w:rFonts w:hint="default" w:ascii="Times New Roman" w:hAnsi="Times New Roman" w:eastAsia="宋体" w:cs="Times New Roman"/>
                      <w:b w:val="0"/>
                      <w:bCs w:val="0"/>
                      <w:color w:val="auto"/>
                      <w:sz w:val="21"/>
                      <w:szCs w:val="21"/>
                      <w:u w:val="none" w:color="auto"/>
                      <w:lang w:eastAsia="zh-CN"/>
                    </w:rPr>
                    <w:t>装卸、输送粉尘</w:t>
                  </w:r>
                </w:p>
              </w:tc>
              <w:tc>
                <w:tcPr>
                  <w:tcW w:w="1751" w:type="pct"/>
                  <w:shd w:val="clear" w:color="auto" w:fill="auto"/>
                  <w:noWrap w:val="0"/>
                  <w:vAlign w:val="center"/>
                </w:tcPr>
                <w:p w14:paraId="487F4C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val="0"/>
                      <w:color w:val="auto"/>
                      <w:sz w:val="21"/>
                      <w:szCs w:val="21"/>
                      <w:u w:val="single" w:color="auto"/>
                      <w:lang w:val="en-US" w:eastAsia="zh-CN"/>
                    </w:rPr>
                  </w:pPr>
                  <w:r>
                    <w:rPr>
                      <w:rFonts w:hint="eastAsia" w:cs="Times New Roman"/>
                      <w:b w:val="0"/>
                      <w:bCs w:val="0"/>
                      <w:color w:val="auto"/>
                      <w:sz w:val="21"/>
                      <w:szCs w:val="21"/>
                      <w:u w:val="single" w:color="auto"/>
                      <w:lang w:eastAsia="zh-CN"/>
                    </w:rPr>
                    <w:t>晾晒场采用</w:t>
                  </w:r>
                  <w:r>
                    <w:rPr>
                      <w:rFonts w:hint="eastAsia" w:cs="Times New Roman"/>
                      <w:b w:val="0"/>
                      <w:bCs w:val="0"/>
                      <w:color w:val="auto"/>
                      <w:sz w:val="21"/>
                      <w:szCs w:val="21"/>
                      <w:highlight w:val="yellow"/>
                      <w:u w:val="single" w:color="auto"/>
                      <w:lang w:eastAsia="zh-CN"/>
                    </w:rPr>
                    <w:t>防尘网苫盖</w:t>
                  </w:r>
                  <w:r>
                    <w:rPr>
                      <w:rFonts w:hint="eastAsia" w:cs="Times New Roman"/>
                      <w:b w:val="0"/>
                      <w:bCs w:val="0"/>
                      <w:color w:val="auto"/>
                      <w:sz w:val="21"/>
                      <w:szCs w:val="21"/>
                      <w:u w:val="single" w:color="auto"/>
                      <w:lang w:eastAsia="zh-CN"/>
                    </w:rPr>
                    <w:t>，卸料时尽量降低卸料高度，避免大风天气作业；输送带、提升机密闭，控制及减缓输送带速度</w:t>
                  </w:r>
                </w:p>
              </w:tc>
              <w:tc>
                <w:tcPr>
                  <w:tcW w:w="1302" w:type="pct"/>
                  <w:vMerge w:val="continue"/>
                  <w:noWrap w:val="0"/>
                  <w:vAlign w:val="center"/>
                </w:tcPr>
                <w:p w14:paraId="5B7AD4A8">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p>
              </w:tc>
              <w:tc>
                <w:tcPr>
                  <w:tcW w:w="426" w:type="pct"/>
                  <w:vMerge w:val="continue"/>
                  <w:noWrap w:val="0"/>
                  <w:vAlign w:val="center"/>
                </w:tcPr>
                <w:p w14:paraId="48161DB3">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p>
              </w:tc>
            </w:tr>
            <w:tr w14:paraId="0F528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575" w:type="pct"/>
                  <w:vMerge w:val="continue"/>
                  <w:noWrap w:val="0"/>
                  <w:vAlign w:val="center"/>
                </w:tcPr>
                <w:p w14:paraId="27A42C66">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p>
              </w:tc>
              <w:tc>
                <w:tcPr>
                  <w:tcW w:w="944" w:type="pct"/>
                  <w:noWrap w:val="0"/>
                  <w:vAlign w:val="center"/>
                </w:tcPr>
                <w:p w14:paraId="77D4EED7">
                  <w:pPr>
                    <w:pStyle w:val="77"/>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21"/>
                      <w:szCs w:val="21"/>
                      <w:u w:val="none" w:color="auto"/>
                      <w:lang w:eastAsia="zh-CN"/>
                    </w:rPr>
                  </w:pPr>
                  <w:r>
                    <w:rPr>
                      <w:rFonts w:hint="eastAsia" w:ascii="Times New Roman" w:hAnsi="Times New Roman" w:cs="Times New Roman"/>
                      <w:b w:val="0"/>
                      <w:bCs w:val="0"/>
                      <w:color w:val="auto"/>
                      <w:sz w:val="21"/>
                      <w:szCs w:val="21"/>
                      <w:u w:val="none" w:color="auto"/>
                      <w:lang w:eastAsia="zh-CN"/>
                    </w:rPr>
                    <w:t>灰渣粉尘</w:t>
                  </w:r>
                </w:p>
              </w:tc>
              <w:tc>
                <w:tcPr>
                  <w:tcW w:w="1751" w:type="pct"/>
                  <w:noWrap w:val="0"/>
                  <w:vAlign w:val="center"/>
                </w:tcPr>
                <w:p w14:paraId="685A87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val="0"/>
                      <w:color w:val="auto"/>
                      <w:sz w:val="21"/>
                      <w:szCs w:val="21"/>
                      <w:u w:val="single" w:color="auto"/>
                      <w:lang w:eastAsia="zh-CN"/>
                    </w:rPr>
                  </w:pPr>
                  <w:r>
                    <w:rPr>
                      <w:rFonts w:hint="default" w:cs="Times New Roman"/>
                      <w:b w:val="0"/>
                      <w:bCs w:val="0"/>
                      <w:color w:val="auto"/>
                      <w:sz w:val="21"/>
                      <w:szCs w:val="21"/>
                      <w:u w:val="single" w:color="auto"/>
                      <w:lang w:eastAsia="zh-CN"/>
                    </w:rPr>
                    <w:t>除尘灰和生物质炉渣收集时洒水拌湿、采用袋装储存等方式抑制无组织粉尘产生</w:t>
                  </w:r>
                </w:p>
              </w:tc>
              <w:tc>
                <w:tcPr>
                  <w:tcW w:w="1302" w:type="pct"/>
                  <w:vMerge w:val="continue"/>
                  <w:noWrap w:val="0"/>
                  <w:vAlign w:val="center"/>
                </w:tcPr>
                <w:p w14:paraId="0F130155">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p>
              </w:tc>
              <w:tc>
                <w:tcPr>
                  <w:tcW w:w="426" w:type="pct"/>
                  <w:vMerge w:val="continue"/>
                  <w:noWrap w:val="0"/>
                  <w:vAlign w:val="center"/>
                </w:tcPr>
                <w:p w14:paraId="68771315">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p>
              </w:tc>
            </w:tr>
            <w:tr w14:paraId="47B4AC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75" w:type="pct"/>
                  <w:noWrap w:val="0"/>
                  <w:vAlign w:val="center"/>
                </w:tcPr>
                <w:p w14:paraId="7DB9D394">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废水</w:t>
                  </w:r>
                </w:p>
              </w:tc>
              <w:tc>
                <w:tcPr>
                  <w:tcW w:w="944" w:type="pct"/>
                  <w:noWrap w:val="0"/>
                  <w:vAlign w:val="center"/>
                </w:tcPr>
                <w:p w14:paraId="27E8A089">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r>
                    <w:rPr>
                      <w:rFonts w:hint="default" w:ascii="Times New Roman" w:hAnsi="Times New Roman" w:eastAsia="宋体" w:cs="Times New Roman"/>
                      <w:b w:val="0"/>
                      <w:bCs w:val="0"/>
                      <w:color w:val="auto"/>
                      <w:sz w:val="21"/>
                      <w:szCs w:val="21"/>
                      <w:u w:val="none" w:color="auto"/>
                      <w:lang w:eastAsia="zh-CN"/>
                    </w:rPr>
                    <w:t>生活污水</w:t>
                  </w:r>
                </w:p>
              </w:tc>
              <w:tc>
                <w:tcPr>
                  <w:tcW w:w="1751" w:type="pct"/>
                  <w:noWrap w:val="0"/>
                  <w:vAlign w:val="center"/>
                </w:tcPr>
                <w:p w14:paraId="631E77F3">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eastAsia="zh-CN"/>
                    </w:rPr>
                  </w:pPr>
                  <w:r>
                    <w:rPr>
                      <w:rFonts w:hint="eastAsia" w:cs="Times New Roman"/>
                      <w:b w:val="0"/>
                      <w:bCs w:val="0"/>
                      <w:color w:val="auto"/>
                      <w:sz w:val="21"/>
                      <w:szCs w:val="21"/>
                      <w:u w:val="none" w:color="auto"/>
                      <w:lang w:eastAsia="zh-CN"/>
                    </w:rPr>
                    <w:t>排入</w:t>
                  </w:r>
                  <w:r>
                    <w:rPr>
                      <w:rFonts w:hint="default" w:ascii="Times New Roman" w:hAnsi="Times New Roman" w:eastAsia="宋体" w:cs="Times New Roman"/>
                      <w:b w:val="0"/>
                      <w:bCs w:val="0"/>
                      <w:color w:val="auto"/>
                      <w:sz w:val="21"/>
                      <w:szCs w:val="21"/>
                      <w:u w:val="none" w:color="auto"/>
                      <w:lang w:eastAsia="zh-CN"/>
                    </w:rPr>
                    <w:t>防渗旱厕</w:t>
                  </w:r>
                </w:p>
              </w:tc>
              <w:tc>
                <w:tcPr>
                  <w:tcW w:w="1302" w:type="pct"/>
                  <w:noWrap w:val="0"/>
                  <w:vAlign w:val="center"/>
                </w:tcPr>
                <w:p w14:paraId="578A3B89">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val="0"/>
                      <w:color w:val="auto"/>
                      <w:sz w:val="21"/>
                      <w:szCs w:val="21"/>
                      <w:highlight w:val="yellow"/>
                      <w:u w:val="none" w:color="auto"/>
                      <w:lang w:eastAsia="zh-CN"/>
                    </w:rPr>
                  </w:pPr>
                  <w:r>
                    <w:rPr>
                      <w:rFonts w:hint="eastAsia" w:ascii="Times New Roman" w:hAnsi="Times New Roman" w:eastAsia="宋体" w:cs="Times New Roman"/>
                      <w:b w:val="0"/>
                      <w:bCs w:val="0"/>
                      <w:color w:val="auto"/>
                      <w:sz w:val="21"/>
                      <w:szCs w:val="21"/>
                      <w:u w:val="none" w:color="auto"/>
                      <w:lang w:val="en-US" w:eastAsia="zh-CN"/>
                    </w:rPr>
                    <w:t>定期清掏</w:t>
                  </w:r>
                </w:p>
              </w:tc>
              <w:tc>
                <w:tcPr>
                  <w:tcW w:w="426" w:type="pct"/>
                  <w:noWrap w:val="0"/>
                  <w:vAlign w:val="center"/>
                </w:tcPr>
                <w:p w14:paraId="35F6C8F3">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rPr>
                  </w:pPr>
                  <w:r>
                    <w:rPr>
                      <w:rFonts w:hint="eastAsia" w:ascii="Times New Roman" w:hAnsi="Times New Roman" w:cs="Times New Roman"/>
                      <w:b w:val="0"/>
                      <w:bCs w:val="0"/>
                      <w:color w:val="auto"/>
                      <w:sz w:val="21"/>
                      <w:szCs w:val="21"/>
                      <w:u w:val="none" w:color="auto"/>
                      <w:lang w:val="en-US" w:eastAsia="zh-CN"/>
                    </w:rPr>
                    <w:t>0.1</w:t>
                  </w:r>
                </w:p>
              </w:tc>
            </w:tr>
            <w:tr w14:paraId="63B6A6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75" w:type="pct"/>
                  <w:noWrap w:val="0"/>
                  <w:vAlign w:val="center"/>
                </w:tcPr>
                <w:p w14:paraId="0F6B624B">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噪声</w:t>
                  </w:r>
                </w:p>
              </w:tc>
              <w:tc>
                <w:tcPr>
                  <w:tcW w:w="944" w:type="pct"/>
                  <w:noWrap w:val="0"/>
                  <w:vAlign w:val="center"/>
                </w:tcPr>
                <w:p w14:paraId="60DD5490">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生产设备</w:t>
                  </w:r>
                </w:p>
              </w:tc>
              <w:tc>
                <w:tcPr>
                  <w:tcW w:w="1751" w:type="pct"/>
                  <w:noWrap w:val="0"/>
                  <w:vAlign w:val="center"/>
                </w:tcPr>
                <w:p w14:paraId="0B3DD44B">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i w:val="0"/>
                      <w:iCs w:val="0"/>
                      <w:color w:val="auto"/>
                      <w:sz w:val="21"/>
                      <w:szCs w:val="21"/>
                      <w:u w:val="none" w:color="auto"/>
                      <w:lang w:eastAsia="zh-CN"/>
                    </w:rPr>
                    <w:t>采用低噪声设备，将产噪设备（热风炉）置于封闭房间内，并加装减振垫等降噪设备，加强维护设备处于良好运行状态</w:t>
                  </w:r>
                </w:p>
              </w:tc>
              <w:tc>
                <w:tcPr>
                  <w:tcW w:w="1302" w:type="pct"/>
                  <w:noWrap w:val="0"/>
                  <w:vAlign w:val="center"/>
                </w:tcPr>
                <w:p w14:paraId="54A1F9D1">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《工业企业厂界环境噪声排放标准》（GB12348-2008）</w:t>
                  </w:r>
                  <w:r>
                    <w:rPr>
                      <w:rFonts w:hint="default" w:ascii="Times New Roman" w:hAnsi="Times New Roman" w:eastAsia="宋体" w:cs="Times New Roman"/>
                      <w:b w:val="0"/>
                      <w:bCs w:val="0"/>
                      <w:color w:val="auto"/>
                      <w:sz w:val="21"/>
                      <w:szCs w:val="21"/>
                      <w:u w:val="none" w:color="auto"/>
                      <w:lang w:val="en-US" w:eastAsia="zh-CN"/>
                    </w:rPr>
                    <w:t>2</w:t>
                  </w:r>
                  <w:r>
                    <w:rPr>
                      <w:rFonts w:hint="default" w:ascii="Times New Roman" w:hAnsi="Times New Roman" w:eastAsia="宋体" w:cs="Times New Roman"/>
                      <w:b w:val="0"/>
                      <w:bCs w:val="0"/>
                      <w:color w:val="auto"/>
                      <w:sz w:val="21"/>
                      <w:szCs w:val="21"/>
                      <w:u w:val="none" w:color="auto"/>
                    </w:rPr>
                    <w:t>类区标准要求</w:t>
                  </w:r>
                </w:p>
              </w:tc>
              <w:tc>
                <w:tcPr>
                  <w:tcW w:w="426" w:type="pct"/>
                  <w:noWrap w:val="0"/>
                  <w:vAlign w:val="center"/>
                </w:tcPr>
                <w:p w14:paraId="2D7801CC">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b w:val="0"/>
                      <w:bCs w:val="0"/>
                      <w:color w:val="auto"/>
                      <w:sz w:val="21"/>
                      <w:szCs w:val="21"/>
                      <w:u w:val="none" w:color="auto"/>
                      <w:lang w:val="en-US" w:eastAsia="zh-CN"/>
                    </w:rPr>
                    <w:t>0.9</w:t>
                  </w:r>
                </w:p>
              </w:tc>
            </w:tr>
            <w:tr w14:paraId="129249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75" w:type="pct"/>
                  <w:vMerge w:val="restart"/>
                  <w:noWrap w:val="0"/>
                  <w:vAlign w:val="center"/>
                </w:tcPr>
                <w:p w14:paraId="5E2A077D">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固废</w:t>
                  </w:r>
                </w:p>
              </w:tc>
              <w:tc>
                <w:tcPr>
                  <w:tcW w:w="944" w:type="pct"/>
                  <w:noWrap w:val="0"/>
                  <w:vAlign w:val="center"/>
                </w:tcPr>
                <w:p w14:paraId="335E48CF">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生活垃圾</w:t>
                  </w:r>
                </w:p>
              </w:tc>
              <w:tc>
                <w:tcPr>
                  <w:tcW w:w="1751" w:type="pct"/>
                  <w:noWrap w:val="0"/>
                  <w:vAlign w:val="center"/>
                </w:tcPr>
                <w:p w14:paraId="367AC94A">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GB" w:eastAsia="zh-CN"/>
                    </w:rPr>
                  </w:pPr>
                  <w:r>
                    <w:rPr>
                      <w:rFonts w:hint="default" w:ascii="Times New Roman" w:hAnsi="Times New Roman" w:eastAsia="宋体" w:cs="Times New Roman"/>
                      <w:b w:val="0"/>
                      <w:bCs w:val="0"/>
                      <w:color w:val="auto"/>
                      <w:sz w:val="21"/>
                      <w:szCs w:val="21"/>
                      <w:u w:val="none" w:color="auto"/>
                      <w:lang w:val="en-GB" w:eastAsia="zh-CN"/>
                    </w:rPr>
                    <w:t>暂存于垃圾桶，定期由环卫部门统一清运</w:t>
                  </w:r>
                </w:p>
              </w:tc>
              <w:tc>
                <w:tcPr>
                  <w:tcW w:w="1302" w:type="pct"/>
                  <w:vMerge w:val="restart"/>
                  <w:noWrap w:val="0"/>
                  <w:vAlign w:val="center"/>
                </w:tcPr>
                <w:p w14:paraId="54E0FC16">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不产生二次污染</w:t>
                  </w:r>
                </w:p>
              </w:tc>
              <w:tc>
                <w:tcPr>
                  <w:tcW w:w="426" w:type="pct"/>
                  <w:vMerge w:val="restart"/>
                  <w:noWrap w:val="0"/>
                  <w:vAlign w:val="center"/>
                </w:tcPr>
                <w:p w14:paraId="4B288AA8">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rPr>
                  </w:pPr>
                  <w:r>
                    <w:rPr>
                      <w:rFonts w:hint="eastAsia" w:ascii="Times New Roman" w:hAnsi="Times New Roman" w:cs="Times New Roman"/>
                      <w:b w:val="0"/>
                      <w:bCs w:val="0"/>
                      <w:color w:val="auto"/>
                      <w:sz w:val="21"/>
                      <w:szCs w:val="21"/>
                      <w:u w:val="none" w:color="auto"/>
                      <w:lang w:val="en-US" w:eastAsia="zh-CN"/>
                    </w:rPr>
                    <w:t>1.5</w:t>
                  </w:r>
                </w:p>
              </w:tc>
            </w:tr>
            <w:tr w14:paraId="5C6A86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75" w:type="pct"/>
                  <w:vMerge w:val="continue"/>
                  <w:noWrap w:val="0"/>
                  <w:vAlign w:val="center"/>
                </w:tcPr>
                <w:p w14:paraId="79BE9015">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944" w:type="pct"/>
                  <w:noWrap w:val="0"/>
                  <w:vAlign w:val="center"/>
                </w:tcPr>
                <w:p w14:paraId="5B9EFA7E">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eastAsia" w:ascii="Times New Roman" w:hAnsi="Times New Roman" w:eastAsia="宋体" w:cs="Times New Roman"/>
                      <w:b w:val="0"/>
                      <w:bCs w:val="0"/>
                      <w:color w:val="auto"/>
                      <w:sz w:val="21"/>
                      <w:szCs w:val="21"/>
                      <w:u w:val="none" w:color="auto"/>
                      <w:lang w:val="en-US" w:eastAsia="zh-CN"/>
                    </w:rPr>
                    <w:t>除尘灰</w:t>
                  </w:r>
                </w:p>
              </w:tc>
              <w:tc>
                <w:tcPr>
                  <w:tcW w:w="1751" w:type="pct"/>
                  <w:noWrap w:val="0"/>
                  <w:vAlign w:val="center"/>
                </w:tcPr>
                <w:p w14:paraId="00C77597">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b w:val="0"/>
                      <w:bCs w:val="0"/>
                      <w:color w:val="auto"/>
                      <w:sz w:val="21"/>
                      <w:szCs w:val="21"/>
                      <w:u w:val="none" w:color="auto"/>
                      <w:lang w:val="en-US" w:eastAsia="zh-CN"/>
                    </w:rPr>
                    <w:t>外售作为农肥料</w:t>
                  </w:r>
                </w:p>
              </w:tc>
              <w:tc>
                <w:tcPr>
                  <w:tcW w:w="1302" w:type="pct"/>
                  <w:vMerge w:val="continue"/>
                  <w:noWrap w:val="0"/>
                  <w:vAlign w:val="center"/>
                </w:tcPr>
                <w:p w14:paraId="7FF2C081">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426" w:type="pct"/>
                  <w:vMerge w:val="continue"/>
                  <w:noWrap w:val="0"/>
                  <w:vAlign w:val="center"/>
                </w:tcPr>
                <w:p w14:paraId="4E471582">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r>
            <w:tr w14:paraId="705A19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575" w:type="pct"/>
                  <w:vMerge w:val="continue"/>
                  <w:noWrap w:val="0"/>
                  <w:vAlign w:val="center"/>
                </w:tcPr>
                <w:p w14:paraId="2811F65F">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944" w:type="pct"/>
                  <w:noWrap w:val="0"/>
                  <w:vAlign w:val="center"/>
                </w:tcPr>
                <w:p w14:paraId="70DD6178">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eastAsia" w:ascii="Times New Roman" w:hAnsi="Times New Roman" w:eastAsia="宋体" w:cs="Times New Roman"/>
                      <w:b w:val="0"/>
                      <w:bCs w:val="0"/>
                      <w:color w:val="auto"/>
                      <w:sz w:val="21"/>
                      <w:szCs w:val="21"/>
                      <w:u w:val="none" w:color="auto"/>
                      <w:lang w:val="en-US" w:eastAsia="zh-CN"/>
                    </w:rPr>
                    <w:t>炉渣</w:t>
                  </w:r>
                </w:p>
              </w:tc>
              <w:tc>
                <w:tcPr>
                  <w:tcW w:w="1751" w:type="pct"/>
                  <w:noWrap w:val="0"/>
                  <w:vAlign w:val="center"/>
                </w:tcPr>
                <w:p w14:paraId="119EC980">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GB" w:eastAsia="zh-CN"/>
                    </w:rPr>
                  </w:pPr>
                  <w:r>
                    <w:rPr>
                      <w:rFonts w:hint="eastAsia" w:ascii="Times New Roman" w:hAnsi="Times New Roman" w:eastAsia="宋体" w:cs="Times New Roman"/>
                      <w:b w:val="0"/>
                      <w:bCs w:val="0"/>
                      <w:color w:val="auto"/>
                      <w:sz w:val="21"/>
                      <w:szCs w:val="21"/>
                      <w:u w:val="none" w:color="auto"/>
                      <w:lang w:val="en-US" w:eastAsia="zh-CN"/>
                    </w:rPr>
                    <w:t>外售作为农肥料</w:t>
                  </w:r>
                </w:p>
              </w:tc>
              <w:tc>
                <w:tcPr>
                  <w:tcW w:w="1302" w:type="pct"/>
                  <w:vMerge w:val="continue"/>
                  <w:noWrap w:val="0"/>
                  <w:vAlign w:val="center"/>
                </w:tcPr>
                <w:p w14:paraId="43A35F8E">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426" w:type="pct"/>
                  <w:vMerge w:val="continue"/>
                  <w:noWrap w:val="0"/>
                  <w:vAlign w:val="center"/>
                </w:tcPr>
                <w:p w14:paraId="1F820A20">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r>
            <w:tr w14:paraId="20055F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575" w:type="pct"/>
                  <w:vMerge w:val="continue"/>
                  <w:noWrap w:val="0"/>
                  <w:vAlign w:val="center"/>
                </w:tcPr>
                <w:p w14:paraId="2481794A">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944" w:type="pct"/>
                  <w:noWrap w:val="0"/>
                  <w:vAlign w:val="center"/>
                </w:tcPr>
                <w:p w14:paraId="74971CC3">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b w:val="0"/>
                      <w:bCs w:val="0"/>
                      <w:color w:val="auto"/>
                      <w:sz w:val="21"/>
                      <w:szCs w:val="21"/>
                      <w:u w:val="none" w:color="auto"/>
                      <w:lang w:val="en-US" w:eastAsia="zh-CN"/>
                    </w:rPr>
                    <w:t>原粮杂质</w:t>
                  </w:r>
                </w:p>
              </w:tc>
              <w:tc>
                <w:tcPr>
                  <w:tcW w:w="1751" w:type="pct"/>
                  <w:noWrap w:val="0"/>
                  <w:vAlign w:val="center"/>
                </w:tcPr>
                <w:p w14:paraId="76CA40CB">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b w:val="0"/>
                      <w:bCs w:val="0"/>
                      <w:color w:val="auto"/>
                      <w:sz w:val="21"/>
                      <w:szCs w:val="21"/>
                      <w:u w:val="none" w:color="auto"/>
                      <w:lang w:val="en-US" w:eastAsia="zh-CN"/>
                    </w:rPr>
                    <w:t>暂存于仓库，外售作为饲料</w:t>
                  </w:r>
                </w:p>
              </w:tc>
              <w:tc>
                <w:tcPr>
                  <w:tcW w:w="1302" w:type="pct"/>
                  <w:vMerge w:val="continue"/>
                  <w:noWrap w:val="0"/>
                  <w:vAlign w:val="center"/>
                </w:tcPr>
                <w:p w14:paraId="29D72CA2">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426" w:type="pct"/>
                  <w:vMerge w:val="continue"/>
                  <w:noWrap w:val="0"/>
                  <w:vAlign w:val="center"/>
                </w:tcPr>
                <w:p w14:paraId="4F5DDCBB">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r>
            <w:tr w14:paraId="15F33D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575" w:type="pct"/>
                  <w:vMerge w:val="continue"/>
                  <w:noWrap w:val="0"/>
                  <w:vAlign w:val="center"/>
                </w:tcPr>
                <w:p w14:paraId="1DCBB153">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944" w:type="pct"/>
                  <w:noWrap w:val="0"/>
                  <w:vAlign w:val="center"/>
                </w:tcPr>
                <w:p w14:paraId="647F7D0E">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lang w:val="en-US" w:eastAsia="zh-CN"/>
                    </w:rPr>
                    <w:t>废布袋</w:t>
                  </w:r>
                </w:p>
              </w:tc>
              <w:tc>
                <w:tcPr>
                  <w:tcW w:w="1751" w:type="pct"/>
                  <w:noWrap w:val="0"/>
                  <w:vAlign w:val="center"/>
                </w:tcPr>
                <w:p w14:paraId="58045F6B">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rPr>
                  </w:pPr>
                  <w:r>
                    <w:rPr>
                      <w:rFonts w:hint="eastAsia" w:ascii="Times New Roman" w:hAnsi="Times New Roman" w:eastAsia="宋体" w:cs="Times New Roman"/>
                      <w:b w:val="0"/>
                      <w:bCs w:val="0"/>
                      <w:color w:val="auto"/>
                      <w:sz w:val="21"/>
                      <w:szCs w:val="21"/>
                      <w:u w:val="none" w:color="auto"/>
                      <w:lang w:val="en-US" w:eastAsia="zh-CN"/>
                    </w:rPr>
                    <w:t>定期更换，</w:t>
                  </w:r>
                  <w:r>
                    <w:rPr>
                      <w:rFonts w:hint="eastAsia" w:cs="Times New Roman"/>
                      <w:b w:val="0"/>
                      <w:bCs w:val="0"/>
                      <w:color w:val="auto"/>
                      <w:sz w:val="21"/>
                      <w:szCs w:val="21"/>
                      <w:u w:val="none" w:color="auto"/>
                      <w:lang w:val="en-US" w:eastAsia="zh-CN"/>
                    </w:rPr>
                    <w:t>更换后由厂家回收处置</w:t>
                  </w:r>
                </w:p>
              </w:tc>
              <w:tc>
                <w:tcPr>
                  <w:tcW w:w="1302" w:type="pct"/>
                  <w:vMerge w:val="continue"/>
                  <w:noWrap w:val="0"/>
                  <w:vAlign w:val="center"/>
                </w:tcPr>
                <w:p w14:paraId="3383D5F4">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426" w:type="pct"/>
                  <w:vMerge w:val="continue"/>
                  <w:noWrap w:val="0"/>
                  <w:vAlign w:val="center"/>
                </w:tcPr>
                <w:p w14:paraId="0782085A">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r>
            <w:tr w14:paraId="4AE4FA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575" w:type="pct"/>
                  <w:vMerge w:val="continue"/>
                  <w:noWrap w:val="0"/>
                  <w:vAlign w:val="center"/>
                </w:tcPr>
                <w:p w14:paraId="19ADE355">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944" w:type="pct"/>
                  <w:noWrap w:val="0"/>
                  <w:vAlign w:val="center"/>
                </w:tcPr>
                <w:p w14:paraId="4C536850">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color w:val="auto"/>
                      <w:spacing w:val="2"/>
                      <w:sz w:val="21"/>
                      <w:szCs w:val="21"/>
                      <w:highlight w:val="none"/>
                      <w:u w:val="none" w:color="auto"/>
                      <w:lang w:eastAsia="zh-CN"/>
                    </w:rPr>
                    <w:t>烘干截留粉尘</w:t>
                  </w:r>
                </w:p>
              </w:tc>
              <w:tc>
                <w:tcPr>
                  <w:tcW w:w="1751" w:type="pct"/>
                  <w:noWrap w:val="0"/>
                  <w:vAlign w:val="center"/>
                </w:tcPr>
                <w:p w14:paraId="60103466">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b w:val="0"/>
                      <w:bCs w:val="0"/>
                      <w:color w:val="auto"/>
                      <w:sz w:val="21"/>
                      <w:szCs w:val="21"/>
                      <w:u w:val="none" w:color="auto"/>
                      <w:lang w:val="en-US" w:eastAsia="zh-CN"/>
                    </w:rPr>
                    <w:t>暂存于仓库，外售作为饲料</w:t>
                  </w:r>
                </w:p>
              </w:tc>
              <w:tc>
                <w:tcPr>
                  <w:tcW w:w="1302" w:type="pct"/>
                  <w:vMerge w:val="continue"/>
                  <w:noWrap w:val="0"/>
                  <w:vAlign w:val="center"/>
                </w:tcPr>
                <w:p w14:paraId="62BF6DC4">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c>
                <w:tcPr>
                  <w:tcW w:w="426" w:type="pct"/>
                  <w:vMerge w:val="continue"/>
                  <w:noWrap w:val="0"/>
                  <w:vAlign w:val="center"/>
                </w:tcPr>
                <w:p w14:paraId="3C0D512D">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p>
              </w:tc>
            </w:tr>
            <w:tr w14:paraId="3CD9F5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75" w:type="pct"/>
                  <w:noWrap w:val="0"/>
                  <w:vAlign w:val="center"/>
                </w:tcPr>
                <w:p w14:paraId="7763FF60">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环境风险</w:t>
                  </w:r>
                </w:p>
              </w:tc>
              <w:tc>
                <w:tcPr>
                  <w:tcW w:w="944" w:type="pct"/>
                  <w:noWrap w:val="0"/>
                  <w:vAlign w:val="center"/>
                </w:tcPr>
                <w:p w14:paraId="4DA79A11">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火灾</w:t>
                  </w:r>
                </w:p>
              </w:tc>
              <w:tc>
                <w:tcPr>
                  <w:tcW w:w="1751" w:type="pct"/>
                  <w:noWrap w:val="0"/>
                  <w:vAlign w:val="center"/>
                </w:tcPr>
                <w:p w14:paraId="4E5EF5C9">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灭火器</w:t>
                  </w:r>
                </w:p>
              </w:tc>
              <w:tc>
                <w:tcPr>
                  <w:tcW w:w="1302" w:type="pct"/>
                  <w:noWrap w:val="0"/>
                  <w:vAlign w:val="center"/>
                </w:tcPr>
                <w:p w14:paraId="4ACC50AD">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w:t>
                  </w:r>
                </w:p>
              </w:tc>
              <w:tc>
                <w:tcPr>
                  <w:tcW w:w="426" w:type="pct"/>
                  <w:noWrap w:val="0"/>
                  <w:vAlign w:val="center"/>
                </w:tcPr>
                <w:p w14:paraId="1CC8D168">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b w:val="0"/>
                      <w:bCs w:val="0"/>
                      <w:color w:val="auto"/>
                      <w:sz w:val="21"/>
                      <w:szCs w:val="21"/>
                      <w:u w:val="none" w:color="auto"/>
                      <w:lang w:val="en-US" w:eastAsia="zh-CN"/>
                    </w:rPr>
                    <w:t>0.5</w:t>
                  </w:r>
                </w:p>
              </w:tc>
            </w:tr>
            <w:tr w14:paraId="31837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4573" w:type="pct"/>
                  <w:gridSpan w:val="4"/>
                  <w:noWrap w:val="0"/>
                  <w:vAlign w:val="center"/>
                </w:tcPr>
                <w:p w14:paraId="518D36C2">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rPr>
                  </w:pPr>
                  <w:r>
                    <w:rPr>
                      <w:rFonts w:hint="default" w:ascii="Times New Roman" w:hAnsi="Times New Roman" w:eastAsia="宋体" w:cs="Times New Roman"/>
                      <w:b w:val="0"/>
                      <w:bCs w:val="0"/>
                      <w:color w:val="auto"/>
                      <w:sz w:val="21"/>
                      <w:szCs w:val="21"/>
                      <w:u w:val="none" w:color="auto"/>
                    </w:rPr>
                    <w:t>合计</w:t>
                  </w:r>
                </w:p>
              </w:tc>
              <w:tc>
                <w:tcPr>
                  <w:tcW w:w="426" w:type="pct"/>
                  <w:noWrap w:val="0"/>
                  <w:vAlign w:val="center"/>
                </w:tcPr>
                <w:p w14:paraId="3FB90F9B">
                  <w:pPr>
                    <w:pStyle w:val="76"/>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b w:val="0"/>
                      <w:bCs w:val="0"/>
                      <w:color w:val="auto"/>
                      <w:sz w:val="21"/>
                      <w:szCs w:val="21"/>
                      <w:u w:val="none" w:color="auto"/>
                      <w:lang w:val="en-US" w:eastAsia="zh-CN"/>
                    </w:rPr>
                  </w:pPr>
                  <w:r>
                    <w:rPr>
                      <w:rFonts w:hint="eastAsia" w:ascii="Times New Roman" w:hAnsi="Times New Roman" w:eastAsia="宋体" w:cs="Times New Roman"/>
                      <w:b w:val="0"/>
                      <w:bCs w:val="0"/>
                      <w:color w:val="auto"/>
                      <w:sz w:val="21"/>
                      <w:szCs w:val="21"/>
                      <w:u w:val="none" w:color="auto"/>
                      <w:lang w:val="en-US" w:eastAsia="zh-CN"/>
                    </w:rPr>
                    <w:t>5</w:t>
                  </w:r>
                </w:p>
              </w:tc>
            </w:tr>
          </w:tbl>
          <w:p w14:paraId="73554B76">
            <w:pPr>
              <w:rPr>
                <w:rFonts w:hint="default" w:ascii="Times New Roman" w:hAnsi="Times New Roman" w:cs="Times New Roman"/>
                <w:color w:val="auto"/>
                <w:highlight w:val="none"/>
                <w:u w:val="none" w:color="auto"/>
                <w:lang w:val="en-US" w:eastAsia="zh-CN"/>
              </w:rPr>
            </w:pPr>
          </w:p>
        </w:tc>
      </w:tr>
    </w:tbl>
    <w:p w14:paraId="3DDC4570">
      <w:pPr>
        <w:adjustRightInd w:val="0"/>
        <w:snapToGrid w:val="0"/>
        <w:spacing w:line="360" w:lineRule="auto"/>
        <w:rPr>
          <w:rFonts w:ascii="宋体" w:cs="宋体"/>
          <w:b/>
          <w:color w:val="auto"/>
          <w:kern w:val="0"/>
          <w:sz w:val="28"/>
          <w:szCs w:val="28"/>
          <w:highlight w:val="none"/>
          <w:u w:val="none" w:color="auto"/>
        </w:rPr>
        <w:sectPr>
          <w:pgSz w:w="11907" w:h="16840"/>
          <w:pgMar w:top="1701" w:right="1531" w:bottom="2127"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732FB20D">
      <w:pPr>
        <w:pStyle w:val="24"/>
        <w:jc w:val="center"/>
        <w:outlineLvl w:val="0"/>
        <w:rPr>
          <w:rFonts w:ascii="黑体" w:hAnsi="黑体" w:eastAsia="黑体"/>
          <w:snapToGrid w:val="0"/>
          <w:color w:val="auto"/>
          <w:sz w:val="30"/>
          <w:szCs w:val="30"/>
          <w:highlight w:val="none"/>
          <w:u w:val="none" w:color="auto"/>
        </w:rPr>
      </w:pPr>
      <w:r>
        <w:rPr>
          <w:rFonts w:hint="eastAsia" w:ascii="黑体" w:hAnsi="黑体" w:eastAsia="黑体"/>
          <w:snapToGrid w:val="0"/>
          <w:color w:val="auto"/>
          <w:sz w:val="30"/>
          <w:szCs w:val="30"/>
          <w:highlight w:val="none"/>
          <w:u w:val="none" w:color="auto"/>
        </w:rPr>
        <w:t>五、</w:t>
      </w:r>
      <w:bookmarkStart w:id="1" w:name="_Hlk54167917"/>
      <w:r>
        <w:rPr>
          <w:rFonts w:hint="eastAsia" w:ascii="黑体" w:hAnsi="黑体" w:eastAsia="黑体"/>
          <w:snapToGrid w:val="0"/>
          <w:color w:val="auto"/>
          <w:sz w:val="30"/>
          <w:szCs w:val="30"/>
          <w:highlight w:val="none"/>
          <w:u w:val="none" w:color="auto"/>
        </w:rPr>
        <w:t>环境保护措施监督检查清单</w:t>
      </w:r>
      <w:bookmarkEnd w:id="1"/>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1712"/>
        <w:gridCol w:w="1321"/>
        <w:gridCol w:w="1950"/>
        <w:gridCol w:w="2014"/>
      </w:tblGrid>
      <w:tr w14:paraId="746D39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19" w:type="dxa"/>
            <w:tcBorders>
              <w:tl2br w:val="single" w:color="auto" w:sz="4" w:space="0"/>
            </w:tcBorders>
          </w:tcPr>
          <w:p w14:paraId="1EAA0945">
            <w:pPr>
              <w:adjustRightInd w:val="0"/>
              <w:snapToGrid w:val="0"/>
              <w:ind w:firstLine="840"/>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内容</w:t>
            </w:r>
          </w:p>
          <w:p w14:paraId="1595F976">
            <w:pPr>
              <w:adjustRightInd w:val="0"/>
              <w:snapToGrid w:val="0"/>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要素</w:t>
            </w:r>
          </w:p>
        </w:tc>
        <w:tc>
          <w:tcPr>
            <w:tcW w:w="1712" w:type="dxa"/>
            <w:vAlign w:val="center"/>
          </w:tcPr>
          <w:p w14:paraId="4F903F08">
            <w:pPr>
              <w:adjustRightInd w:val="0"/>
              <w:snapToGrid w:val="0"/>
              <w:jc w:val="center"/>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排放口（编号、</w:t>
            </w:r>
          </w:p>
          <w:p w14:paraId="712DB07D">
            <w:pPr>
              <w:adjustRightInd w:val="0"/>
              <w:snapToGrid w:val="0"/>
              <w:jc w:val="center"/>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名称）/污染源</w:t>
            </w:r>
          </w:p>
        </w:tc>
        <w:tc>
          <w:tcPr>
            <w:tcW w:w="1321" w:type="dxa"/>
            <w:vAlign w:val="center"/>
          </w:tcPr>
          <w:p w14:paraId="519758C5">
            <w:pPr>
              <w:adjustRightInd w:val="0"/>
              <w:snapToGrid w:val="0"/>
              <w:jc w:val="center"/>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污染物项目</w:t>
            </w:r>
          </w:p>
        </w:tc>
        <w:tc>
          <w:tcPr>
            <w:tcW w:w="1950" w:type="dxa"/>
            <w:vAlign w:val="center"/>
          </w:tcPr>
          <w:p w14:paraId="5550465E">
            <w:pPr>
              <w:adjustRightInd w:val="0"/>
              <w:snapToGrid w:val="0"/>
              <w:jc w:val="center"/>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环境保护措施</w:t>
            </w:r>
          </w:p>
        </w:tc>
        <w:tc>
          <w:tcPr>
            <w:tcW w:w="2014" w:type="dxa"/>
            <w:vAlign w:val="center"/>
          </w:tcPr>
          <w:p w14:paraId="6EDBBB99">
            <w:pPr>
              <w:adjustRightInd w:val="0"/>
              <w:snapToGrid w:val="0"/>
              <w:jc w:val="center"/>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执行标准</w:t>
            </w:r>
          </w:p>
        </w:tc>
      </w:tr>
      <w:tr w14:paraId="32235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12" w:hRule="atLeast"/>
          <w:jc w:val="center"/>
        </w:trPr>
        <w:tc>
          <w:tcPr>
            <w:tcW w:w="1519" w:type="dxa"/>
            <w:vMerge w:val="restart"/>
            <w:vAlign w:val="center"/>
          </w:tcPr>
          <w:p w14:paraId="43B98EB5">
            <w:pPr>
              <w:adjustRightInd w:val="0"/>
              <w:snapToGrid w:val="0"/>
              <w:jc w:val="center"/>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大气环境</w:t>
            </w:r>
          </w:p>
        </w:tc>
        <w:tc>
          <w:tcPr>
            <w:tcW w:w="1712" w:type="dxa"/>
            <w:vAlign w:val="center"/>
          </w:tcPr>
          <w:p w14:paraId="032BE9A9">
            <w:pPr>
              <w:adjustRightInd w:val="0"/>
              <w:snapToGrid w:val="0"/>
              <w:spacing w:line="240" w:lineRule="auto"/>
              <w:jc w:val="center"/>
              <w:rPr>
                <w:rFonts w:hint="eastAsia"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DA00</w:t>
            </w:r>
            <w:r>
              <w:rPr>
                <w:rFonts w:hint="eastAsia" w:ascii="Times New Roman" w:hAnsi="Times New Roman" w:eastAsia="宋体" w:cs="Times New Roman"/>
                <w:color w:val="auto"/>
                <w:sz w:val="24"/>
                <w:szCs w:val="24"/>
                <w:highlight w:val="none"/>
                <w:u w:val="none" w:color="auto"/>
                <w:lang w:val="en-US" w:eastAsia="zh-CN"/>
              </w:rPr>
              <w:t>1</w:t>
            </w:r>
          </w:p>
          <w:p w14:paraId="7BBCD2B5">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热风炉排放口</w:t>
            </w:r>
          </w:p>
        </w:tc>
        <w:tc>
          <w:tcPr>
            <w:tcW w:w="1321" w:type="dxa"/>
            <w:vAlign w:val="center"/>
          </w:tcPr>
          <w:p w14:paraId="7F9B9D04">
            <w:pPr>
              <w:adjustRightInd w:val="0"/>
              <w:snapToGrid w:val="0"/>
              <w:spacing w:line="240" w:lineRule="auto"/>
              <w:jc w:val="center"/>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颗粒物、二氧化硫</w:t>
            </w:r>
            <w:r>
              <w:rPr>
                <w:rFonts w:hint="eastAsia" w:cs="Times New Roman"/>
                <w:color w:val="auto"/>
                <w:sz w:val="24"/>
                <w:szCs w:val="24"/>
                <w:highlight w:val="none"/>
                <w:u w:val="none" w:color="auto"/>
                <w:lang w:val="en-US" w:eastAsia="zh-CN"/>
              </w:rPr>
              <w:t>、</w:t>
            </w:r>
            <w:r>
              <w:rPr>
                <w:rFonts w:hint="eastAsia" w:ascii="Times New Roman" w:hAnsi="Times New Roman" w:eastAsia="宋体" w:cs="Times New Roman"/>
                <w:color w:val="auto"/>
                <w:sz w:val="24"/>
                <w:szCs w:val="24"/>
                <w:highlight w:val="none"/>
                <w:u w:val="none" w:color="auto"/>
                <w:lang w:val="en-US" w:eastAsia="zh-CN"/>
              </w:rPr>
              <w:t>氮氧化物、烟气黑度</w:t>
            </w:r>
          </w:p>
        </w:tc>
        <w:tc>
          <w:tcPr>
            <w:tcW w:w="1950" w:type="dxa"/>
            <w:vAlign w:val="center"/>
          </w:tcPr>
          <w:p w14:paraId="0B5FCB1F">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布袋除尘器+</w:t>
            </w:r>
            <w:r>
              <w:rPr>
                <w:rFonts w:hint="eastAsia" w:cs="Times New Roman"/>
                <w:color w:val="auto"/>
                <w:sz w:val="24"/>
                <w:szCs w:val="24"/>
                <w:highlight w:val="none"/>
                <w:u w:val="none" w:color="auto"/>
                <w:lang w:val="en-US" w:eastAsia="zh-CN"/>
              </w:rPr>
              <w:t>18m烟囱</w:t>
            </w:r>
          </w:p>
        </w:tc>
        <w:tc>
          <w:tcPr>
            <w:tcW w:w="2014" w:type="dxa"/>
            <w:vAlign w:val="center"/>
          </w:tcPr>
          <w:p w14:paraId="190F2D3B">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宋体" w:hAnsi="宋体" w:eastAsia="宋体" w:cs="宋体"/>
                <w:b w:val="0"/>
                <w:bCs/>
                <w:color w:val="auto"/>
                <w:sz w:val="24"/>
                <w:szCs w:val="24"/>
                <w:u w:val="none" w:color="auto"/>
              </w:rPr>
              <w:t>热风炉</w:t>
            </w:r>
            <w:r>
              <w:rPr>
                <w:rFonts w:hint="eastAsia" w:ascii="宋体" w:hAnsi="宋体" w:cs="宋体"/>
                <w:b w:val="0"/>
                <w:bCs/>
                <w:color w:val="auto"/>
                <w:sz w:val="24"/>
                <w:szCs w:val="24"/>
                <w:u w:val="none" w:color="auto"/>
                <w:lang w:eastAsia="zh-CN"/>
              </w:rPr>
              <w:t>颗粒物</w:t>
            </w:r>
            <w:r>
              <w:rPr>
                <w:rFonts w:hint="eastAsia" w:ascii="宋体" w:hAnsi="宋体" w:eastAsia="宋体" w:cs="宋体"/>
                <w:b w:val="0"/>
                <w:bCs/>
                <w:color w:val="auto"/>
                <w:sz w:val="24"/>
                <w:szCs w:val="24"/>
                <w:u w:val="none" w:color="auto"/>
                <w:lang w:eastAsia="zh-CN"/>
              </w:rPr>
              <w:t>、</w:t>
            </w:r>
            <w:r>
              <w:rPr>
                <w:rFonts w:hint="eastAsia" w:ascii="宋体" w:hAnsi="宋体" w:eastAsia="宋体" w:cs="宋体"/>
                <w:b w:val="0"/>
                <w:bCs/>
                <w:color w:val="auto"/>
                <w:sz w:val="24"/>
                <w:szCs w:val="24"/>
                <w:u w:val="none" w:color="auto"/>
              </w:rPr>
              <w:t>SO</w:t>
            </w:r>
            <w:r>
              <w:rPr>
                <w:rFonts w:hint="eastAsia" w:ascii="宋体" w:hAnsi="宋体" w:eastAsia="宋体" w:cs="宋体"/>
                <w:b w:val="0"/>
                <w:bCs/>
                <w:color w:val="auto"/>
                <w:sz w:val="24"/>
                <w:szCs w:val="24"/>
                <w:u w:val="none" w:color="auto"/>
                <w:vertAlign w:val="subscript"/>
              </w:rPr>
              <w:t>2</w:t>
            </w:r>
            <w:r>
              <w:rPr>
                <w:rFonts w:hint="eastAsia" w:ascii="宋体" w:hAnsi="宋体" w:eastAsia="宋体" w:cs="宋体"/>
                <w:b w:val="0"/>
                <w:bCs/>
                <w:color w:val="auto"/>
                <w:sz w:val="24"/>
                <w:szCs w:val="24"/>
                <w:u w:val="none" w:color="auto"/>
                <w:lang w:eastAsia="zh-CN"/>
              </w:rPr>
              <w:t>执行</w:t>
            </w:r>
            <w:r>
              <w:rPr>
                <w:rFonts w:hint="eastAsia" w:ascii="宋体" w:hAnsi="宋体" w:eastAsia="宋体" w:cs="宋体"/>
                <w:b w:val="0"/>
                <w:bCs/>
                <w:color w:val="auto"/>
                <w:sz w:val="24"/>
                <w:szCs w:val="24"/>
                <w:u w:val="none" w:color="auto"/>
              </w:rPr>
              <w:t>《</w:t>
            </w:r>
            <w:r>
              <w:rPr>
                <w:rFonts w:hint="eastAsia" w:ascii="宋体" w:hAnsi="宋体" w:eastAsia="宋体" w:cs="宋体"/>
                <w:b w:val="0"/>
                <w:bCs/>
                <w:color w:val="auto"/>
                <w:kern w:val="2"/>
                <w:sz w:val="24"/>
                <w:szCs w:val="24"/>
                <w:u w:val="none" w:color="auto"/>
                <w:lang w:val="zh-CN" w:eastAsia="zh-CN" w:bidi="ar-SA"/>
              </w:rPr>
              <w:t>工业炉窑大气污染物排放标准</w:t>
            </w:r>
            <w:r>
              <w:rPr>
                <w:rFonts w:hint="eastAsia" w:ascii="宋体" w:hAnsi="宋体" w:eastAsia="宋体" w:cs="宋体"/>
                <w:b w:val="0"/>
                <w:bCs/>
                <w:color w:val="auto"/>
                <w:sz w:val="24"/>
                <w:szCs w:val="24"/>
                <w:u w:val="none" w:color="auto"/>
              </w:rPr>
              <w:t>》（GB</w:t>
            </w:r>
            <w:r>
              <w:rPr>
                <w:rFonts w:hint="eastAsia" w:ascii="宋体" w:hAnsi="宋体" w:eastAsia="宋体" w:cs="宋体"/>
                <w:b w:val="0"/>
                <w:bCs/>
                <w:color w:val="auto"/>
                <w:sz w:val="24"/>
                <w:szCs w:val="24"/>
                <w:u w:val="none" w:color="auto"/>
                <w:lang w:val="en-US" w:eastAsia="zh-CN"/>
              </w:rPr>
              <w:t>9078</w:t>
            </w:r>
            <w:r>
              <w:rPr>
                <w:rFonts w:hint="eastAsia" w:ascii="宋体" w:hAnsi="宋体" w:eastAsia="宋体" w:cs="宋体"/>
                <w:b w:val="0"/>
                <w:bCs/>
                <w:color w:val="auto"/>
                <w:sz w:val="24"/>
                <w:szCs w:val="24"/>
                <w:u w:val="none" w:color="auto"/>
              </w:rPr>
              <w:t>-1996）</w:t>
            </w:r>
            <w:r>
              <w:rPr>
                <w:rFonts w:hint="eastAsia" w:ascii="宋体" w:hAnsi="宋体" w:eastAsia="宋体" w:cs="宋体"/>
                <w:b w:val="0"/>
                <w:bCs/>
                <w:color w:val="auto"/>
                <w:sz w:val="24"/>
                <w:szCs w:val="24"/>
                <w:u w:val="none" w:color="auto"/>
                <w:lang w:eastAsia="zh-CN"/>
              </w:rPr>
              <w:t>，</w:t>
            </w:r>
            <w:r>
              <w:rPr>
                <w:rFonts w:hint="eastAsia" w:ascii="宋体" w:hAnsi="宋体" w:eastAsia="宋体" w:cs="宋体"/>
                <w:b w:val="0"/>
                <w:bCs/>
                <w:color w:val="auto"/>
                <w:sz w:val="24"/>
                <w:szCs w:val="24"/>
                <w:u w:val="none" w:color="auto"/>
              </w:rPr>
              <w:t>氮氧化物</w:t>
            </w:r>
            <w:r>
              <w:rPr>
                <w:rFonts w:hint="eastAsia" w:ascii="宋体" w:hAnsi="宋体" w:eastAsia="宋体" w:cs="宋体"/>
                <w:b w:val="0"/>
                <w:bCs/>
                <w:color w:val="auto"/>
                <w:sz w:val="24"/>
                <w:szCs w:val="24"/>
                <w:u w:val="none" w:color="auto"/>
                <w:lang w:eastAsia="zh-CN"/>
              </w:rPr>
              <w:t>执行</w:t>
            </w:r>
            <w:r>
              <w:rPr>
                <w:rFonts w:hint="eastAsia" w:ascii="宋体" w:hAnsi="宋体" w:eastAsia="宋体" w:cs="宋体"/>
                <w:b w:val="0"/>
                <w:bCs/>
                <w:color w:val="auto"/>
                <w:sz w:val="24"/>
                <w:szCs w:val="24"/>
                <w:u w:val="none" w:color="auto"/>
              </w:rPr>
              <w:t>《大气污染物综合排放标准》（GB16297-1996）</w:t>
            </w:r>
            <w:r>
              <w:rPr>
                <w:rFonts w:hint="eastAsia" w:ascii="宋体" w:hAnsi="宋体" w:eastAsia="宋体" w:cs="宋体"/>
                <w:b w:val="0"/>
                <w:bCs/>
                <w:color w:val="auto"/>
                <w:sz w:val="24"/>
                <w:szCs w:val="24"/>
                <w:u w:val="none" w:color="auto"/>
                <w:lang w:eastAsia="zh-CN"/>
              </w:rPr>
              <w:t>表</w:t>
            </w:r>
            <w:r>
              <w:rPr>
                <w:rFonts w:hint="eastAsia" w:ascii="宋体" w:hAnsi="宋体" w:eastAsia="宋体" w:cs="宋体"/>
                <w:b w:val="0"/>
                <w:bCs/>
                <w:color w:val="auto"/>
                <w:sz w:val="24"/>
                <w:szCs w:val="24"/>
                <w:u w:val="none" w:color="auto"/>
                <w:lang w:val="en-US" w:eastAsia="zh-CN"/>
              </w:rPr>
              <w:t>2</w:t>
            </w:r>
            <w:r>
              <w:rPr>
                <w:rFonts w:hint="eastAsia" w:ascii="宋体" w:hAnsi="宋体" w:eastAsia="宋体" w:cs="宋体"/>
                <w:b w:val="0"/>
                <w:bCs/>
                <w:color w:val="auto"/>
                <w:sz w:val="24"/>
                <w:szCs w:val="24"/>
                <w:u w:val="none" w:color="auto"/>
              </w:rPr>
              <w:t>中</w:t>
            </w:r>
            <w:r>
              <w:rPr>
                <w:rFonts w:hint="eastAsia" w:ascii="宋体" w:hAnsi="宋体" w:eastAsia="宋体" w:cs="宋体"/>
                <w:b w:val="0"/>
                <w:bCs/>
                <w:color w:val="auto"/>
                <w:sz w:val="24"/>
                <w:szCs w:val="24"/>
                <w:u w:val="none" w:color="auto"/>
                <w:lang w:eastAsia="zh-CN"/>
              </w:rPr>
              <w:t>二级排放</w:t>
            </w:r>
            <w:r>
              <w:rPr>
                <w:rFonts w:hint="eastAsia" w:ascii="宋体" w:hAnsi="宋体" w:eastAsia="宋体" w:cs="宋体"/>
                <w:b w:val="0"/>
                <w:bCs/>
                <w:color w:val="auto"/>
                <w:sz w:val="24"/>
                <w:szCs w:val="24"/>
                <w:u w:val="none" w:color="auto"/>
              </w:rPr>
              <w:t>限值</w:t>
            </w:r>
          </w:p>
        </w:tc>
      </w:tr>
      <w:tr w14:paraId="6B5D55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19" w:type="dxa"/>
            <w:vMerge w:val="continue"/>
            <w:vAlign w:val="center"/>
          </w:tcPr>
          <w:p w14:paraId="07B3C5C4">
            <w:pPr>
              <w:adjustRightInd w:val="0"/>
              <w:snapToGrid w:val="0"/>
              <w:jc w:val="center"/>
              <w:rPr>
                <w:rFonts w:ascii="宋体" w:hAnsi="宋体" w:cs="宋体"/>
                <w:color w:val="auto"/>
                <w:sz w:val="24"/>
                <w:szCs w:val="24"/>
                <w:highlight w:val="none"/>
                <w:u w:val="none" w:color="auto"/>
              </w:rPr>
            </w:pPr>
          </w:p>
        </w:tc>
        <w:tc>
          <w:tcPr>
            <w:tcW w:w="1712" w:type="dxa"/>
            <w:vAlign w:val="center"/>
          </w:tcPr>
          <w:p w14:paraId="07B5AB37">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装卸废气</w:t>
            </w:r>
          </w:p>
        </w:tc>
        <w:tc>
          <w:tcPr>
            <w:tcW w:w="1321" w:type="dxa"/>
            <w:vAlign w:val="center"/>
          </w:tcPr>
          <w:p w14:paraId="4E717AB6">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颗粒物</w:t>
            </w:r>
          </w:p>
        </w:tc>
        <w:tc>
          <w:tcPr>
            <w:tcW w:w="1950" w:type="dxa"/>
            <w:shd w:val="clear" w:color="auto" w:fill="auto"/>
            <w:vAlign w:val="center"/>
          </w:tcPr>
          <w:p w14:paraId="55868A61">
            <w:pPr>
              <w:adjustRightInd w:val="0"/>
              <w:snapToGrid w:val="0"/>
              <w:spacing w:line="240" w:lineRule="auto"/>
              <w:jc w:val="center"/>
              <w:rPr>
                <w:rFonts w:hint="eastAsia" w:ascii="Times New Roman" w:hAnsi="Times New Roman" w:eastAsia="宋体" w:cs="Times New Roman"/>
                <w:color w:val="auto"/>
                <w:sz w:val="24"/>
                <w:szCs w:val="24"/>
                <w:highlight w:val="none"/>
                <w:u w:val="single" w:color="auto"/>
                <w:lang w:val="en-US" w:eastAsia="zh-CN"/>
              </w:rPr>
            </w:pPr>
            <w:r>
              <w:rPr>
                <w:rFonts w:hint="eastAsia" w:ascii="Times New Roman" w:hAnsi="Times New Roman" w:eastAsia="宋体" w:cs="Times New Roman"/>
                <w:color w:val="auto"/>
                <w:sz w:val="24"/>
                <w:szCs w:val="24"/>
                <w:highlight w:val="none"/>
                <w:u w:val="single" w:color="auto"/>
                <w:lang w:val="en-US" w:eastAsia="zh-CN"/>
              </w:rPr>
              <w:t>晾晒场采用苫布苫盖，卸料时尽量降低卸料高度，避免大风天气作业；输送带、提升机密闭，</w:t>
            </w:r>
            <w:r>
              <w:rPr>
                <w:rFonts w:hint="eastAsia" w:cs="Times New Roman"/>
                <w:color w:val="auto"/>
                <w:sz w:val="24"/>
                <w:szCs w:val="24"/>
                <w:highlight w:val="none"/>
                <w:u w:val="single" w:color="auto"/>
                <w:lang w:val="en-US" w:eastAsia="zh-CN"/>
              </w:rPr>
              <w:t>控制及减缓输送带速度</w:t>
            </w:r>
          </w:p>
        </w:tc>
        <w:tc>
          <w:tcPr>
            <w:tcW w:w="2014" w:type="dxa"/>
            <w:vMerge w:val="restart"/>
            <w:vAlign w:val="center"/>
          </w:tcPr>
          <w:p w14:paraId="525132DB">
            <w:pPr>
              <w:adjustRightInd w:val="0"/>
              <w:snapToGrid w:val="0"/>
              <w:spacing w:line="240" w:lineRule="auto"/>
              <w:jc w:val="center"/>
              <w:rPr>
                <w:color w:val="auto"/>
                <w:sz w:val="24"/>
                <w:szCs w:val="24"/>
                <w:highlight w:val="yellow"/>
                <w:u w:val="none" w:color="auto"/>
              </w:rPr>
            </w:pPr>
            <w:r>
              <w:rPr>
                <w:rFonts w:hint="eastAsia" w:ascii="宋体" w:hAnsi="宋体" w:eastAsia="宋体" w:cs="宋体"/>
                <w:color w:val="auto"/>
                <w:kern w:val="2"/>
                <w:sz w:val="24"/>
                <w:szCs w:val="24"/>
                <w:u w:val="none" w:color="auto"/>
                <w:lang w:val="en-US" w:eastAsia="zh-CN" w:bidi="ar-SA"/>
              </w:rPr>
              <w:t>《大气污染物综合排放标准》（GB16297-1996）</w:t>
            </w:r>
            <w:r>
              <w:rPr>
                <w:rFonts w:hint="eastAsia" w:ascii="宋体" w:hAnsi="宋体" w:eastAsia="宋体" w:cs="宋体"/>
                <w:b w:val="0"/>
                <w:bCs/>
                <w:color w:val="auto"/>
                <w:sz w:val="24"/>
                <w:szCs w:val="24"/>
                <w:u w:val="none" w:color="auto"/>
                <w:lang w:eastAsia="zh-CN"/>
              </w:rPr>
              <w:t>表</w:t>
            </w:r>
            <w:r>
              <w:rPr>
                <w:rFonts w:hint="eastAsia" w:ascii="宋体" w:hAnsi="宋体" w:eastAsia="宋体" w:cs="宋体"/>
                <w:b w:val="0"/>
                <w:bCs/>
                <w:color w:val="auto"/>
                <w:sz w:val="24"/>
                <w:szCs w:val="24"/>
                <w:u w:val="none" w:color="auto"/>
                <w:lang w:val="en-US" w:eastAsia="zh-CN"/>
              </w:rPr>
              <w:t>2</w:t>
            </w:r>
            <w:r>
              <w:rPr>
                <w:rFonts w:hint="eastAsia" w:ascii="宋体" w:hAnsi="宋体" w:eastAsia="宋体" w:cs="宋体"/>
                <w:b w:val="0"/>
                <w:bCs/>
                <w:color w:val="auto"/>
                <w:sz w:val="24"/>
                <w:szCs w:val="24"/>
                <w:u w:val="none" w:color="auto"/>
              </w:rPr>
              <w:t>中</w:t>
            </w:r>
            <w:r>
              <w:rPr>
                <w:rFonts w:hint="eastAsia" w:ascii="宋体" w:hAnsi="宋体" w:eastAsia="宋体" w:cs="宋体"/>
                <w:b w:val="0"/>
                <w:bCs/>
                <w:color w:val="auto"/>
                <w:sz w:val="24"/>
                <w:szCs w:val="24"/>
                <w:u w:val="none" w:color="auto"/>
                <w:lang w:val="en-US" w:eastAsia="zh-CN"/>
              </w:rPr>
              <w:t>无组织排放监控</w:t>
            </w:r>
            <w:r>
              <w:rPr>
                <w:rFonts w:hint="eastAsia" w:ascii="宋体" w:hAnsi="宋体" w:eastAsia="宋体" w:cs="宋体"/>
                <w:b w:val="0"/>
                <w:bCs/>
                <w:color w:val="auto"/>
                <w:sz w:val="24"/>
                <w:szCs w:val="24"/>
                <w:u w:val="none" w:color="auto"/>
              </w:rPr>
              <w:t>浓度限值</w:t>
            </w:r>
          </w:p>
        </w:tc>
      </w:tr>
      <w:tr w14:paraId="67B174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1519" w:type="dxa"/>
            <w:vMerge w:val="continue"/>
            <w:vAlign w:val="center"/>
          </w:tcPr>
          <w:p w14:paraId="72A8E4F3">
            <w:pPr>
              <w:adjustRightInd w:val="0"/>
              <w:snapToGrid w:val="0"/>
              <w:jc w:val="center"/>
              <w:rPr>
                <w:color w:val="auto"/>
                <w:sz w:val="24"/>
                <w:szCs w:val="24"/>
                <w:highlight w:val="none"/>
                <w:u w:val="none" w:color="auto"/>
              </w:rPr>
            </w:pPr>
          </w:p>
        </w:tc>
        <w:tc>
          <w:tcPr>
            <w:tcW w:w="1712" w:type="dxa"/>
            <w:shd w:val="clear" w:color="auto" w:fill="auto"/>
            <w:vAlign w:val="center"/>
          </w:tcPr>
          <w:p w14:paraId="429563EF">
            <w:pPr>
              <w:adjustRightInd w:val="0"/>
              <w:snapToGrid w:val="0"/>
              <w:spacing w:line="240" w:lineRule="auto"/>
              <w:jc w:val="center"/>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筛分废气</w:t>
            </w:r>
          </w:p>
        </w:tc>
        <w:tc>
          <w:tcPr>
            <w:tcW w:w="1321" w:type="dxa"/>
            <w:shd w:val="clear" w:color="auto" w:fill="auto"/>
            <w:vAlign w:val="center"/>
          </w:tcPr>
          <w:p w14:paraId="039DCD35">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颗粒物</w:t>
            </w:r>
          </w:p>
        </w:tc>
        <w:tc>
          <w:tcPr>
            <w:tcW w:w="1950" w:type="dxa"/>
            <w:shd w:val="clear" w:color="auto" w:fill="auto"/>
            <w:vAlign w:val="center"/>
          </w:tcPr>
          <w:p w14:paraId="136A7968">
            <w:pPr>
              <w:adjustRightInd w:val="0"/>
              <w:snapToGrid w:val="0"/>
              <w:spacing w:line="240" w:lineRule="auto"/>
              <w:jc w:val="center"/>
              <w:rPr>
                <w:rFonts w:hint="eastAsia" w:ascii="Times New Roman" w:hAnsi="Times New Roman" w:eastAsia="宋体" w:cs="Times New Roman"/>
                <w:color w:val="auto"/>
                <w:sz w:val="24"/>
                <w:szCs w:val="24"/>
                <w:highlight w:val="none"/>
                <w:u w:val="single" w:color="auto"/>
                <w:lang w:val="en-US" w:eastAsia="zh-CN"/>
              </w:rPr>
            </w:pPr>
            <w:r>
              <w:rPr>
                <w:rFonts w:hint="eastAsia" w:ascii="Times New Roman" w:hAnsi="Times New Roman" w:eastAsia="宋体" w:cs="Times New Roman"/>
                <w:color w:val="auto"/>
                <w:sz w:val="24"/>
                <w:szCs w:val="24"/>
                <w:highlight w:val="none"/>
                <w:u w:val="single" w:color="auto"/>
                <w:lang w:val="en-US" w:eastAsia="zh-CN"/>
              </w:rPr>
              <w:t>圆筒筛上安装</w:t>
            </w:r>
            <w:r>
              <w:rPr>
                <w:rFonts w:hint="default" w:ascii="Times New Roman" w:hAnsi="Times New Roman" w:eastAsia="宋体" w:cs="Times New Roman"/>
                <w:color w:val="auto"/>
                <w:sz w:val="24"/>
                <w:szCs w:val="24"/>
                <w:highlight w:val="none"/>
                <w:u w:val="single" w:color="auto"/>
                <w:lang w:val="en-US" w:eastAsia="zh-CN"/>
              </w:rPr>
              <w:t>密封罩</w:t>
            </w:r>
            <w:r>
              <w:rPr>
                <w:rFonts w:hint="eastAsia" w:ascii="Times New Roman" w:hAnsi="Times New Roman" w:eastAsia="宋体" w:cs="Times New Roman"/>
                <w:color w:val="auto"/>
                <w:sz w:val="24"/>
                <w:szCs w:val="24"/>
                <w:highlight w:val="none"/>
                <w:u w:val="single" w:color="auto"/>
                <w:lang w:val="en-US" w:eastAsia="zh-CN"/>
              </w:rPr>
              <w:t>，圆筒筛下安装围挡</w:t>
            </w:r>
          </w:p>
        </w:tc>
        <w:tc>
          <w:tcPr>
            <w:tcW w:w="2014" w:type="dxa"/>
            <w:vMerge w:val="continue"/>
            <w:shd w:val="clear" w:color="auto" w:fill="auto"/>
            <w:vAlign w:val="center"/>
          </w:tcPr>
          <w:p w14:paraId="6A0AEC27">
            <w:pPr>
              <w:adjustRightInd w:val="0"/>
              <w:snapToGrid w:val="0"/>
              <w:spacing w:line="240" w:lineRule="auto"/>
              <w:jc w:val="center"/>
              <w:rPr>
                <w:rFonts w:hint="eastAsia" w:ascii="Times New Roman" w:hAnsi="Times New Roman" w:eastAsia="宋体" w:cs="Times New Roman"/>
                <w:color w:val="auto"/>
                <w:kern w:val="2"/>
                <w:sz w:val="24"/>
                <w:szCs w:val="24"/>
                <w:highlight w:val="yellow"/>
                <w:u w:val="none" w:color="auto"/>
                <w:lang w:val="en-US" w:eastAsia="zh-CN" w:bidi="ar-SA"/>
              </w:rPr>
            </w:pPr>
          </w:p>
        </w:tc>
      </w:tr>
      <w:tr w14:paraId="01A687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1519" w:type="dxa"/>
            <w:vMerge w:val="continue"/>
            <w:vAlign w:val="center"/>
          </w:tcPr>
          <w:p w14:paraId="1249AC5F">
            <w:pPr>
              <w:adjustRightInd w:val="0"/>
              <w:snapToGrid w:val="0"/>
              <w:jc w:val="center"/>
              <w:rPr>
                <w:color w:val="auto"/>
                <w:sz w:val="24"/>
                <w:szCs w:val="24"/>
                <w:highlight w:val="none"/>
                <w:u w:val="none" w:color="auto"/>
              </w:rPr>
            </w:pPr>
          </w:p>
        </w:tc>
        <w:tc>
          <w:tcPr>
            <w:tcW w:w="1712" w:type="dxa"/>
            <w:shd w:val="clear" w:color="auto" w:fill="auto"/>
            <w:vAlign w:val="center"/>
          </w:tcPr>
          <w:p w14:paraId="1C7BD416">
            <w:pPr>
              <w:adjustRightInd w:val="0"/>
              <w:snapToGrid w:val="0"/>
              <w:spacing w:line="240" w:lineRule="auto"/>
              <w:jc w:val="center"/>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烘干粉尘</w:t>
            </w:r>
          </w:p>
        </w:tc>
        <w:tc>
          <w:tcPr>
            <w:tcW w:w="1321" w:type="dxa"/>
            <w:shd w:val="clear" w:color="auto" w:fill="auto"/>
            <w:vAlign w:val="center"/>
          </w:tcPr>
          <w:p w14:paraId="4A120BF4">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颗粒物</w:t>
            </w:r>
          </w:p>
        </w:tc>
        <w:tc>
          <w:tcPr>
            <w:tcW w:w="1950" w:type="dxa"/>
            <w:shd w:val="clear" w:color="auto" w:fill="auto"/>
            <w:vAlign w:val="center"/>
          </w:tcPr>
          <w:p w14:paraId="253F0D0A">
            <w:pPr>
              <w:adjustRightInd w:val="0"/>
              <w:snapToGrid w:val="0"/>
              <w:spacing w:line="240" w:lineRule="auto"/>
              <w:jc w:val="center"/>
              <w:rPr>
                <w:rFonts w:hint="eastAsia" w:ascii="Times New Roman" w:hAnsi="Times New Roman" w:eastAsia="宋体" w:cs="Times New Roman"/>
                <w:color w:val="auto"/>
                <w:sz w:val="24"/>
                <w:szCs w:val="24"/>
                <w:highlight w:val="none"/>
                <w:u w:val="single" w:color="auto"/>
                <w:lang w:val="en-US" w:eastAsia="zh-CN"/>
              </w:rPr>
            </w:pPr>
            <w:r>
              <w:rPr>
                <w:rFonts w:hint="eastAsia" w:ascii="Times New Roman" w:hAnsi="Times New Roman" w:eastAsia="宋体" w:cs="Times New Roman"/>
                <w:color w:val="auto"/>
                <w:sz w:val="24"/>
                <w:szCs w:val="24"/>
                <w:highlight w:val="none"/>
                <w:u w:val="single" w:color="auto"/>
                <w:lang w:val="en-US" w:eastAsia="zh-CN"/>
              </w:rPr>
              <w:t>烘干塔外设置密闭罩，排潮口处安装加密除尘网</w:t>
            </w:r>
          </w:p>
        </w:tc>
        <w:tc>
          <w:tcPr>
            <w:tcW w:w="2014" w:type="dxa"/>
            <w:vMerge w:val="continue"/>
            <w:shd w:val="clear" w:color="auto" w:fill="auto"/>
            <w:vAlign w:val="center"/>
          </w:tcPr>
          <w:p w14:paraId="256FFFDF">
            <w:pPr>
              <w:adjustRightInd w:val="0"/>
              <w:snapToGrid w:val="0"/>
              <w:spacing w:line="240" w:lineRule="auto"/>
              <w:jc w:val="center"/>
              <w:rPr>
                <w:rFonts w:hint="eastAsia" w:ascii="Times New Roman" w:hAnsi="Times New Roman" w:eastAsia="宋体" w:cs="Times New Roman"/>
                <w:color w:val="auto"/>
                <w:kern w:val="2"/>
                <w:sz w:val="24"/>
                <w:szCs w:val="24"/>
                <w:highlight w:val="yellow"/>
                <w:u w:val="none" w:color="auto"/>
                <w:lang w:val="en-US" w:eastAsia="zh-CN" w:bidi="ar-SA"/>
              </w:rPr>
            </w:pPr>
          </w:p>
        </w:tc>
      </w:tr>
      <w:tr w14:paraId="65681C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1519" w:type="dxa"/>
            <w:vMerge w:val="continue"/>
            <w:vAlign w:val="center"/>
          </w:tcPr>
          <w:p w14:paraId="38E19F50">
            <w:pPr>
              <w:adjustRightInd w:val="0"/>
              <w:snapToGrid w:val="0"/>
              <w:jc w:val="center"/>
              <w:rPr>
                <w:color w:val="auto"/>
                <w:sz w:val="24"/>
                <w:szCs w:val="24"/>
                <w:highlight w:val="none"/>
                <w:u w:val="none" w:color="auto"/>
              </w:rPr>
            </w:pPr>
          </w:p>
        </w:tc>
        <w:tc>
          <w:tcPr>
            <w:tcW w:w="1712" w:type="dxa"/>
            <w:shd w:val="clear" w:color="auto" w:fill="auto"/>
            <w:vAlign w:val="center"/>
          </w:tcPr>
          <w:p w14:paraId="5E974344">
            <w:pPr>
              <w:adjustRightInd w:val="0"/>
              <w:snapToGrid w:val="0"/>
              <w:spacing w:line="240" w:lineRule="auto"/>
              <w:jc w:val="center"/>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灰渣粉尘</w:t>
            </w:r>
          </w:p>
        </w:tc>
        <w:tc>
          <w:tcPr>
            <w:tcW w:w="1321" w:type="dxa"/>
            <w:shd w:val="clear" w:color="auto" w:fill="auto"/>
            <w:vAlign w:val="center"/>
          </w:tcPr>
          <w:p w14:paraId="0817D8F4">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颗粒物</w:t>
            </w:r>
          </w:p>
        </w:tc>
        <w:tc>
          <w:tcPr>
            <w:tcW w:w="1950" w:type="dxa"/>
            <w:shd w:val="clear" w:color="auto" w:fill="auto"/>
            <w:vAlign w:val="center"/>
          </w:tcPr>
          <w:p w14:paraId="00AB8253">
            <w:pPr>
              <w:adjustRightInd w:val="0"/>
              <w:snapToGrid w:val="0"/>
              <w:spacing w:line="240" w:lineRule="auto"/>
              <w:jc w:val="center"/>
              <w:rPr>
                <w:rFonts w:hint="eastAsia" w:ascii="Times New Roman" w:hAnsi="Times New Roman" w:eastAsia="宋体" w:cs="Times New Roman"/>
                <w:color w:val="auto"/>
                <w:sz w:val="24"/>
                <w:szCs w:val="24"/>
                <w:highlight w:val="none"/>
                <w:u w:val="single" w:color="auto"/>
                <w:lang w:val="en-US" w:eastAsia="zh-CN"/>
              </w:rPr>
            </w:pPr>
            <w:r>
              <w:rPr>
                <w:rFonts w:hint="eastAsia" w:cs="Times New Roman"/>
                <w:color w:val="auto"/>
                <w:sz w:val="24"/>
                <w:szCs w:val="24"/>
                <w:highlight w:val="none"/>
                <w:u w:val="single" w:color="auto"/>
                <w:lang w:val="en-US" w:eastAsia="zh-CN"/>
              </w:rPr>
              <w:t>湿式除渣、装袋暂存于密闭灰渣库</w:t>
            </w:r>
          </w:p>
        </w:tc>
        <w:tc>
          <w:tcPr>
            <w:tcW w:w="2014" w:type="dxa"/>
            <w:vMerge w:val="continue"/>
            <w:shd w:val="clear" w:color="auto" w:fill="auto"/>
            <w:vAlign w:val="center"/>
          </w:tcPr>
          <w:p w14:paraId="725A2B97">
            <w:pPr>
              <w:adjustRightInd w:val="0"/>
              <w:snapToGrid w:val="0"/>
              <w:spacing w:line="240" w:lineRule="auto"/>
              <w:jc w:val="center"/>
              <w:rPr>
                <w:rFonts w:hint="eastAsia" w:ascii="Times New Roman" w:hAnsi="Times New Roman" w:eastAsia="宋体" w:cs="Times New Roman"/>
                <w:color w:val="auto"/>
                <w:kern w:val="2"/>
                <w:sz w:val="24"/>
                <w:szCs w:val="24"/>
                <w:highlight w:val="yellow"/>
                <w:u w:val="none" w:color="auto"/>
                <w:lang w:val="en-US" w:eastAsia="zh-CN" w:bidi="ar-SA"/>
              </w:rPr>
            </w:pPr>
          </w:p>
        </w:tc>
      </w:tr>
      <w:tr w14:paraId="201034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519" w:type="dxa"/>
            <w:vAlign w:val="center"/>
          </w:tcPr>
          <w:p w14:paraId="599C5D98">
            <w:pPr>
              <w:adjustRightInd w:val="0"/>
              <w:snapToGrid w:val="0"/>
              <w:jc w:val="center"/>
              <w:rPr>
                <w:color w:val="auto"/>
                <w:sz w:val="24"/>
                <w:szCs w:val="24"/>
                <w:highlight w:val="none"/>
                <w:u w:val="none" w:color="auto"/>
              </w:rPr>
            </w:pPr>
            <w:r>
              <w:rPr>
                <w:color w:val="auto"/>
                <w:sz w:val="24"/>
                <w:szCs w:val="24"/>
                <w:highlight w:val="none"/>
                <w:u w:val="none" w:color="auto"/>
              </w:rPr>
              <w:t>地表水环境</w:t>
            </w:r>
          </w:p>
        </w:tc>
        <w:tc>
          <w:tcPr>
            <w:tcW w:w="1712" w:type="dxa"/>
            <w:shd w:val="clear" w:color="auto" w:fill="auto"/>
            <w:vAlign w:val="center"/>
          </w:tcPr>
          <w:p w14:paraId="66AFB170">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生活污水</w:t>
            </w:r>
          </w:p>
        </w:tc>
        <w:tc>
          <w:tcPr>
            <w:tcW w:w="1321" w:type="dxa"/>
            <w:shd w:val="clear" w:color="auto" w:fill="auto"/>
            <w:vAlign w:val="center"/>
          </w:tcPr>
          <w:p w14:paraId="234370B1">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COD</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BOD</w:t>
            </w:r>
            <w:r>
              <w:rPr>
                <w:rFonts w:hint="default" w:ascii="Times New Roman" w:hAnsi="Times New Roman" w:eastAsia="宋体" w:cs="Times New Roman"/>
                <w:color w:val="auto"/>
                <w:sz w:val="24"/>
                <w:szCs w:val="24"/>
                <w:highlight w:val="none"/>
                <w:u w:val="none" w:color="auto"/>
                <w:vertAlign w:val="subscript"/>
                <w:lang w:val="en-US" w:eastAsia="zh-CN"/>
              </w:rPr>
              <w:t>5</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SS</w:t>
            </w:r>
            <w:r>
              <w:rPr>
                <w:rFonts w:hint="eastAsia" w:ascii="Times New Roman" w:hAnsi="Times New Roman" w:eastAsia="宋体" w:cs="Times New Roman"/>
                <w:color w:val="auto"/>
                <w:sz w:val="24"/>
                <w:szCs w:val="24"/>
                <w:highlight w:val="none"/>
                <w:u w:val="none" w:color="auto"/>
                <w:lang w:val="en-US" w:eastAsia="zh-CN"/>
              </w:rPr>
              <w:t>、</w:t>
            </w:r>
            <w:r>
              <w:rPr>
                <w:rFonts w:hint="default" w:ascii="Times New Roman" w:hAnsi="Times New Roman" w:eastAsia="宋体" w:cs="Times New Roman"/>
                <w:color w:val="auto"/>
                <w:sz w:val="24"/>
                <w:szCs w:val="24"/>
                <w:highlight w:val="none"/>
                <w:u w:val="none" w:color="auto"/>
                <w:lang w:val="en-US" w:eastAsia="zh-CN"/>
              </w:rPr>
              <w:t>NH</w:t>
            </w:r>
            <w:r>
              <w:rPr>
                <w:rFonts w:hint="default" w:ascii="Times New Roman" w:hAnsi="Times New Roman" w:eastAsia="宋体" w:cs="Times New Roman"/>
                <w:color w:val="auto"/>
                <w:sz w:val="24"/>
                <w:szCs w:val="24"/>
                <w:highlight w:val="none"/>
                <w:u w:val="none" w:color="auto"/>
                <w:vertAlign w:val="subscript"/>
                <w:lang w:val="en-US" w:eastAsia="zh-CN"/>
              </w:rPr>
              <w:t>3</w:t>
            </w:r>
            <w:r>
              <w:rPr>
                <w:rFonts w:hint="default" w:ascii="Times New Roman" w:hAnsi="Times New Roman" w:eastAsia="宋体" w:cs="Times New Roman"/>
                <w:color w:val="auto"/>
                <w:sz w:val="24"/>
                <w:szCs w:val="24"/>
                <w:highlight w:val="none"/>
                <w:u w:val="none" w:color="auto"/>
                <w:lang w:val="en-US" w:eastAsia="zh-CN"/>
              </w:rPr>
              <w:t>-N</w:t>
            </w:r>
          </w:p>
        </w:tc>
        <w:tc>
          <w:tcPr>
            <w:tcW w:w="1950" w:type="dxa"/>
            <w:vAlign w:val="center"/>
          </w:tcPr>
          <w:p w14:paraId="4739BF37">
            <w:pPr>
              <w:adjustRightInd w:val="0"/>
              <w:snapToGrid w:val="0"/>
              <w:spacing w:line="240" w:lineRule="auto"/>
              <w:jc w:val="center"/>
              <w:rPr>
                <w:rFonts w:hint="eastAsia" w:ascii="Times New Roman" w:hAnsi="Times New Roman" w:eastAsia="宋体" w:cs="Times New Roman"/>
                <w:color w:val="auto"/>
                <w:sz w:val="24"/>
                <w:szCs w:val="24"/>
                <w:highlight w:val="none"/>
                <w:u w:val="none" w:color="auto"/>
                <w:lang w:val="en-US" w:eastAsia="zh-CN"/>
              </w:rPr>
            </w:pPr>
            <w:r>
              <w:rPr>
                <w:rFonts w:hint="eastAsia" w:cs="Times New Roman"/>
                <w:color w:val="auto"/>
                <w:sz w:val="24"/>
                <w:szCs w:val="24"/>
                <w:highlight w:val="none"/>
                <w:u w:val="none" w:color="auto"/>
                <w:lang w:val="en-GB" w:eastAsia="zh-CN"/>
              </w:rPr>
              <w:t>排入</w:t>
            </w:r>
            <w:r>
              <w:rPr>
                <w:rFonts w:hint="eastAsia" w:ascii="Times New Roman" w:hAnsi="Times New Roman" w:eastAsia="宋体" w:cs="Times New Roman"/>
                <w:color w:val="auto"/>
                <w:sz w:val="24"/>
                <w:szCs w:val="24"/>
                <w:highlight w:val="none"/>
                <w:u w:val="none" w:color="auto"/>
                <w:lang w:val="en-GB" w:eastAsia="zh-CN"/>
              </w:rPr>
              <w:t>防渗旱厕</w:t>
            </w:r>
            <w:r>
              <w:rPr>
                <w:rFonts w:hint="eastAsia" w:cs="Times New Roman"/>
                <w:color w:val="auto"/>
                <w:sz w:val="24"/>
                <w:szCs w:val="24"/>
                <w:highlight w:val="none"/>
                <w:u w:val="none" w:color="auto"/>
                <w:lang w:val="en-GB" w:eastAsia="zh-CN"/>
              </w:rPr>
              <w:t>，定期清掏还田</w:t>
            </w:r>
          </w:p>
        </w:tc>
        <w:tc>
          <w:tcPr>
            <w:tcW w:w="2014" w:type="dxa"/>
            <w:vAlign w:val="center"/>
          </w:tcPr>
          <w:p w14:paraId="6C43871D">
            <w:pPr>
              <w:adjustRightInd w:val="0"/>
              <w:snapToGrid w:val="0"/>
              <w:spacing w:line="240" w:lineRule="auto"/>
              <w:jc w:val="center"/>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w:t>
            </w:r>
          </w:p>
        </w:tc>
      </w:tr>
      <w:tr w14:paraId="23DB87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19" w:type="dxa"/>
            <w:vAlign w:val="center"/>
          </w:tcPr>
          <w:p w14:paraId="5E23B40B">
            <w:pPr>
              <w:adjustRightInd w:val="0"/>
              <w:snapToGrid w:val="0"/>
              <w:jc w:val="center"/>
              <w:rPr>
                <w:color w:val="auto"/>
                <w:sz w:val="24"/>
                <w:szCs w:val="24"/>
                <w:highlight w:val="none"/>
                <w:u w:val="none" w:color="auto"/>
              </w:rPr>
            </w:pPr>
            <w:r>
              <w:rPr>
                <w:color w:val="auto"/>
                <w:sz w:val="24"/>
                <w:szCs w:val="24"/>
                <w:highlight w:val="none"/>
                <w:u w:val="none" w:color="auto"/>
              </w:rPr>
              <w:t>声环境</w:t>
            </w:r>
          </w:p>
        </w:tc>
        <w:tc>
          <w:tcPr>
            <w:tcW w:w="1712" w:type="dxa"/>
            <w:vAlign w:val="center"/>
          </w:tcPr>
          <w:p w14:paraId="45A5CCD6">
            <w:pPr>
              <w:adjustRightInd w:val="0"/>
              <w:snapToGrid w:val="0"/>
              <w:spacing w:line="240" w:lineRule="auto"/>
              <w:jc w:val="center"/>
              <w:rPr>
                <w:rFonts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rPr>
              <w:t>生产设备</w:t>
            </w:r>
          </w:p>
        </w:tc>
        <w:tc>
          <w:tcPr>
            <w:tcW w:w="1321" w:type="dxa"/>
            <w:vAlign w:val="center"/>
          </w:tcPr>
          <w:p w14:paraId="65849828">
            <w:pPr>
              <w:adjustRightInd w:val="0"/>
              <w:snapToGrid w:val="0"/>
              <w:spacing w:line="240" w:lineRule="auto"/>
              <w:jc w:val="center"/>
              <w:rPr>
                <w:rFonts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lang w:val="en-US"/>
              </w:rPr>
              <w:t>等效连续A声级LAeq</w:t>
            </w:r>
          </w:p>
        </w:tc>
        <w:tc>
          <w:tcPr>
            <w:tcW w:w="1950" w:type="dxa"/>
            <w:vAlign w:val="center"/>
          </w:tcPr>
          <w:p w14:paraId="223499E9">
            <w:pPr>
              <w:adjustRightInd w:val="0"/>
              <w:snapToGrid w:val="0"/>
              <w:spacing w:line="240" w:lineRule="auto"/>
              <w:rPr>
                <w:rFonts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lang w:val="en-GB"/>
              </w:rPr>
              <w:t>选用低噪声设备，基础减振，</w:t>
            </w:r>
            <w:r>
              <w:rPr>
                <w:rFonts w:hint="eastAsia" w:ascii="Times New Roman" w:hAnsi="Times New Roman" w:eastAsia="宋体" w:cs="Times New Roman"/>
                <w:color w:val="auto"/>
                <w:sz w:val="24"/>
                <w:szCs w:val="24"/>
                <w:highlight w:val="none"/>
                <w:u w:val="none" w:color="auto"/>
                <w:lang w:val="en-US"/>
              </w:rPr>
              <w:t>厂房</w:t>
            </w:r>
            <w:r>
              <w:rPr>
                <w:rFonts w:hint="eastAsia" w:ascii="Times New Roman" w:hAnsi="Times New Roman" w:eastAsia="宋体" w:cs="Times New Roman"/>
                <w:color w:val="auto"/>
                <w:sz w:val="24"/>
                <w:szCs w:val="24"/>
                <w:highlight w:val="none"/>
                <w:u w:val="none" w:color="auto"/>
                <w:lang w:val="en-GB"/>
              </w:rPr>
              <w:t>隔声，隔声罩等</w:t>
            </w:r>
          </w:p>
        </w:tc>
        <w:tc>
          <w:tcPr>
            <w:tcW w:w="2014" w:type="dxa"/>
            <w:vAlign w:val="center"/>
          </w:tcPr>
          <w:p w14:paraId="288A2565">
            <w:pPr>
              <w:adjustRightInd w:val="0"/>
              <w:snapToGrid w:val="0"/>
              <w:spacing w:line="240" w:lineRule="auto"/>
              <w:jc w:val="center"/>
              <w:rPr>
                <w:rFonts w:ascii="Times New Roman" w:hAnsi="Times New Roman" w:eastAsia="宋体" w:cs="Times New Roman"/>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lang w:val="en-GB"/>
              </w:rPr>
              <w:t>GB12348—2008《工业企业厂界环境噪声排放标准》</w:t>
            </w:r>
            <w:r>
              <w:rPr>
                <w:rFonts w:hint="eastAsia" w:ascii="Times New Roman" w:hAnsi="Times New Roman" w:eastAsia="宋体" w:cs="Times New Roman"/>
                <w:color w:val="auto"/>
                <w:sz w:val="24"/>
                <w:szCs w:val="24"/>
                <w:highlight w:val="none"/>
                <w:u w:val="none" w:color="auto"/>
                <w:lang w:val="en-US" w:eastAsia="zh-CN"/>
              </w:rPr>
              <w:t>2</w:t>
            </w:r>
            <w:r>
              <w:rPr>
                <w:rFonts w:hint="eastAsia" w:ascii="Times New Roman" w:hAnsi="Times New Roman" w:eastAsia="宋体" w:cs="Times New Roman"/>
                <w:color w:val="auto"/>
                <w:sz w:val="24"/>
                <w:szCs w:val="24"/>
                <w:highlight w:val="none"/>
                <w:u w:val="none" w:color="auto"/>
              </w:rPr>
              <w:t>类</w:t>
            </w:r>
            <w:r>
              <w:rPr>
                <w:rFonts w:hint="eastAsia" w:ascii="Times New Roman" w:hAnsi="Times New Roman" w:eastAsia="宋体" w:cs="Times New Roman"/>
                <w:color w:val="auto"/>
                <w:sz w:val="24"/>
                <w:szCs w:val="24"/>
                <w:highlight w:val="none"/>
                <w:u w:val="none" w:color="auto"/>
                <w:lang w:val="en-US" w:eastAsia="zh-CN"/>
              </w:rPr>
              <w:t>区</w:t>
            </w:r>
            <w:r>
              <w:rPr>
                <w:rFonts w:hint="eastAsia" w:ascii="Times New Roman" w:hAnsi="Times New Roman" w:eastAsia="宋体" w:cs="Times New Roman"/>
                <w:color w:val="auto"/>
                <w:sz w:val="24"/>
                <w:szCs w:val="24"/>
                <w:highlight w:val="none"/>
                <w:u w:val="none" w:color="auto"/>
                <w:lang w:val="en-GB"/>
              </w:rPr>
              <w:t>标准</w:t>
            </w:r>
          </w:p>
        </w:tc>
      </w:tr>
      <w:tr w14:paraId="77AA5C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519" w:type="dxa"/>
            <w:vAlign w:val="center"/>
          </w:tcPr>
          <w:p w14:paraId="7376EC0A">
            <w:pPr>
              <w:adjustRightInd w:val="0"/>
              <w:snapToGrid w:val="0"/>
              <w:jc w:val="center"/>
              <w:rPr>
                <w:color w:val="auto"/>
                <w:sz w:val="24"/>
                <w:szCs w:val="24"/>
                <w:highlight w:val="none"/>
                <w:u w:val="none" w:color="auto"/>
              </w:rPr>
            </w:pPr>
            <w:r>
              <w:rPr>
                <w:color w:val="auto"/>
                <w:sz w:val="24"/>
                <w:szCs w:val="24"/>
                <w:highlight w:val="none"/>
                <w:u w:val="none" w:color="auto"/>
              </w:rPr>
              <w:t>电磁辐射</w:t>
            </w:r>
          </w:p>
        </w:tc>
        <w:tc>
          <w:tcPr>
            <w:tcW w:w="1712" w:type="dxa"/>
            <w:vAlign w:val="center"/>
          </w:tcPr>
          <w:p w14:paraId="3DDBB786">
            <w:pPr>
              <w:adjustRightInd w:val="0"/>
              <w:snapToGrid w:val="0"/>
              <w:spacing w:line="240" w:lineRule="auto"/>
              <w:jc w:val="center"/>
              <w:rPr>
                <w:color w:val="auto"/>
                <w:sz w:val="24"/>
                <w:szCs w:val="24"/>
                <w:highlight w:val="none"/>
                <w:u w:val="none" w:color="auto"/>
              </w:rPr>
            </w:pPr>
            <w:r>
              <w:rPr>
                <w:color w:val="auto"/>
                <w:sz w:val="24"/>
                <w:szCs w:val="24"/>
                <w:highlight w:val="none"/>
                <w:u w:val="none" w:color="auto"/>
              </w:rPr>
              <w:t>/</w:t>
            </w:r>
          </w:p>
        </w:tc>
        <w:tc>
          <w:tcPr>
            <w:tcW w:w="1321" w:type="dxa"/>
            <w:vAlign w:val="center"/>
          </w:tcPr>
          <w:p w14:paraId="04043BCF">
            <w:pPr>
              <w:adjustRightInd w:val="0"/>
              <w:snapToGrid w:val="0"/>
              <w:spacing w:line="240" w:lineRule="auto"/>
              <w:jc w:val="center"/>
              <w:rPr>
                <w:color w:val="auto"/>
                <w:sz w:val="24"/>
                <w:szCs w:val="24"/>
                <w:highlight w:val="none"/>
                <w:u w:val="none" w:color="auto"/>
              </w:rPr>
            </w:pPr>
            <w:r>
              <w:rPr>
                <w:color w:val="auto"/>
                <w:sz w:val="24"/>
                <w:szCs w:val="24"/>
                <w:highlight w:val="none"/>
                <w:u w:val="none" w:color="auto"/>
              </w:rPr>
              <w:t>/</w:t>
            </w:r>
          </w:p>
        </w:tc>
        <w:tc>
          <w:tcPr>
            <w:tcW w:w="1950" w:type="dxa"/>
            <w:vAlign w:val="center"/>
          </w:tcPr>
          <w:p w14:paraId="7F737859">
            <w:pPr>
              <w:adjustRightInd w:val="0"/>
              <w:snapToGrid w:val="0"/>
              <w:spacing w:line="240" w:lineRule="auto"/>
              <w:jc w:val="center"/>
              <w:rPr>
                <w:color w:val="auto"/>
                <w:sz w:val="24"/>
                <w:szCs w:val="24"/>
                <w:highlight w:val="none"/>
                <w:u w:val="none" w:color="auto"/>
              </w:rPr>
            </w:pPr>
            <w:r>
              <w:rPr>
                <w:color w:val="auto"/>
                <w:sz w:val="24"/>
                <w:szCs w:val="24"/>
                <w:highlight w:val="none"/>
                <w:u w:val="none" w:color="auto"/>
              </w:rPr>
              <w:t>/</w:t>
            </w:r>
          </w:p>
        </w:tc>
        <w:tc>
          <w:tcPr>
            <w:tcW w:w="2014" w:type="dxa"/>
            <w:vAlign w:val="center"/>
          </w:tcPr>
          <w:p w14:paraId="314ED106">
            <w:pPr>
              <w:adjustRightInd w:val="0"/>
              <w:snapToGrid w:val="0"/>
              <w:spacing w:line="240" w:lineRule="auto"/>
              <w:jc w:val="center"/>
              <w:rPr>
                <w:color w:val="auto"/>
                <w:sz w:val="24"/>
                <w:szCs w:val="24"/>
                <w:highlight w:val="none"/>
                <w:u w:val="none" w:color="auto"/>
              </w:rPr>
            </w:pPr>
            <w:r>
              <w:rPr>
                <w:color w:val="auto"/>
                <w:sz w:val="24"/>
                <w:szCs w:val="24"/>
                <w:highlight w:val="none"/>
                <w:u w:val="none" w:color="auto"/>
              </w:rPr>
              <w:t>/</w:t>
            </w:r>
          </w:p>
        </w:tc>
      </w:tr>
      <w:tr w14:paraId="6079AF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9" w:hRule="atLeast"/>
          <w:jc w:val="center"/>
        </w:trPr>
        <w:tc>
          <w:tcPr>
            <w:tcW w:w="1519" w:type="dxa"/>
            <w:vAlign w:val="center"/>
          </w:tcPr>
          <w:p w14:paraId="17704666">
            <w:pPr>
              <w:adjustRightInd w:val="0"/>
              <w:snapToGrid w:val="0"/>
              <w:jc w:val="center"/>
              <w:rPr>
                <w:color w:val="auto"/>
                <w:sz w:val="24"/>
                <w:szCs w:val="24"/>
                <w:highlight w:val="none"/>
                <w:u w:val="none" w:color="auto"/>
              </w:rPr>
            </w:pPr>
            <w:r>
              <w:rPr>
                <w:color w:val="auto"/>
                <w:sz w:val="24"/>
                <w:szCs w:val="24"/>
                <w:highlight w:val="none"/>
                <w:u w:val="none" w:color="auto"/>
              </w:rPr>
              <w:t>固体废物</w:t>
            </w:r>
          </w:p>
        </w:tc>
        <w:tc>
          <w:tcPr>
            <w:tcW w:w="6997" w:type="dxa"/>
            <w:gridSpan w:val="4"/>
            <w:vAlign w:val="center"/>
          </w:tcPr>
          <w:p w14:paraId="5239A061">
            <w:pPr>
              <w:adjustRightInd w:val="0"/>
              <w:snapToGrid w:val="0"/>
              <w:spacing w:line="240" w:lineRule="auto"/>
              <w:rPr>
                <w:rFonts w:hint="eastAsia" w:eastAsia="宋体"/>
                <w:color w:val="auto"/>
                <w:sz w:val="24"/>
                <w:szCs w:val="24"/>
                <w:highlight w:val="none"/>
                <w:u w:val="none" w:color="auto"/>
                <w:lang w:eastAsia="zh-CN"/>
              </w:rPr>
            </w:pPr>
            <w:r>
              <w:rPr>
                <w:color w:val="auto"/>
                <w:sz w:val="24"/>
                <w:szCs w:val="24"/>
                <w:highlight w:val="none"/>
                <w:u w:val="none" w:color="auto"/>
              </w:rPr>
              <w:t>生活垃圾</w:t>
            </w:r>
            <w:r>
              <w:rPr>
                <w:rFonts w:hint="eastAsia"/>
                <w:color w:val="auto"/>
                <w:sz w:val="24"/>
                <w:szCs w:val="24"/>
                <w:highlight w:val="none"/>
                <w:u w:val="none" w:color="auto"/>
                <w:lang w:eastAsia="zh-CN"/>
              </w:rPr>
              <w:t>暂存于厂内密闭垃圾桶，</w:t>
            </w:r>
            <w:r>
              <w:rPr>
                <w:rFonts w:hint="eastAsia" w:ascii="宋体" w:hAnsi="宋体" w:cs="宋体"/>
                <w:color w:val="auto"/>
                <w:kern w:val="0"/>
                <w:sz w:val="24"/>
                <w:szCs w:val="24"/>
                <w:highlight w:val="none"/>
                <w:u w:val="none" w:color="auto"/>
                <w:lang w:bidi="ar"/>
              </w:rPr>
              <w:t>定期由环卫部门清运</w:t>
            </w:r>
            <w:r>
              <w:rPr>
                <w:rFonts w:hint="eastAsia"/>
                <w:color w:val="auto"/>
                <w:sz w:val="24"/>
                <w:szCs w:val="24"/>
                <w:highlight w:val="none"/>
                <w:u w:val="none" w:color="auto"/>
              </w:rPr>
              <w:t>；热风炉产生的</w:t>
            </w:r>
            <w:r>
              <w:rPr>
                <w:rFonts w:hint="eastAsia"/>
                <w:color w:val="auto"/>
                <w:sz w:val="24"/>
                <w:szCs w:val="24"/>
                <w:highlight w:val="none"/>
                <w:u w:val="none" w:color="auto"/>
                <w:lang w:eastAsia="zh-CN"/>
              </w:rPr>
              <w:t>炉渣和</w:t>
            </w:r>
            <w:r>
              <w:rPr>
                <w:rFonts w:hint="eastAsia"/>
                <w:color w:val="auto"/>
                <w:sz w:val="24"/>
                <w:szCs w:val="24"/>
                <w:highlight w:val="none"/>
                <w:u w:val="none" w:color="auto"/>
              </w:rPr>
              <w:t>布袋除尘器产生的除尘灰</w:t>
            </w:r>
            <w:r>
              <w:rPr>
                <w:rFonts w:hint="eastAsia"/>
                <w:color w:val="auto"/>
                <w:sz w:val="24"/>
                <w:szCs w:val="24"/>
                <w:highlight w:val="none"/>
                <w:u w:val="none" w:color="auto"/>
                <w:lang w:eastAsia="zh-CN"/>
              </w:rPr>
              <w:t>经湿式收集，装袋暂存，定期</w:t>
            </w:r>
            <w:r>
              <w:rPr>
                <w:rFonts w:hint="eastAsia"/>
                <w:color w:val="auto"/>
                <w:sz w:val="24"/>
                <w:szCs w:val="24"/>
                <w:highlight w:val="none"/>
                <w:u w:val="none" w:color="auto"/>
                <w:lang w:val="en-US" w:eastAsia="zh-CN"/>
              </w:rPr>
              <w:t>外售作为肥料</w:t>
            </w:r>
            <w:r>
              <w:rPr>
                <w:rFonts w:hint="eastAsia"/>
                <w:color w:val="auto"/>
                <w:sz w:val="24"/>
                <w:szCs w:val="24"/>
                <w:highlight w:val="none"/>
                <w:u w:val="none" w:color="auto"/>
              </w:rPr>
              <w:t>；</w:t>
            </w:r>
            <w:r>
              <w:rPr>
                <w:rFonts w:hint="eastAsia"/>
                <w:color w:val="auto"/>
                <w:sz w:val="24"/>
                <w:szCs w:val="24"/>
                <w:highlight w:val="none"/>
                <w:u w:val="none" w:color="auto"/>
                <w:lang w:val="en-US" w:eastAsia="zh-CN"/>
              </w:rPr>
              <w:t>除尘器布袋定期更换产生废布袋，</w:t>
            </w:r>
            <w:r>
              <w:rPr>
                <w:rFonts w:hint="eastAsia" w:ascii="宋体" w:hAnsi="宋体" w:cs="宋体"/>
                <w:color w:val="auto"/>
                <w:kern w:val="0"/>
                <w:sz w:val="24"/>
                <w:szCs w:val="24"/>
                <w:highlight w:val="none"/>
                <w:u w:val="none" w:color="auto"/>
                <w:lang w:eastAsia="zh-CN" w:bidi="ar"/>
              </w:rPr>
              <w:t>由厂家回收处置</w:t>
            </w:r>
            <w:r>
              <w:rPr>
                <w:rFonts w:hint="eastAsia"/>
                <w:color w:val="auto"/>
                <w:sz w:val="24"/>
                <w:szCs w:val="24"/>
                <w:highlight w:val="none"/>
                <w:u w:val="none" w:color="auto"/>
              </w:rPr>
              <w:t>；</w:t>
            </w:r>
            <w:r>
              <w:rPr>
                <w:rFonts w:hint="eastAsia"/>
                <w:color w:val="auto"/>
                <w:sz w:val="24"/>
                <w:szCs w:val="24"/>
                <w:highlight w:val="none"/>
                <w:u w:val="none" w:color="auto"/>
                <w:lang w:val="en-US" w:eastAsia="zh-CN"/>
              </w:rPr>
              <w:t>装卸、输送产生的原粮杂质和烘干截流粉尘装袋暂存，外售作为</w:t>
            </w:r>
            <w:r>
              <w:rPr>
                <w:rFonts w:hint="eastAsia"/>
                <w:color w:val="auto"/>
                <w:sz w:val="24"/>
                <w:szCs w:val="24"/>
                <w:highlight w:val="none"/>
                <w:u w:val="none" w:color="auto"/>
              </w:rPr>
              <w:t>饲料。</w:t>
            </w:r>
          </w:p>
        </w:tc>
      </w:tr>
      <w:tr w14:paraId="7EA200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519" w:type="dxa"/>
            <w:vAlign w:val="center"/>
          </w:tcPr>
          <w:p w14:paraId="66FBF017">
            <w:pPr>
              <w:adjustRightInd w:val="0"/>
              <w:snapToGrid w:val="0"/>
              <w:spacing w:line="278" w:lineRule="exact"/>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土壤及地下水污染防治措施</w:t>
            </w:r>
          </w:p>
        </w:tc>
        <w:tc>
          <w:tcPr>
            <w:tcW w:w="6997" w:type="dxa"/>
            <w:gridSpan w:val="4"/>
            <w:vAlign w:val="center"/>
          </w:tcPr>
          <w:p w14:paraId="1E03B6BE">
            <w:pPr>
              <w:adjustRightInd w:val="0"/>
              <w:snapToGrid w:val="0"/>
              <w:spacing w:line="278" w:lineRule="exact"/>
              <w:jc w:val="center"/>
              <w:rPr>
                <w:rFonts w:hint="eastAsia" w:ascii="Times New Roman" w:hAnsi="Times New Roman" w:eastAsia="宋体" w:cs="Times New Roman"/>
                <w:color w:val="auto"/>
                <w:sz w:val="24"/>
                <w:szCs w:val="24"/>
                <w:highlight w:val="none"/>
                <w:u w:val="none" w:color="auto"/>
                <w:lang w:val="en-US" w:eastAsia="zh-CN"/>
              </w:rPr>
            </w:pPr>
            <w:r>
              <w:rPr>
                <w:rFonts w:hint="eastAsia" w:cs="Times New Roman"/>
                <w:color w:val="auto"/>
                <w:sz w:val="24"/>
                <w:szCs w:val="24"/>
                <w:highlight w:val="none"/>
                <w:u w:val="none" w:color="auto"/>
                <w:lang w:val="en-US" w:eastAsia="zh-CN"/>
              </w:rPr>
              <w:t>/</w:t>
            </w:r>
          </w:p>
        </w:tc>
      </w:tr>
      <w:tr w14:paraId="47878C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519" w:type="dxa"/>
            <w:vAlign w:val="center"/>
          </w:tcPr>
          <w:p w14:paraId="2B6A685E">
            <w:pPr>
              <w:adjustRightInd w:val="0"/>
              <w:snapToGrid w:val="0"/>
              <w:jc w:val="center"/>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生态保护措施</w:t>
            </w:r>
          </w:p>
        </w:tc>
        <w:tc>
          <w:tcPr>
            <w:tcW w:w="6997" w:type="dxa"/>
            <w:gridSpan w:val="4"/>
            <w:vAlign w:val="center"/>
          </w:tcPr>
          <w:p w14:paraId="5A27D01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cs="宋体"/>
                <w:color w:val="auto"/>
                <w:sz w:val="24"/>
                <w:szCs w:val="24"/>
                <w:highlight w:val="none"/>
                <w:u w:val="none" w:color="auto"/>
              </w:rPr>
            </w:pPr>
            <w:r>
              <w:rPr>
                <w:rFonts w:hint="eastAsia" w:ascii="宋体" w:hAnsi="宋体" w:cs="宋体"/>
                <w:color w:val="auto"/>
                <w:sz w:val="24"/>
                <w:szCs w:val="24"/>
                <w:highlight w:val="none"/>
                <w:u w:val="none" w:color="auto"/>
              </w:rPr>
              <w:t>/</w:t>
            </w:r>
          </w:p>
        </w:tc>
      </w:tr>
      <w:tr w14:paraId="712950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519" w:type="dxa"/>
            <w:vAlign w:val="center"/>
          </w:tcPr>
          <w:p w14:paraId="7973DEF3">
            <w:pPr>
              <w:adjustRightInd w:val="0"/>
              <w:snapToGrid w:val="0"/>
              <w:jc w:val="center"/>
              <w:rPr>
                <w:rFonts w:ascii="宋体" w:hAnsi="宋体" w:cs="宋体"/>
                <w:color w:val="auto"/>
                <w:spacing w:val="-8"/>
                <w:sz w:val="24"/>
                <w:szCs w:val="24"/>
                <w:highlight w:val="none"/>
                <w:u w:val="none" w:color="auto"/>
              </w:rPr>
            </w:pPr>
            <w:r>
              <w:rPr>
                <w:rFonts w:hint="eastAsia" w:ascii="宋体" w:hAnsi="宋体" w:cs="宋体"/>
                <w:color w:val="auto"/>
                <w:spacing w:val="-8"/>
                <w:sz w:val="24"/>
                <w:szCs w:val="24"/>
                <w:highlight w:val="none"/>
                <w:u w:val="none" w:color="auto"/>
              </w:rPr>
              <w:t>环境风险</w:t>
            </w:r>
          </w:p>
          <w:p w14:paraId="366F913D">
            <w:pPr>
              <w:adjustRightInd w:val="0"/>
              <w:snapToGrid w:val="0"/>
              <w:jc w:val="center"/>
              <w:rPr>
                <w:rFonts w:ascii="宋体" w:hAnsi="宋体" w:cs="宋体"/>
                <w:color w:val="auto"/>
                <w:spacing w:val="-8"/>
                <w:sz w:val="24"/>
                <w:szCs w:val="24"/>
                <w:highlight w:val="none"/>
                <w:u w:val="none" w:color="auto"/>
              </w:rPr>
            </w:pPr>
            <w:r>
              <w:rPr>
                <w:rFonts w:hint="eastAsia" w:ascii="宋体" w:hAnsi="宋体" w:cs="宋体"/>
                <w:color w:val="auto"/>
                <w:spacing w:val="-8"/>
                <w:sz w:val="24"/>
                <w:szCs w:val="24"/>
                <w:highlight w:val="none"/>
                <w:u w:val="none" w:color="auto"/>
              </w:rPr>
              <w:t>防范措施</w:t>
            </w:r>
          </w:p>
        </w:tc>
        <w:tc>
          <w:tcPr>
            <w:tcW w:w="6997" w:type="dxa"/>
            <w:gridSpan w:val="4"/>
            <w:vAlign w:val="center"/>
          </w:tcPr>
          <w:p w14:paraId="7A70712F">
            <w:pPr>
              <w:adjustRightInd w:val="0"/>
              <w:snapToGrid w:val="0"/>
              <w:spacing w:line="240" w:lineRule="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①合理设置生物质燃料存放地点，本项目燃料存放在单独燃料间内，远离热风炉房存放；注意生物质燃料使用安全，配备相应的消防器材，并确保消防设施好用。厂房内配备灭火器等消防器材。</w:t>
            </w:r>
          </w:p>
          <w:p w14:paraId="018AFF10">
            <w:pPr>
              <w:adjustRightInd w:val="0"/>
              <w:snapToGrid w:val="0"/>
              <w:spacing w:line="240" w:lineRule="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②生物质储存区内严禁吸烟，严禁带入火柴、打火机等火种。</w:t>
            </w:r>
          </w:p>
          <w:p w14:paraId="494EAC1C">
            <w:pPr>
              <w:adjustRightInd w:val="0"/>
              <w:snapToGrid w:val="0"/>
              <w:spacing w:line="240" w:lineRule="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③加强宣传培训，提高员工消防安全素质。</w:t>
            </w:r>
          </w:p>
        </w:tc>
      </w:tr>
      <w:tr w14:paraId="62B456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519" w:type="dxa"/>
            <w:vAlign w:val="center"/>
          </w:tcPr>
          <w:p w14:paraId="6E5D9E6C">
            <w:pPr>
              <w:adjustRightInd w:val="0"/>
              <w:snapToGrid w:val="0"/>
              <w:jc w:val="center"/>
              <w:rPr>
                <w:rFonts w:ascii="宋体" w:hAnsi="宋体" w:cs="宋体"/>
                <w:color w:val="auto"/>
                <w:spacing w:val="-8"/>
                <w:sz w:val="24"/>
                <w:szCs w:val="24"/>
                <w:highlight w:val="none"/>
                <w:u w:val="none" w:color="auto"/>
              </w:rPr>
            </w:pPr>
            <w:r>
              <w:rPr>
                <w:rFonts w:hint="eastAsia" w:ascii="宋体" w:hAnsi="宋体" w:cs="宋体"/>
                <w:color w:val="auto"/>
                <w:spacing w:val="-8"/>
                <w:sz w:val="24"/>
                <w:szCs w:val="24"/>
                <w:highlight w:val="none"/>
                <w:u w:val="none" w:color="auto"/>
              </w:rPr>
              <w:t>其他环境</w:t>
            </w:r>
          </w:p>
          <w:p w14:paraId="777C1AAF">
            <w:pPr>
              <w:adjustRightInd w:val="0"/>
              <w:snapToGrid w:val="0"/>
              <w:jc w:val="center"/>
              <w:rPr>
                <w:rFonts w:ascii="宋体" w:hAnsi="宋体" w:cs="宋体"/>
                <w:color w:val="auto"/>
                <w:spacing w:val="-8"/>
                <w:sz w:val="24"/>
                <w:szCs w:val="24"/>
                <w:highlight w:val="none"/>
                <w:u w:val="none" w:color="auto"/>
              </w:rPr>
            </w:pPr>
            <w:r>
              <w:rPr>
                <w:rFonts w:hint="eastAsia" w:ascii="宋体" w:hAnsi="宋体" w:cs="宋体"/>
                <w:color w:val="auto"/>
                <w:spacing w:val="-8"/>
                <w:sz w:val="24"/>
                <w:szCs w:val="24"/>
                <w:highlight w:val="none"/>
                <w:u w:val="none" w:color="auto"/>
              </w:rPr>
              <w:t>管理要求</w:t>
            </w:r>
          </w:p>
        </w:tc>
        <w:tc>
          <w:tcPr>
            <w:tcW w:w="6997" w:type="dxa"/>
            <w:gridSpan w:val="4"/>
            <w:vAlign w:val="center"/>
          </w:tcPr>
          <w:p w14:paraId="0E39C69B">
            <w:pPr>
              <w:adjustRightInd w:val="0"/>
              <w:snapToGrid w:val="0"/>
              <w:spacing w:line="240" w:lineRule="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（1）日常环境管理</w:t>
            </w:r>
          </w:p>
          <w:p w14:paraId="0C3633CC">
            <w:pPr>
              <w:adjustRightInd w:val="0"/>
              <w:snapToGrid w:val="0"/>
              <w:spacing w:line="240" w:lineRule="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营运期加强环保管理，建立、健全环保制度，配备专职环保人员，负责环保设施的运转、维护，确保环保设施的正常有效运行，做到污染物稳定、达标排放。</w:t>
            </w:r>
          </w:p>
          <w:p w14:paraId="1E1D62AC">
            <w:pPr>
              <w:adjustRightInd w:val="0"/>
              <w:snapToGrid w:val="0"/>
              <w:spacing w:line="240" w:lineRule="auto"/>
              <w:rPr>
                <w:rFonts w:hint="default" w:ascii="Times New Roman" w:hAnsi="Times New Roman" w:eastAsia="宋体" w:cs="Times New Roman"/>
                <w:color w:val="auto"/>
                <w:sz w:val="24"/>
                <w:szCs w:val="24"/>
                <w:highlight w:val="none"/>
                <w:u w:val="none" w:color="auto"/>
                <w:lang w:val="en-US" w:eastAsia="zh-CN"/>
              </w:rPr>
            </w:pPr>
            <w:r>
              <w:rPr>
                <w:rFonts w:hint="default" w:ascii="Times New Roman" w:hAnsi="Times New Roman" w:eastAsia="宋体" w:cs="Times New Roman"/>
                <w:color w:val="auto"/>
                <w:sz w:val="24"/>
                <w:szCs w:val="24"/>
                <w:highlight w:val="none"/>
                <w:u w:val="none" w:color="auto"/>
                <w:lang w:val="en-US" w:eastAsia="zh-CN"/>
              </w:rPr>
              <w:t>（2）规范化排污口</w:t>
            </w:r>
          </w:p>
          <w:p w14:paraId="4BCC9BC4">
            <w:pPr>
              <w:adjustRightInd w:val="0"/>
              <w:snapToGrid w:val="0"/>
              <w:spacing w:line="240" w:lineRule="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各污染源排放口应规范设置，在“三废”及噪声排放处设置明显的标志，标志的设置应执行《环境保护图形标志排放口》（</w:t>
            </w:r>
            <w:r>
              <w:rPr>
                <w:rFonts w:hint="default" w:ascii="Times New Roman" w:hAnsi="Times New Roman" w:eastAsia="宋体" w:cs="Times New Roman"/>
                <w:color w:val="auto"/>
                <w:sz w:val="24"/>
                <w:szCs w:val="24"/>
                <w:highlight w:val="none"/>
                <w:u w:val="none" w:color="auto"/>
                <w:lang w:val="en-US" w:eastAsia="zh-CN"/>
              </w:rPr>
              <w:t>GB15562.1-1995</w:t>
            </w:r>
            <w:r>
              <w:rPr>
                <w:rFonts w:hint="eastAsia" w:ascii="Times New Roman" w:hAnsi="Times New Roman" w:eastAsia="宋体" w:cs="Times New Roman"/>
                <w:color w:val="auto"/>
                <w:sz w:val="24"/>
                <w:szCs w:val="24"/>
                <w:highlight w:val="none"/>
                <w:u w:val="none" w:color="auto"/>
                <w:lang w:val="en-US" w:eastAsia="zh-CN"/>
              </w:rPr>
              <w:t>）及《环境保护图形标志固体废物贮存（处置）场》（</w:t>
            </w:r>
            <w:r>
              <w:rPr>
                <w:rFonts w:hint="default" w:ascii="Times New Roman" w:hAnsi="Times New Roman" w:eastAsia="宋体" w:cs="Times New Roman"/>
                <w:color w:val="auto"/>
                <w:sz w:val="24"/>
                <w:szCs w:val="24"/>
                <w:highlight w:val="none"/>
                <w:u w:val="none" w:color="auto"/>
                <w:lang w:val="en-US" w:eastAsia="zh-CN"/>
              </w:rPr>
              <w:t>GB15562.2-1995</w:t>
            </w:r>
            <w:r>
              <w:rPr>
                <w:rFonts w:hint="eastAsia" w:ascii="Times New Roman" w:hAnsi="Times New Roman" w:eastAsia="宋体" w:cs="Times New Roman"/>
                <w:color w:val="auto"/>
                <w:sz w:val="24"/>
                <w:szCs w:val="24"/>
                <w:highlight w:val="none"/>
                <w:u w:val="none" w:color="auto"/>
                <w:lang w:val="en-US" w:eastAsia="zh-CN"/>
              </w:rPr>
              <w:t>）中有关规定。</w:t>
            </w:r>
          </w:p>
          <w:p w14:paraId="32366944">
            <w:pPr>
              <w:adjustRightInd w:val="0"/>
              <w:snapToGrid w:val="0"/>
              <w:spacing w:line="240" w:lineRule="auto"/>
              <w:rPr>
                <w:rFonts w:hint="default"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（3）</w:t>
            </w:r>
            <w:r>
              <w:rPr>
                <w:rFonts w:hint="default" w:ascii="Times New Roman" w:hAnsi="Times New Roman" w:eastAsia="宋体" w:cs="Times New Roman"/>
                <w:color w:val="auto"/>
                <w:sz w:val="24"/>
                <w:szCs w:val="24"/>
                <w:highlight w:val="none"/>
                <w:u w:val="none" w:color="auto"/>
                <w:lang w:val="en-US" w:eastAsia="zh-CN"/>
              </w:rPr>
              <w:t>环保验收要求与内容</w:t>
            </w:r>
          </w:p>
          <w:p w14:paraId="7FCBB236">
            <w:pPr>
              <w:adjustRightInd w:val="0"/>
              <w:snapToGrid w:val="0"/>
              <w:spacing w:line="240" w:lineRule="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根据《建设项目竣工环境保护验收暂行办法》（国环规环评</w:t>
            </w:r>
            <w:r>
              <w:rPr>
                <w:rFonts w:hint="eastAsia" w:cs="Times New Roman"/>
                <w:color w:val="auto"/>
                <w:sz w:val="24"/>
                <w:szCs w:val="24"/>
                <w:highlight w:val="none"/>
                <w:u w:val="none" w:color="auto"/>
                <w:lang w:val="en-US" w:eastAsia="zh-CN"/>
              </w:rPr>
              <w:t>〔2017〕4号</w:t>
            </w:r>
            <w:r>
              <w:rPr>
                <w:rFonts w:hint="eastAsia" w:ascii="Times New Roman" w:hAnsi="Times New Roman" w:eastAsia="宋体" w:cs="Times New Roman"/>
                <w:color w:val="auto"/>
                <w:sz w:val="24"/>
                <w:szCs w:val="24"/>
                <w:highlight w:val="none"/>
                <w:u w:val="none" w:color="auto"/>
                <w:lang w:val="en-US" w:eastAsia="zh-CN"/>
              </w:rPr>
              <w:t>），建设项目竣工后，建设单位应当如实查验、监测、记载建设项目环境保护设施的建设和调试情况，编制验收监测报告。验收报告公示期满后5个工作日内，建设单位应当登录全国建设项目竣工环境保护信息平台，填报建设项目基本信息、环境保护设施验收情况等相关信息，环境保护部门对上述信息予以公开。建设单位应当将验收报告及其他档案资料存档备查。</w:t>
            </w:r>
          </w:p>
          <w:p w14:paraId="257AA0A1">
            <w:pPr>
              <w:adjustRightInd w:val="0"/>
              <w:snapToGrid w:val="0"/>
              <w:spacing w:line="240" w:lineRule="auto"/>
              <w:rPr>
                <w:rFonts w:hint="eastAsia" w:ascii="Times New Roman" w:hAnsi="Times New Roman" w:eastAsia="宋体" w:cs="Times New Roman"/>
                <w:color w:val="auto"/>
                <w:sz w:val="24"/>
                <w:szCs w:val="24"/>
                <w:highlight w:val="none"/>
                <w:u w:val="none" w:color="auto"/>
                <w:lang w:val="en-US" w:eastAsia="zh-CN"/>
              </w:rPr>
            </w:pPr>
            <w:r>
              <w:rPr>
                <w:rFonts w:hint="eastAsia" w:ascii="Times New Roman" w:hAnsi="Times New Roman" w:eastAsia="宋体" w:cs="Times New Roman"/>
                <w:color w:val="auto"/>
                <w:sz w:val="24"/>
                <w:szCs w:val="24"/>
                <w:highlight w:val="none"/>
                <w:u w:val="none" w:color="auto"/>
                <w:lang w:val="en-US" w:eastAsia="zh-CN"/>
              </w:rPr>
              <w:t>（4）</w:t>
            </w:r>
            <w:r>
              <w:rPr>
                <w:rFonts w:hint="default" w:ascii="Times New Roman" w:hAnsi="Times New Roman" w:eastAsia="宋体" w:cs="Times New Roman"/>
                <w:color w:val="auto"/>
                <w:sz w:val="24"/>
                <w:szCs w:val="24"/>
                <w:highlight w:val="none"/>
                <w:u w:val="none" w:color="auto"/>
                <w:lang w:val="en-US" w:eastAsia="zh-CN"/>
              </w:rPr>
              <w:t>排污许可证申请制度</w:t>
            </w:r>
          </w:p>
          <w:p w14:paraId="4181A1F5">
            <w:pPr>
              <w:adjustRightInd w:val="0"/>
              <w:snapToGrid w:val="0"/>
              <w:spacing w:line="240" w:lineRule="auto"/>
              <w:rPr>
                <w:rFonts w:hint="eastAsia" w:ascii="宋体" w:hAnsi="宋体" w:cs="宋体"/>
                <w:color w:val="auto"/>
                <w:sz w:val="24"/>
                <w:szCs w:val="24"/>
                <w:highlight w:val="none"/>
                <w:u w:val="none" w:color="auto"/>
              </w:rPr>
            </w:pPr>
            <w:r>
              <w:rPr>
                <w:rFonts w:hint="eastAsia" w:ascii="Times New Roman" w:hAnsi="Times New Roman" w:eastAsia="宋体" w:cs="Times New Roman"/>
                <w:color w:val="auto"/>
                <w:sz w:val="24"/>
                <w:szCs w:val="24"/>
                <w:highlight w:val="none"/>
                <w:u w:val="none" w:color="auto"/>
                <w:lang w:val="en-US" w:eastAsia="zh-CN"/>
              </w:rPr>
              <w:t>本项目运营后应严格按照《关于做好环境影响评价制度与排污许可制衔接相关工作的通知》（环办环评</w:t>
            </w:r>
            <w:r>
              <w:rPr>
                <w:rFonts w:hint="eastAsia" w:cs="Times New Roman"/>
                <w:color w:val="auto"/>
                <w:sz w:val="24"/>
                <w:szCs w:val="24"/>
                <w:highlight w:val="none"/>
                <w:u w:val="none" w:color="auto"/>
                <w:lang w:val="en-US" w:eastAsia="zh-CN"/>
              </w:rPr>
              <w:t>〔2017〕84号</w:t>
            </w:r>
            <w:r>
              <w:rPr>
                <w:rFonts w:hint="eastAsia" w:ascii="Times New Roman" w:hAnsi="Times New Roman" w:eastAsia="宋体" w:cs="Times New Roman"/>
                <w:color w:val="auto"/>
                <w:sz w:val="24"/>
                <w:szCs w:val="24"/>
                <w:highlight w:val="none"/>
                <w:u w:val="none" w:color="auto"/>
                <w:lang w:val="en-US" w:eastAsia="zh-CN"/>
              </w:rPr>
              <w:t>）、《排污许可证申请与核发技术规范总则》(HJ942—2018)、《排污许可证申请与核发技术规范 工业炉窑》（HJ1121-2020），排污单位应当按照国家环境保护相关法律法规以及排污许可证申请与核发技术规范要求申请排污许可证，不得无证排污或不按证排污。本项目投产前应申请排污许可。</w:t>
            </w:r>
          </w:p>
        </w:tc>
      </w:tr>
    </w:tbl>
    <w:p w14:paraId="0FD8B64B">
      <w:pPr>
        <w:pStyle w:val="24"/>
        <w:jc w:val="center"/>
        <w:outlineLvl w:val="0"/>
        <w:rPr>
          <w:rFonts w:ascii="黑体" w:hAnsi="黑体" w:eastAsia="黑体"/>
          <w:snapToGrid w:val="0"/>
          <w:color w:val="auto"/>
          <w:sz w:val="30"/>
          <w:szCs w:val="30"/>
          <w:highlight w:val="none"/>
          <w:u w:val="none" w:color="auto"/>
        </w:rPr>
      </w:pPr>
      <w:r>
        <w:rPr>
          <w:snapToGrid w:val="0"/>
          <w:color w:val="auto"/>
          <w:highlight w:val="none"/>
          <w:u w:val="none" w:color="auto"/>
        </w:rPr>
        <w:br w:type="page"/>
      </w:r>
      <w:r>
        <w:rPr>
          <w:rFonts w:hint="eastAsia" w:ascii="黑体" w:hAnsi="黑体" w:eastAsia="黑体"/>
          <w:snapToGrid w:val="0"/>
          <w:color w:val="auto"/>
          <w:sz w:val="30"/>
          <w:szCs w:val="30"/>
          <w:highlight w:val="none"/>
          <w:u w:val="none" w:color="auto"/>
        </w:rPr>
        <w:t>六、结论</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4CA573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4509FC4F">
            <w:pPr>
              <w:keepNext w:val="0"/>
              <w:keepLines w:val="0"/>
              <w:pageBreakBefore w:val="0"/>
              <w:widowControl w:val="0"/>
              <w:kinsoku/>
              <w:wordWrap/>
              <w:overflowPunct/>
              <w:topLinePunct w:val="0"/>
              <w:autoSpaceDE w:val="0"/>
              <w:autoSpaceDN w:val="0"/>
              <w:bidi w:val="0"/>
              <w:adjustRightInd w:val="0"/>
              <w:snapToGrid w:val="0"/>
              <w:spacing w:before="313" w:beforeLines="100" w:line="360" w:lineRule="auto"/>
              <w:ind w:firstLine="480" w:firstLineChars="200"/>
              <w:textAlignment w:val="auto"/>
              <w:rPr>
                <w:color w:val="auto"/>
                <w:kern w:val="21"/>
                <w:sz w:val="24"/>
                <w:highlight w:val="none"/>
                <w:u w:val="none" w:color="auto"/>
              </w:rPr>
            </w:pPr>
            <w:r>
              <w:rPr>
                <w:rFonts w:hint="eastAsia"/>
                <w:color w:val="auto"/>
                <w:kern w:val="21"/>
                <w:sz w:val="24"/>
                <w:highlight w:val="none"/>
                <w:u w:val="none" w:color="auto"/>
              </w:rPr>
              <w:t>综上所述，吉林市永盛粮业有限责任公司</w:t>
            </w:r>
            <w:r>
              <w:rPr>
                <w:rFonts w:hint="eastAsia"/>
                <w:color w:val="auto"/>
                <w:kern w:val="21"/>
                <w:sz w:val="24"/>
                <w:highlight w:val="none"/>
                <w:u w:val="none" w:color="auto"/>
                <w:lang w:val="en-US" w:eastAsia="zh-CN"/>
              </w:rPr>
              <w:t>粮食烘干项目</w:t>
            </w:r>
            <w:r>
              <w:rPr>
                <w:rFonts w:hint="eastAsia"/>
                <w:color w:val="auto"/>
                <w:kern w:val="21"/>
                <w:sz w:val="24"/>
                <w:highlight w:val="none"/>
                <w:u w:val="none" w:color="auto"/>
              </w:rPr>
              <w:t>符合国家和地方的相关产业政策，选址符合“</w:t>
            </w:r>
            <w:r>
              <w:rPr>
                <w:rFonts w:ascii="宋体" w:hAnsi="宋体" w:eastAsia="宋体" w:cs="宋体"/>
                <w:color w:val="auto"/>
                <w:sz w:val="24"/>
                <w:szCs w:val="24"/>
                <w:highlight w:val="none"/>
                <w:u w:val="none" w:color="auto"/>
              </w:rPr>
              <w:t>生态环境分区管控</w:t>
            </w:r>
            <w:r>
              <w:rPr>
                <w:rFonts w:hint="eastAsia"/>
                <w:color w:val="auto"/>
                <w:kern w:val="21"/>
                <w:sz w:val="24"/>
                <w:highlight w:val="none"/>
                <w:u w:val="none" w:color="auto"/>
              </w:rPr>
              <w:t>”，所采用的污染防治措施合理可行，可确保污染物稳定达标排放；项目污染物的排放量符合控制要求，处理达标后的各项污染物对周围环境的影响较小，不会改变当地的环境功能区划，项目的环境风险较小且可以接受。在落实本</w:t>
            </w:r>
            <w:r>
              <w:rPr>
                <w:rFonts w:hint="eastAsia"/>
                <w:color w:val="auto"/>
                <w:kern w:val="21"/>
                <w:sz w:val="24"/>
                <w:highlight w:val="none"/>
                <w:u w:val="none" w:color="auto"/>
                <w:lang w:eastAsia="zh-CN"/>
              </w:rPr>
              <w:t>报告</w:t>
            </w:r>
            <w:r>
              <w:rPr>
                <w:rFonts w:hint="eastAsia"/>
                <w:color w:val="auto"/>
                <w:kern w:val="21"/>
                <w:sz w:val="24"/>
                <w:highlight w:val="none"/>
                <w:u w:val="none" w:color="auto"/>
              </w:rPr>
              <w:t>提出的各项污染防治措施、严格执行“三同时”制度的情况下，从环保角度分析，项目在</w:t>
            </w:r>
            <w:r>
              <w:rPr>
                <w:rFonts w:hint="eastAsia"/>
                <w:color w:val="auto"/>
                <w:kern w:val="21"/>
                <w:sz w:val="24"/>
                <w:highlight w:val="none"/>
                <w:u w:val="none" w:color="auto"/>
                <w:lang w:eastAsia="zh-CN"/>
              </w:rPr>
              <w:t>项目所在地</w:t>
            </w:r>
            <w:r>
              <w:rPr>
                <w:rFonts w:hint="eastAsia"/>
                <w:color w:val="auto"/>
                <w:kern w:val="21"/>
                <w:sz w:val="24"/>
                <w:highlight w:val="none"/>
                <w:u w:val="none" w:color="auto"/>
              </w:rPr>
              <w:t>的建设具备环境可行性。</w:t>
            </w:r>
          </w:p>
          <w:p w14:paraId="1A72C040">
            <w:pPr>
              <w:adjustRightInd w:val="0"/>
              <w:snapToGrid w:val="0"/>
              <w:spacing w:line="360" w:lineRule="auto"/>
              <w:ind w:firstLine="480" w:firstLineChars="200"/>
              <w:rPr>
                <w:rFonts w:hAnsi="宋体"/>
                <w:color w:val="auto"/>
                <w:sz w:val="24"/>
                <w:highlight w:val="none"/>
                <w:u w:val="none" w:color="auto"/>
              </w:rPr>
            </w:pPr>
          </w:p>
          <w:p w14:paraId="5416833A">
            <w:pPr>
              <w:pStyle w:val="22"/>
              <w:rPr>
                <w:color w:val="auto"/>
                <w:highlight w:val="none"/>
                <w:u w:val="none" w:color="auto"/>
              </w:rPr>
            </w:pPr>
          </w:p>
        </w:tc>
      </w:tr>
    </w:tbl>
    <w:p w14:paraId="16D34DA8">
      <w:pPr>
        <w:rPr>
          <w:rFonts w:ascii="宋体"/>
          <w:color w:val="auto"/>
          <w:highlight w:val="none"/>
          <w:u w:val="none" w:color="auto"/>
        </w:rPr>
        <w:sectPr>
          <w:pgSz w:w="11906" w:h="16838"/>
          <w:pgMar w:top="1701" w:right="1531" w:bottom="1701" w:left="1531"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2EFF298C">
      <w:pPr>
        <w:pStyle w:val="24"/>
        <w:adjustRightInd w:val="0"/>
        <w:snapToGrid w:val="0"/>
        <w:spacing w:before="0" w:beforeAutospacing="0" w:after="0" w:afterAutospacing="0"/>
        <w:outlineLvl w:val="0"/>
        <w:rPr>
          <w:rFonts w:ascii="Times New Roman" w:hAnsi="Times New Roman"/>
          <w:snapToGrid w:val="0"/>
          <w:color w:val="auto"/>
          <w:sz w:val="32"/>
          <w:szCs w:val="32"/>
          <w:highlight w:val="none"/>
          <w:u w:val="none" w:color="auto"/>
        </w:rPr>
      </w:pPr>
      <w:r>
        <w:rPr>
          <w:rFonts w:ascii="Times New Roman" w:hAnsi="Times New Roman"/>
          <w:snapToGrid w:val="0"/>
          <w:color w:val="auto"/>
          <w:sz w:val="32"/>
          <w:szCs w:val="32"/>
          <w:highlight w:val="none"/>
          <w:u w:val="none" w:color="auto"/>
        </w:rPr>
        <w:t>附表1</w:t>
      </w:r>
    </w:p>
    <w:p w14:paraId="5F2CE4F4">
      <w:pPr>
        <w:pStyle w:val="24"/>
        <w:adjustRightInd w:val="0"/>
        <w:snapToGrid w:val="0"/>
        <w:spacing w:before="0" w:beforeAutospacing="0" w:after="0" w:afterAutospacing="0"/>
        <w:jc w:val="center"/>
        <w:rPr>
          <w:rFonts w:ascii="Times New Roman" w:hAnsi="Times New Roman"/>
          <w:snapToGrid w:val="0"/>
          <w:color w:val="auto"/>
          <w:sz w:val="38"/>
          <w:szCs w:val="38"/>
          <w:highlight w:val="none"/>
          <w:u w:val="none" w:color="auto"/>
        </w:rPr>
      </w:pPr>
      <w:r>
        <w:rPr>
          <w:rFonts w:ascii="Times New Roman" w:hAnsi="Times New Roman"/>
          <w:snapToGrid w:val="0"/>
          <w:color w:val="auto"/>
          <w:sz w:val="32"/>
          <w:szCs w:val="32"/>
          <w:highlight w:val="none"/>
          <w:u w:val="none" w:color="auto"/>
        </w:rPr>
        <w:t>建设项目污染物排放量汇总表</w:t>
      </w:r>
    </w:p>
    <w:tbl>
      <w:tblPr>
        <w:tblStyle w:val="28"/>
        <w:tblW w:w="1396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1841"/>
        <w:gridCol w:w="1701"/>
        <w:gridCol w:w="1276"/>
        <w:gridCol w:w="1701"/>
        <w:gridCol w:w="1559"/>
        <w:gridCol w:w="1463"/>
        <w:gridCol w:w="1590"/>
        <w:gridCol w:w="1673"/>
      </w:tblGrid>
      <w:tr w14:paraId="0F38C9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64" w:type="dxa"/>
            <w:tcBorders>
              <w:tl2br w:val="single" w:color="auto" w:sz="4" w:space="0"/>
            </w:tcBorders>
            <w:tcMar>
              <w:left w:w="28" w:type="dxa"/>
              <w:right w:w="28" w:type="dxa"/>
            </w:tcMar>
            <w:vAlign w:val="center"/>
          </w:tcPr>
          <w:p w14:paraId="663C81FF">
            <w:pPr>
              <w:pStyle w:val="41"/>
              <w:spacing w:beforeLines="0" w:afterLines="0" w:line="240" w:lineRule="auto"/>
              <w:jc w:val="right"/>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项目</w:t>
            </w:r>
          </w:p>
          <w:p w14:paraId="7CF90B5B">
            <w:pPr>
              <w:pStyle w:val="41"/>
              <w:spacing w:beforeLines="0" w:afterLines="0" w:line="240" w:lineRule="auto"/>
              <w:jc w:val="left"/>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分类</w:t>
            </w:r>
          </w:p>
        </w:tc>
        <w:tc>
          <w:tcPr>
            <w:tcW w:w="1841" w:type="dxa"/>
            <w:tcMar>
              <w:left w:w="28" w:type="dxa"/>
              <w:right w:w="28" w:type="dxa"/>
            </w:tcMar>
            <w:vAlign w:val="center"/>
          </w:tcPr>
          <w:p w14:paraId="7C29CA78">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污染物名称</w:t>
            </w:r>
          </w:p>
        </w:tc>
        <w:tc>
          <w:tcPr>
            <w:tcW w:w="1701" w:type="dxa"/>
            <w:tcMar>
              <w:left w:w="28" w:type="dxa"/>
              <w:right w:w="28" w:type="dxa"/>
            </w:tcMar>
            <w:vAlign w:val="center"/>
          </w:tcPr>
          <w:p w14:paraId="55C4F532">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现有工程</w:t>
            </w:r>
          </w:p>
          <w:p w14:paraId="65224387">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排放量（固体废物产生量）</w:t>
            </w:r>
            <w:r>
              <w:rPr>
                <w:rFonts w:hint="default" w:ascii="Times New Roman" w:hAnsi="Times New Roman" w:eastAsia="宋体" w:cs="Times New Roman"/>
                <w:b w:val="0"/>
                <w:bCs/>
                <w:snapToGrid w:val="0"/>
                <w:color w:val="auto"/>
                <w:spacing w:val="-6"/>
                <w:kern w:val="21"/>
                <w:szCs w:val="21"/>
                <w:highlight w:val="none"/>
                <w:u w:val="single" w:color="auto"/>
              </w:rPr>
              <w:fldChar w:fldCharType="begin"/>
            </w:r>
            <w:r>
              <w:rPr>
                <w:rFonts w:hint="default" w:ascii="Times New Roman" w:hAnsi="Times New Roman" w:eastAsia="宋体" w:cs="Times New Roman"/>
                <w:b w:val="0"/>
                <w:bCs/>
                <w:snapToGrid w:val="0"/>
                <w:color w:val="auto"/>
                <w:spacing w:val="-6"/>
                <w:kern w:val="21"/>
                <w:szCs w:val="21"/>
                <w:highlight w:val="none"/>
                <w:u w:val="single" w:color="auto"/>
              </w:rPr>
              <w:instrText xml:space="preserve"> = 1 \* GB3 \* MERGEFORMAT </w:instrText>
            </w:r>
            <w:r>
              <w:rPr>
                <w:rFonts w:hint="default" w:ascii="Times New Roman" w:hAnsi="Times New Roman" w:eastAsia="宋体" w:cs="Times New Roman"/>
                <w:b w:val="0"/>
                <w:bCs/>
                <w:snapToGrid w:val="0"/>
                <w:color w:val="auto"/>
                <w:spacing w:val="-6"/>
                <w:kern w:val="21"/>
                <w:szCs w:val="21"/>
                <w:highlight w:val="none"/>
                <w:u w:val="single" w:color="auto"/>
              </w:rPr>
              <w:fldChar w:fldCharType="separate"/>
            </w:r>
            <w:r>
              <w:rPr>
                <w:rFonts w:hint="default" w:ascii="Times New Roman" w:hAnsi="Times New Roman" w:eastAsia="宋体" w:cs="Times New Roman"/>
                <w:b w:val="0"/>
                <w:bCs/>
                <w:color w:val="auto"/>
                <w:kern w:val="2"/>
                <w:szCs w:val="21"/>
                <w:highlight w:val="none"/>
                <w:u w:val="single" w:color="auto"/>
              </w:rPr>
              <w:t>①</w:t>
            </w:r>
            <w:r>
              <w:rPr>
                <w:rFonts w:hint="default" w:ascii="Times New Roman" w:hAnsi="Times New Roman" w:eastAsia="宋体" w:cs="Times New Roman"/>
                <w:b w:val="0"/>
                <w:bCs/>
                <w:snapToGrid w:val="0"/>
                <w:color w:val="auto"/>
                <w:spacing w:val="-6"/>
                <w:kern w:val="21"/>
                <w:szCs w:val="21"/>
                <w:highlight w:val="none"/>
                <w:u w:val="single" w:color="auto"/>
              </w:rPr>
              <w:fldChar w:fldCharType="end"/>
            </w:r>
          </w:p>
        </w:tc>
        <w:tc>
          <w:tcPr>
            <w:tcW w:w="1276" w:type="dxa"/>
            <w:tcMar>
              <w:left w:w="28" w:type="dxa"/>
              <w:right w:w="28" w:type="dxa"/>
            </w:tcMar>
            <w:vAlign w:val="center"/>
          </w:tcPr>
          <w:p w14:paraId="77CA2002">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现有工程</w:t>
            </w:r>
          </w:p>
          <w:p w14:paraId="20D9CD4A">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许可排放量</w:t>
            </w:r>
          </w:p>
          <w:p w14:paraId="25BCDC13">
            <w:pPr>
              <w:pStyle w:val="41"/>
              <w:spacing w:beforeLines="0" w:afterLines="0"/>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fldChar w:fldCharType="begin"/>
            </w:r>
            <w:r>
              <w:rPr>
                <w:rFonts w:hint="default" w:ascii="Times New Roman" w:hAnsi="Times New Roman" w:eastAsia="宋体" w:cs="Times New Roman"/>
                <w:b w:val="0"/>
                <w:bCs/>
                <w:snapToGrid w:val="0"/>
                <w:color w:val="auto"/>
                <w:spacing w:val="-6"/>
                <w:kern w:val="21"/>
                <w:szCs w:val="21"/>
                <w:highlight w:val="none"/>
                <w:u w:val="single" w:color="auto"/>
              </w:rPr>
              <w:instrText xml:space="preserve"> = 2 \* GB3 \* MERGEFORMAT </w:instrText>
            </w:r>
            <w:r>
              <w:rPr>
                <w:rFonts w:hint="default" w:ascii="Times New Roman" w:hAnsi="Times New Roman" w:eastAsia="宋体" w:cs="Times New Roman"/>
                <w:b w:val="0"/>
                <w:bCs/>
                <w:snapToGrid w:val="0"/>
                <w:color w:val="auto"/>
                <w:spacing w:val="-6"/>
                <w:kern w:val="21"/>
                <w:szCs w:val="21"/>
                <w:highlight w:val="none"/>
                <w:u w:val="single" w:color="auto"/>
              </w:rPr>
              <w:fldChar w:fldCharType="separate"/>
            </w:r>
            <w:r>
              <w:rPr>
                <w:rFonts w:hint="default" w:ascii="Times New Roman" w:hAnsi="Times New Roman" w:eastAsia="宋体" w:cs="Times New Roman"/>
                <w:b w:val="0"/>
                <w:bCs/>
                <w:snapToGrid w:val="0"/>
                <w:color w:val="auto"/>
                <w:spacing w:val="-6"/>
                <w:kern w:val="21"/>
                <w:szCs w:val="21"/>
                <w:highlight w:val="none"/>
                <w:u w:val="single" w:color="auto"/>
              </w:rPr>
              <w:t>②</w:t>
            </w:r>
            <w:r>
              <w:rPr>
                <w:rFonts w:hint="default" w:ascii="Times New Roman" w:hAnsi="Times New Roman" w:eastAsia="宋体" w:cs="Times New Roman"/>
                <w:b w:val="0"/>
                <w:bCs/>
                <w:snapToGrid w:val="0"/>
                <w:color w:val="auto"/>
                <w:spacing w:val="-6"/>
                <w:kern w:val="21"/>
                <w:szCs w:val="21"/>
                <w:highlight w:val="none"/>
                <w:u w:val="single" w:color="auto"/>
              </w:rPr>
              <w:fldChar w:fldCharType="end"/>
            </w:r>
          </w:p>
        </w:tc>
        <w:tc>
          <w:tcPr>
            <w:tcW w:w="1701" w:type="dxa"/>
            <w:tcMar>
              <w:left w:w="28" w:type="dxa"/>
              <w:right w:w="28" w:type="dxa"/>
            </w:tcMar>
            <w:vAlign w:val="center"/>
          </w:tcPr>
          <w:p w14:paraId="1FE26D05">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在建工程</w:t>
            </w:r>
          </w:p>
          <w:p w14:paraId="2D1B8672">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排放量（固体废物产生量）</w:t>
            </w:r>
            <w:r>
              <w:rPr>
                <w:rFonts w:hint="default" w:ascii="Times New Roman" w:hAnsi="Times New Roman" w:eastAsia="宋体" w:cs="Times New Roman"/>
                <w:b w:val="0"/>
                <w:bCs/>
                <w:snapToGrid w:val="0"/>
                <w:color w:val="auto"/>
                <w:spacing w:val="-6"/>
                <w:kern w:val="21"/>
                <w:szCs w:val="21"/>
                <w:highlight w:val="none"/>
                <w:u w:val="single" w:color="auto"/>
              </w:rPr>
              <w:fldChar w:fldCharType="begin"/>
            </w:r>
            <w:r>
              <w:rPr>
                <w:rFonts w:hint="default" w:ascii="Times New Roman" w:hAnsi="Times New Roman" w:eastAsia="宋体" w:cs="Times New Roman"/>
                <w:b w:val="0"/>
                <w:bCs/>
                <w:snapToGrid w:val="0"/>
                <w:color w:val="auto"/>
                <w:spacing w:val="-6"/>
                <w:kern w:val="21"/>
                <w:szCs w:val="21"/>
                <w:highlight w:val="none"/>
                <w:u w:val="single" w:color="auto"/>
              </w:rPr>
              <w:instrText xml:space="preserve"> = 3 \* GB3 \* MERGEFORMAT </w:instrText>
            </w:r>
            <w:r>
              <w:rPr>
                <w:rFonts w:hint="default" w:ascii="Times New Roman" w:hAnsi="Times New Roman" w:eastAsia="宋体" w:cs="Times New Roman"/>
                <w:b w:val="0"/>
                <w:bCs/>
                <w:snapToGrid w:val="0"/>
                <w:color w:val="auto"/>
                <w:spacing w:val="-6"/>
                <w:kern w:val="21"/>
                <w:szCs w:val="21"/>
                <w:highlight w:val="none"/>
                <w:u w:val="single" w:color="auto"/>
              </w:rPr>
              <w:fldChar w:fldCharType="separate"/>
            </w:r>
            <w:r>
              <w:rPr>
                <w:rFonts w:hint="default" w:ascii="Times New Roman" w:hAnsi="Times New Roman" w:eastAsia="宋体" w:cs="Times New Roman"/>
                <w:b w:val="0"/>
                <w:bCs/>
                <w:color w:val="auto"/>
                <w:kern w:val="2"/>
                <w:szCs w:val="21"/>
                <w:highlight w:val="none"/>
                <w:u w:val="single" w:color="auto"/>
              </w:rPr>
              <w:t>③</w:t>
            </w:r>
            <w:r>
              <w:rPr>
                <w:rFonts w:hint="default" w:ascii="Times New Roman" w:hAnsi="Times New Roman" w:eastAsia="宋体" w:cs="Times New Roman"/>
                <w:b w:val="0"/>
                <w:bCs/>
                <w:snapToGrid w:val="0"/>
                <w:color w:val="auto"/>
                <w:spacing w:val="-6"/>
                <w:kern w:val="21"/>
                <w:szCs w:val="21"/>
                <w:highlight w:val="none"/>
                <w:u w:val="single" w:color="auto"/>
              </w:rPr>
              <w:fldChar w:fldCharType="end"/>
            </w:r>
          </w:p>
        </w:tc>
        <w:tc>
          <w:tcPr>
            <w:tcW w:w="1559" w:type="dxa"/>
            <w:tcMar>
              <w:left w:w="28" w:type="dxa"/>
              <w:right w:w="28" w:type="dxa"/>
            </w:tcMar>
            <w:vAlign w:val="center"/>
          </w:tcPr>
          <w:p w14:paraId="17EFBA76">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本项目</w:t>
            </w:r>
          </w:p>
          <w:p w14:paraId="448C4B54">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排放量（固体废物产生量）</w:t>
            </w:r>
            <w:r>
              <w:rPr>
                <w:rFonts w:hint="default" w:ascii="Times New Roman" w:hAnsi="Times New Roman" w:eastAsia="宋体" w:cs="Times New Roman"/>
                <w:b w:val="0"/>
                <w:bCs/>
                <w:snapToGrid w:val="0"/>
                <w:color w:val="auto"/>
                <w:spacing w:val="-6"/>
                <w:kern w:val="21"/>
                <w:szCs w:val="21"/>
                <w:highlight w:val="none"/>
                <w:u w:val="single" w:color="auto"/>
              </w:rPr>
              <w:fldChar w:fldCharType="begin"/>
            </w:r>
            <w:r>
              <w:rPr>
                <w:rFonts w:hint="default" w:ascii="Times New Roman" w:hAnsi="Times New Roman" w:eastAsia="宋体" w:cs="Times New Roman"/>
                <w:b w:val="0"/>
                <w:bCs/>
                <w:snapToGrid w:val="0"/>
                <w:color w:val="auto"/>
                <w:spacing w:val="-6"/>
                <w:kern w:val="21"/>
                <w:szCs w:val="21"/>
                <w:highlight w:val="none"/>
                <w:u w:val="single" w:color="auto"/>
              </w:rPr>
              <w:instrText xml:space="preserve"> = 4 \* GB3 \* MERGEFORMAT </w:instrText>
            </w:r>
            <w:r>
              <w:rPr>
                <w:rFonts w:hint="default" w:ascii="Times New Roman" w:hAnsi="Times New Roman" w:eastAsia="宋体" w:cs="Times New Roman"/>
                <w:b w:val="0"/>
                <w:bCs/>
                <w:snapToGrid w:val="0"/>
                <w:color w:val="auto"/>
                <w:spacing w:val="-6"/>
                <w:kern w:val="21"/>
                <w:szCs w:val="21"/>
                <w:highlight w:val="none"/>
                <w:u w:val="single" w:color="auto"/>
              </w:rPr>
              <w:fldChar w:fldCharType="separate"/>
            </w:r>
            <w:r>
              <w:rPr>
                <w:rFonts w:hint="default" w:ascii="Times New Roman" w:hAnsi="Times New Roman" w:eastAsia="宋体" w:cs="Times New Roman"/>
                <w:b w:val="0"/>
                <w:bCs/>
                <w:color w:val="auto"/>
                <w:kern w:val="2"/>
                <w:szCs w:val="21"/>
                <w:highlight w:val="none"/>
                <w:u w:val="single" w:color="auto"/>
              </w:rPr>
              <w:t>④</w:t>
            </w:r>
            <w:r>
              <w:rPr>
                <w:rFonts w:hint="default" w:ascii="Times New Roman" w:hAnsi="Times New Roman" w:eastAsia="宋体" w:cs="Times New Roman"/>
                <w:b w:val="0"/>
                <w:bCs/>
                <w:snapToGrid w:val="0"/>
                <w:color w:val="auto"/>
                <w:spacing w:val="-6"/>
                <w:kern w:val="21"/>
                <w:szCs w:val="21"/>
                <w:highlight w:val="none"/>
                <w:u w:val="single" w:color="auto"/>
              </w:rPr>
              <w:fldChar w:fldCharType="end"/>
            </w:r>
          </w:p>
        </w:tc>
        <w:tc>
          <w:tcPr>
            <w:tcW w:w="1463" w:type="dxa"/>
            <w:tcMar>
              <w:left w:w="28" w:type="dxa"/>
              <w:right w:w="28" w:type="dxa"/>
            </w:tcMar>
            <w:vAlign w:val="center"/>
          </w:tcPr>
          <w:p w14:paraId="10D9BA27">
            <w:pPr>
              <w:pStyle w:val="41"/>
              <w:spacing w:beforeLines="0" w:afterLines="0" w:line="240" w:lineRule="auto"/>
              <w:rPr>
                <w:rFonts w:hint="default" w:ascii="Times New Roman" w:hAnsi="Times New Roman" w:eastAsia="宋体" w:cs="Times New Roman"/>
                <w:b w:val="0"/>
                <w:bCs/>
                <w:snapToGrid w:val="0"/>
                <w:color w:val="auto"/>
                <w:spacing w:val="-16"/>
                <w:kern w:val="21"/>
                <w:szCs w:val="21"/>
                <w:highlight w:val="none"/>
                <w:u w:val="single" w:color="auto"/>
              </w:rPr>
            </w:pPr>
            <w:r>
              <w:rPr>
                <w:rFonts w:hint="default" w:ascii="Times New Roman" w:hAnsi="Times New Roman" w:eastAsia="宋体" w:cs="Times New Roman"/>
                <w:b w:val="0"/>
                <w:bCs/>
                <w:snapToGrid w:val="0"/>
                <w:color w:val="auto"/>
                <w:spacing w:val="-16"/>
                <w:kern w:val="21"/>
                <w:szCs w:val="21"/>
                <w:highlight w:val="none"/>
                <w:u w:val="single" w:color="auto"/>
              </w:rPr>
              <w:t>以新带老削减量（新建项目不填）</w:t>
            </w:r>
            <w:r>
              <w:rPr>
                <w:rFonts w:hint="default" w:ascii="Times New Roman" w:hAnsi="Times New Roman" w:eastAsia="宋体" w:cs="Times New Roman"/>
                <w:b w:val="0"/>
                <w:bCs/>
                <w:snapToGrid w:val="0"/>
                <w:color w:val="auto"/>
                <w:spacing w:val="-16"/>
                <w:kern w:val="21"/>
                <w:szCs w:val="21"/>
                <w:highlight w:val="none"/>
                <w:u w:val="single" w:color="auto"/>
              </w:rPr>
              <w:fldChar w:fldCharType="begin"/>
            </w:r>
            <w:r>
              <w:rPr>
                <w:rFonts w:hint="default" w:ascii="Times New Roman" w:hAnsi="Times New Roman" w:eastAsia="宋体" w:cs="Times New Roman"/>
                <w:b w:val="0"/>
                <w:bCs/>
                <w:snapToGrid w:val="0"/>
                <w:color w:val="auto"/>
                <w:spacing w:val="-16"/>
                <w:kern w:val="21"/>
                <w:szCs w:val="21"/>
                <w:highlight w:val="none"/>
                <w:u w:val="single" w:color="auto"/>
              </w:rPr>
              <w:instrText xml:space="preserve"> = 5 \* GB3 \* MERGEFORMAT </w:instrText>
            </w:r>
            <w:r>
              <w:rPr>
                <w:rFonts w:hint="default" w:ascii="Times New Roman" w:hAnsi="Times New Roman" w:eastAsia="宋体" w:cs="Times New Roman"/>
                <w:b w:val="0"/>
                <w:bCs/>
                <w:snapToGrid w:val="0"/>
                <w:color w:val="auto"/>
                <w:spacing w:val="-16"/>
                <w:kern w:val="21"/>
                <w:szCs w:val="21"/>
                <w:highlight w:val="none"/>
                <w:u w:val="single" w:color="auto"/>
              </w:rPr>
              <w:fldChar w:fldCharType="separate"/>
            </w:r>
            <w:r>
              <w:rPr>
                <w:rFonts w:hint="default" w:ascii="Times New Roman" w:hAnsi="Times New Roman" w:eastAsia="宋体" w:cs="Times New Roman"/>
                <w:b w:val="0"/>
                <w:bCs/>
                <w:color w:val="auto"/>
                <w:kern w:val="2"/>
                <w:szCs w:val="21"/>
                <w:highlight w:val="none"/>
                <w:u w:val="single" w:color="auto"/>
              </w:rPr>
              <w:t>⑤</w:t>
            </w:r>
            <w:r>
              <w:rPr>
                <w:rFonts w:hint="default" w:ascii="Times New Roman" w:hAnsi="Times New Roman" w:eastAsia="宋体" w:cs="Times New Roman"/>
                <w:b w:val="0"/>
                <w:bCs/>
                <w:snapToGrid w:val="0"/>
                <w:color w:val="auto"/>
                <w:spacing w:val="-16"/>
                <w:kern w:val="21"/>
                <w:szCs w:val="21"/>
                <w:highlight w:val="none"/>
                <w:u w:val="single" w:color="auto"/>
              </w:rPr>
              <w:fldChar w:fldCharType="end"/>
            </w:r>
          </w:p>
        </w:tc>
        <w:tc>
          <w:tcPr>
            <w:tcW w:w="1590" w:type="dxa"/>
            <w:tcMar>
              <w:left w:w="28" w:type="dxa"/>
              <w:right w:w="28" w:type="dxa"/>
            </w:tcMar>
            <w:vAlign w:val="center"/>
          </w:tcPr>
          <w:p w14:paraId="3F1F1F6E">
            <w:pPr>
              <w:pStyle w:val="41"/>
              <w:spacing w:beforeLines="0" w:afterLines="0" w:line="240" w:lineRule="auto"/>
              <w:rPr>
                <w:rFonts w:hint="default" w:ascii="Times New Roman" w:hAnsi="Times New Roman" w:eastAsia="宋体" w:cs="Times New Roman"/>
                <w:b w:val="0"/>
                <w:bCs/>
                <w:snapToGrid w:val="0"/>
                <w:color w:val="auto"/>
                <w:spacing w:val="-16"/>
                <w:kern w:val="21"/>
                <w:szCs w:val="21"/>
                <w:highlight w:val="none"/>
                <w:u w:val="single" w:color="auto"/>
              </w:rPr>
            </w:pPr>
            <w:r>
              <w:rPr>
                <w:rFonts w:hint="default" w:ascii="Times New Roman" w:hAnsi="Times New Roman" w:eastAsia="宋体" w:cs="Times New Roman"/>
                <w:b w:val="0"/>
                <w:bCs/>
                <w:snapToGrid w:val="0"/>
                <w:color w:val="auto"/>
                <w:spacing w:val="-16"/>
                <w:kern w:val="21"/>
                <w:szCs w:val="21"/>
                <w:highlight w:val="none"/>
                <w:u w:val="single" w:color="auto"/>
              </w:rPr>
              <w:t>本项目建成后</w:t>
            </w:r>
          </w:p>
          <w:p w14:paraId="5DD550AF">
            <w:pPr>
              <w:pStyle w:val="41"/>
              <w:spacing w:beforeLines="0" w:afterLines="0" w:line="240" w:lineRule="auto"/>
              <w:rPr>
                <w:rFonts w:hint="default" w:ascii="Times New Roman" w:hAnsi="Times New Roman" w:eastAsia="宋体" w:cs="Times New Roman"/>
                <w:b w:val="0"/>
                <w:bCs/>
                <w:snapToGrid w:val="0"/>
                <w:color w:val="auto"/>
                <w:spacing w:val="-16"/>
                <w:kern w:val="21"/>
                <w:szCs w:val="21"/>
                <w:highlight w:val="none"/>
                <w:u w:val="single" w:color="auto"/>
              </w:rPr>
            </w:pPr>
            <w:r>
              <w:rPr>
                <w:rFonts w:hint="default" w:ascii="Times New Roman" w:hAnsi="Times New Roman" w:eastAsia="宋体" w:cs="Times New Roman"/>
                <w:b w:val="0"/>
                <w:bCs/>
                <w:snapToGrid w:val="0"/>
                <w:color w:val="auto"/>
                <w:spacing w:val="-16"/>
                <w:kern w:val="21"/>
                <w:szCs w:val="21"/>
                <w:highlight w:val="none"/>
                <w:u w:val="single" w:color="auto"/>
              </w:rPr>
              <w:t>全厂排放量（固体废物产生量）</w:t>
            </w:r>
            <w:r>
              <w:rPr>
                <w:rFonts w:hint="default" w:ascii="Times New Roman" w:hAnsi="Times New Roman" w:eastAsia="宋体" w:cs="Times New Roman"/>
                <w:b w:val="0"/>
                <w:bCs/>
                <w:snapToGrid w:val="0"/>
                <w:color w:val="auto"/>
                <w:spacing w:val="-16"/>
                <w:kern w:val="21"/>
                <w:szCs w:val="21"/>
                <w:highlight w:val="none"/>
                <w:u w:val="single" w:color="auto"/>
              </w:rPr>
              <w:fldChar w:fldCharType="begin"/>
            </w:r>
            <w:r>
              <w:rPr>
                <w:rFonts w:hint="default" w:ascii="Times New Roman" w:hAnsi="Times New Roman" w:eastAsia="宋体" w:cs="Times New Roman"/>
                <w:b w:val="0"/>
                <w:bCs/>
                <w:snapToGrid w:val="0"/>
                <w:color w:val="auto"/>
                <w:spacing w:val="-16"/>
                <w:kern w:val="21"/>
                <w:szCs w:val="21"/>
                <w:highlight w:val="none"/>
                <w:u w:val="single" w:color="auto"/>
              </w:rPr>
              <w:instrText xml:space="preserve"> = 6 \* GB3 \* MERGEFORMAT </w:instrText>
            </w:r>
            <w:r>
              <w:rPr>
                <w:rFonts w:hint="default" w:ascii="Times New Roman" w:hAnsi="Times New Roman" w:eastAsia="宋体" w:cs="Times New Roman"/>
                <w:b w:val="0"/>
                <w:bCs/>
                <w:snapToGrid w:val="0"/>
                <w:color w:val="auto"/>
                <w:spacing w:val="-16"/>
                <w:kern w:val="21"/>
                <w:szCs w:val="21"/>
                <w:highlight w:val="none"/>
                <w:u w:val="single" w:color="auto"/>
              </w:rPr>
              <w:fldChar w:fldCharType="separate"/>
            </w:r>
            <w:r>
              <w:rPr>
                <w:rFonts w:hint="default" w:ascii="Times New Roman" w:hAnsi="Times New Roman" w:eastAsia="宋体" w:cs="Times New Roman"/>
                <w:b w:val="0"/>
                <w:bCs/>
                <w:color w:val="auto"/>
                <w:kern w:val="2"/>
                <w:szCs w:val="21"/>
                <w:highlight w:val="none"/>
                <w:u w:val="single" w:color="auto"/>
              </w:rPr>
              <w:t>⑥</w:t>
            </w:r>
            <w:r>
              <w:rPr>
                <w:rFonts w:hint="default" w:ascii="Times New Roman" w:hAnsi="Times New Roman" w:eastAsia="宋体" w:cs="Times New Roman"/>
                <w:b w:val="0"/>
                <w:bCs/>
                <w:snapToGrid w:val="0"/>
                <w:color w:val="auto"/>
                <w:spacing w:val="-16"/>
                <w:kern w:val="21"/>
                <w:szCs w:val="21"/>
                <w:highlight w:val="none"/>
                <w:u w:val="single" w:color="auto"/>
              </w:rPr>
              <w:fldChar w:fldCharType="end"/>
            </w:r>
          </w:p>
        </w:tc>
        <w:tc>
          <w:tcPr>
            <w:tcW w:w="1673" w:type="dxa"/>
            <w:tcMar>
              <w:left w:w="28" w:type="dxa"/>
              <w:right w:w="28" w:type="dxa"/>
            </w:tcMar>
            <w:vAlign w:val="center"/>
          </w:tcPr>
          <w:p w14:paraId="1BE7EE41">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t>变化量</w:t>
            </w:r>
          </w:p>
          <w:p w14:paraId="32D4D8FD">
            <w:pPr>
              <w:pStyle w:val="41"/>
              <w:spacing w:beforeLines="0" w:afterLines="0" w:line="240" w:lineRule="auto"/>
              <w:rPr>
                <w:rFonts w:hint="default" w:ascii="Times New Roman" w:hAnsi="Times New Roman" w:eastAsia="宋体" w:cs="Times New Roman"/>
                <w:b w:val="0"/>
                <w:bCs/>
                <w:snapToGrid w:val="0"/>
                <w:color w:val="auto"/>
                <w:spacing w:val="-6"/>
                <w:kern w:val="21"/>
                <w:szCs w:val="21"/>
                <w:highlight w:val="none"/>
                <w:u w:val="single" w:color="auto"/>
              </w:rPr>
            </w:pPr>
            <w:r>
              <w:rPr>
                <w:rFonts w:hint="default" w:ascii="Times New Roman" w:hAnsi="Times New Roman" w:eastAsia="宋体" w:cs="Times New Roman"/>
                <w:b w:val="0"/>
                <w:bCs/>
                <w:snapToGrid w:val="0"/>
                <w:color w:val="auto"/>
                <w:spacing w:val="-6"/>
                <w:kern w:val="21"/>
                <w:szCs w:val="21"/>
                <w:highlight w:val="none"/>
                <w:u w:val="single" w:color="auto"/>
              </w:rPr>
              <w:fldChar w:fldCharType="begin"/>
            </w:r>
            <w:r>
              <w:rPr>
                <w:rFonts w:hint="default" w:ascii="Times New Roman" w:hAnsi="Times New Roman" w:eastAsia="宋体" w:cs="Times New Roman"/>
                <w:b w:val="0"/>
                <w:bCs/>
                <w:snapToGrid w:val="0"/>
                <w:color w:val="auto"/>
                <w:spacing w:val="-6"/>
                <w:kern w:val="21"/>
                <w:szCs w:val="21"/>
                <w:highlight w:val="none"/>
                <w:u w:val="single" w:color="auto"/>
              </w:rPr>
              <w:instrText xml:space="preserve"> = 7 \* GB3 \* MERGEFORMAT </w:instrText>
            </w:r>
            <w:r>
              <w:rPr>
                <w:rFonts w:hint="default" w:ascii="Times New Roman" w:hAnsi="Times New Roman" w:eastAsia="宋体" w:cs="Times New Roman"/>
                <w:b w:val="0"/>
                <w:bCs/>
                <w:snapToGrid w:val="0"/>
                <w:color w:val="auto"/>
                <w:spacing w:val="-6"/>
                <w:kern w:val="21"/>
                <w:szCs w:val="21"/>
                <w:highlight w:val="none"/>
                <w:u w:val="single" w:color="auto"/>
              </w:rPr>
              <w:fldChar w:fldCharType="separate"/>
            </w:r>
            <w:r>
              <w:rPr>
                <w:rFonts w:hint="default" w:ascii="Times New Roman" w:hAnsi="Times New Roman" w:eastAsia="宋体" w:cs="Times New Roman"/>
                <w:b w:val="0"/>
                <w:bCs/>
                <w:color w:val="auto"/>
                <w:kern w:val="2"/>
                <w:szCs w:val="21"/>
                <w:highlight w:val="none"/>
                <w:u w:val="single" w:color="auto"/>
              </w:rPr>
              <w:t>⑦</w:t>
            </w:r>
            <w:r>
              <w:rPr>
                <w:rFonts w:hint="default" w:ascii="Times New Roman" w:hAnsi="Times New Roman" w:eastAsia="宋体" w:cs="Times New Roman"/>
                <w:b w:val="0"/>
                <w:bCs/>
                <w:snapToGrid w:val="0"/>
                <w:color w:val="auto"/>
                <w:spacing w:val="-6"/>
                <w:kern w:val="21"/>
                <w:szCs w:val="21"/>
                <w:highlight w:val="none"/>
                <w:u w:val="single" w:color="auto"/>
              </w:rPr>
              <w:fldChar w:fldCharType="end"/>
            </w:r>
          </w:p>
        </w:tc>
      </w:tr>
      <w:tr w14:paraId="058298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64" w:type="dxa"/>
            <w:vMerge w:val="restart"/>
            <w:vAlign w:val="center"/>
          </w:tcPr>
          <w:p w14:paraId="29FFA363">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r>
              <w:rPr>
                <w:rFonts w:hint="default" w:ascii="Times New Roman" w:hAnsi="Times New Roman" w:eastAsia="宋体" w:cs="Times New Roman"/>
                <w:b w:val="0"/>
                <w:bCs/>
                <w:snapToGrid w:val="0"/>
                <w:color w:val="auto"/>
                <w:kern w:val="21"/>
                <w:szCs w:val="21"/>
                <w:highlight w:val="none"/>
                <w:u w:val="single" w:color="auto"/>
              </w:rPr>
              <w:t>废气</w:t>
            </w:r>
          </w:p>
        </w:tc>
        <w:tc>
          <w:tcPr>
            <w:tcW w:w="1841" w:type="dxa"/>
            <w:shd w:val="clear" w:color="auto" w:fill="auto"/>
            <w:vAlign w:val="center"/>
          </w:tcPr>
          <w:p w14:paraId="2B06996B">
            <w:pPr>
              <w:adjustRightInd w:val="0"/>
              <w:snapToGrid w:val="0"/>
              <w:jc w:val="left"/>
              <w:rPr>
                <w:rFonts w:hint="eastAsia" w:ascii="Times New Roman" w:hAnsi="Times New Roman" w:eastAsia="宋体" w:cs="Times New Roman"/>
                <w:bCs/>
                <w:color w:val="auto"/>
                <w:kern w:val="2"/>
                <w:sz w:val="21"/>
                <w:szCs w:val="21"/>
                <w:highlight w:val="none"/>
                <w:u w:val="single" w:color="auto"/>
                <w:lang w:val="en-US" w:eastAsia="zh-CN" w:bidi="ar-SA"/>
              </w:rPr>
            </w:pPr>
            <w:r>
              <w:rPr>
                <w:rFonts w:hint="default" w:ascii="Times New Roman" w:hAnsi="Times New Roman" w:cs="Times New Roman"/>
                <w:bCs/>
                <w:color w:val="auto"/>
                <w:sz w:val="21"/>
                <w:szCs w:val="21"/>
                <w:highlight w:val="none"/>
                <w:u w:val="single" w:color="auto"/>
                <w:lang w:val="en-US" w:eastAsia="zh-CN"/>
              </w:rPr>
              <w:t>颗粒物</w:t>
            </w:r>
          </w:p>
        </w:tc>
        <w:tc>
          <w:tcPr>
            <w:tcW w:w="1701" w:type="dxa"/>
            <w:vAlign w:val="center"/>
          </w:tcPr>
          <w:p w14:paraId="26C230B1">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p>
        </w:tc>
        <w:tc>
          <w:tcPr>
            <w:tcW w:w="1276" w:type="dxa"/>
            <w:vAlign w:val="center"/>
          </w:tcPr>
          <w:p w14:paraId="3CE04CEE">
            <w:pPr>
              <w:pStyle w:val="41"/>
              <w:spacing w:beforeLines="0" w:afterLines="0" w:line="240" w:lineRule="auto"/>
              <w:jc w:val="left"/>
              <w:rPr>
                <w:rFonts w:hint="default" w:ascii="Times New Roman" w:hAnsi="Times New Roman" w:eastAsia="宋体" w:cs="Times New Roman"/>
                <w:b w:val="0"/>
                <w:bCs/>
                <w:snapToGrid w:val="0"/>
                <w:color w:val="auto"/>
                <w:kern w:val="21"/>
                <w:szCs w:val="21"/>
                <w:highlight w:val="none"/>
                <w:u w:val="single" w:color="auto"/>
              </w:rPr>
            </w:pPr>
          </w:p>
        </w:tc>
        <w:tc>
          <w:tcPr>
            <w:tcW w:w="1701" w:type="dxa"/>
            <w:vAlign w:val="center"/>
          </w:tcPr>
          <w:p w14:paraId="1E38213D">
            <w:pPr>
              <w:pStyle w:val="41"/>
              <w:spacing w:beforeLines="0" w:afterLines="0" w:line="240" w:lineRule="auto"/>
              <w:jc w:val="left"/>
              <w:rPr>
                <w:rFonts w:hint="default" w:ascii="Times New Roman" w:hAnsi="Times New Roman" w:eastAsia="宋体" w:cs="Times New Roman"/>
                <w:b w:val="0"/>
                <w:bCs/>
                <w:snapToGrid w:val="0"/>
                <w:color w:val="auto"/>
                <w:kern w:val="21"/>
                <w:szCs w:val="21"/>
                <w:highlight w:val="none"/>
                <w:u w:val="single" w:color="auto"/>
              </w:rPr>
            </w:pPr>
          </w:p>
        </w:tc>
        <w:tc>
          <w:tcPr>
            <w:tcW w:w="1559" w:type="dxa"/>
            <w:vAlign w:val="center"/>
          </w:tcPr>
          <w:p w14:paraId="5523FF4B">
            <w:pPr>
              <w:keepNext w:val="0"/>
              <w:keepLines w:val="0"/>
              <w:widowControl/>
              <w:suppressLineNumbers w:val="0"/>
              <w:jc w:val="left"/>
              <w:textAlignment w:val="center"/>
              <w:rPr>
                <w:rFonts w:hint="default" w:ascii="Times New Roman" w:hAnsi="Times New Roman" w:eastAsia="宋体" w:cs="Times New Roman"/>
                <w:bCs/>
                <w:snapToGrid w:val="0"/>
                <w:color w:val="auto"/>
                <w:kern w:val="21"/>
                <w:szCs w:val="21"/>
                <w:highlight w:val="yellow"/>
                <w:u w:val="single" w:color="auto"/>
                <w:lang w:val="en-US" w:eastAsia="zh-CN"/>
              </w:rPr>
            </w:pPr>
            <w:r>
              <w:rPr>
                <w:rFonts w:hint="eastAsia" w:cs="Times New Roman"/>
                <w:i w:val="0"/>
                <w:iCs w:val="0"/>
                <w:color w:val="auto"/>
                <w:kern w:val="0"/>
                <w:sz w:val="21"/>
                <w:szCs w:val="21"/>
                <w:highlight w:val="yellow"/>
                <w:u w:val="single" w:color="auto"/>
                <w:lang w:val="en-US" w:eastAsia="zh-CN" w:bidi="ar"/>
              </w:rPr>
              <w:t>2.0191</w:t>
            </w:r>
            <w:r>
              <w:rPr>
                <w:rFonts w:hint="default" w:ascii="Times New Roman" w:hAnsi="Times New Roman" w:eastAsia="宋体" w:cs="Times New Roman"/>
                <w:i w:val="0"/>
                <w:iCs w:val="0"/>
                <w:color w:val="auto"/>
                <w:kern w:val="0"/>
                <w:sz w:val="21"/>
                <w:szCs w:val="21"/>
                <w:highlight w:val="yellow"/>
                <w:u w:val="single" w:color="auto"/>
                <w:lang w:val="en-US" w:eastAsia="zh-CN" w:bidi="ar"/>
              </w:rPr>
              <w:t>t/a</w:t>
            </w:r>
          </w:p>
        </w:tc>
        <w:tc>
          <w:tcPr>
            <w:tcW w:w="1463" w:type="dxa"/>
            <w:vAlign w:val="center"/>
          </w:tcPr>
          <w:p w14:paraId="2BF66027">
            <w:pPr>
              <w:pStyle w:val="41"/>
              <w:spacing w:beforeLines="0" w:afterLines="0" w:line="240" w:lineRule="auto"/>
              <w:jc w:val="left"/>
              <w:rPr>
                <w:rFonts w:hint="default" w:ascii="Times New Roman" w:hAnsi="Times New Roman" w:eastAsia="宋体" w:cs="Times New Roman"/>
                <w:b w:val="0"/>
                <w:bCs/>
                <w:snapToGrid w:val="0"/>
                <w:color w:val="auto"/>
                <w:kern w:val="21"/>
                <w:szCs w:val="21"/>
                <w:highlight w:val="yellow"/>
                <w:u w:val="single" w:color="auto"/>
                <w:lang w:val="en-US" w:eastAsia="zh-CN"/>
              </w:rPr>
            </w:pPr>
            <w:r>
              <w:rPr>
                <w:rFonts w:hint="eastAsia" w:ascii="Times New Roman" w:eastAsia="宋体" w:cs="Times New Roman"/>
                <w:b w:val="0"/>
                <w:bCs/>
                <w:snapToGrid w:val="0"/>
                <w:color w:val="auto"/>
                <w:kern w:val="21"/>
                <w:szCs w:val="21"/>
                <w:highlight w:val="yellow"/>
                <w:u w:val="single" w:color="auto"/>
                <w:lang w:val="en-US" w:eastAsia="zh-CN"/>
              </w:rPr>
              <w:t>/</w:t>
            </w:r>
          </w:p>
        </w:tc>
        <w:tc>
          <w:tcPr>
            <w:tcW w:w="1590" w:type="dxa"/>
            <w:vAlign w:val="center"/>
          </w:tcPr>
          <w:p w14:paraId="0E008533">
            <w:pPr>
              <w:keepNext w:val="0"/>
              <w:keepLines w:val="0"/>
              <w:widowControl/>
              <w:suppressLineNumbers w:val="0"/>
              <w:jc w:val="left"/>
              <w:textAlignment w:val="center"/>
              <w:rPr>
                <w:rFonts w:hint="default" w:ascii="Times New Roman" w:hAnsi="Times New Roman" w:eastAsia="宋体" w:cs="Times New Roman"/>
                <w:bCs/>
                <w:snapToGrid w:val="0"/>
                <w:color w:val="auto"/>
                <w:kern w:val="21"/>
                <w:szCs w:val="21"/>
                <w:highlight w:val="yellow"/>
                <w:u w:val="single" w:color="auto"/>
              </w:rPr>
            </w:pPr>
            <w:r>
              <w:rPr>
                <w:rFonts w:hint="eastAsia" w:cs="Times New Roman"/>
                <w:i w:val="0"/>
                <w:iCs w:val="0"/>
                <w:color w:val="auto"/>
                <w:kern w:val="0"/>
                <w:sz w:val="21"/>
                <w:szCs w:val="21"/>
                <w:highlight w:val="yellow"/>
                <w:u w:val="single" w:color="auto"/>
                <w:lang w:val="en-US" w:eastAsia="zh-CN" w:bidi="ar"/>
              </w:rPr>
              <w:t>2.0191</w:t>
            </w:r>
            <w:r>
              <w:rPr>
                <w:rFonts w:hint="default" w:ascii="Times New Roman" w:hAnsi="Times New Roman" w:eastAsia="宋体" w:cs="Times New Roman"/>
                <w:i w:val="0"/>
                <w:iCs w:val="0"/>
                <w:color w:val="auto"/>
                <w:kern w:val="0"/>
                <w:sz w:val="21"/>
                <w:szCs w:val="21"/>
                <w:highlight w:val="yellow"/>
                <w:u w:val="single" w:color="auto"/>
                <w:lang w:val="en-US" w:eastAsia="zh-CN" w:bidi="ar"/>
              </w:rPr>
              <w:t>t/a</w:t>
            </w:r>
          </w:p>
        </w:tc>
        <w:tc>
          <w:tcPr>
            <w:tcW w:w="1673" w:type="dxa"/>
            <w:vAlign w:val="center"/>
          </w:tcPr>
          <w:p w14:paraId="2137EA7D">
            <w:pPr>
              <w:keepNext w:val="0"/>
              <w:keepLines w:val="0"/>
              <w:widowControl/>
              <w:suppressLineNumbers w:val="0"/>
              <w:jc w:val="left"/>
              <w:textAlignment w:val="center"/>
              <w:rPr>
                <w:rFonts w:hint="default" w:ascii="Times New Roman" w:hAnsi="Times New Roman" w:eastAsia="宋体" w:cs="Times New Roman"/>
                <w:bCs/>
                <w:snapToGrid w:val="0"/>
                <w:color w:val="auto"/>
                <w:kern w:val="21"/>
                <w:szCs w:val="21"/>
                <w:highlight w:val="yellow"/>
                <w:u w:val="single" w:color="auto"/>
              </w:rPr>
            </w:pPr>
            <w:r>
              <w:rPr>
                <w:rFonts w:hint="eastAsia" w:cs="Times New Roman"/>
                <w:color w:val="auto"/>
                <w:sz w:val="21"/>
                <w:szCs w:val="21"/>
                <w:highlight w:val="yellow"/>
                <w:u w:val="single" w:color="auto"/>
                <w:lang w:val="en-US" w:eastAsia="zh-CN"/>
              </w:rPr>
              <w:t>+</w:t>
            </w:r>
            <w:r>
              <w:rPr>
                <w:rFonts w:hint="eastAsia" w:cs="Times New Roman"/>
                <w:i w:val="0"/>
                <w:iCs w:val="0"/>
                <w:color w:val="auto"/>
                <w:kern w:val="0"/>
                <w:sz w:val="21"/>
                <w:szCs w:val="21"/>
                <w:highlight w:val="yellow"/>
                <w:u w:val="single" w:color="auto"/>
                <w:lang w:val="en-US" w:eastAsia="zh-CN" w:bidi="ar"/>
              </w:rPr>
              <w:t>2.0191</w:t>
            </w:r>
            <w:r>
              <w:rPr>
                <w:rFonts w:hint="eastAsia" w:cs="Times New Roman"/>
                <w:color w:val="auto"/>
                <w:sz w:val="21"/>
                <w:szCs w:val="21"/>
                <w:highlight w:val="yellow"/>
                <w:u w:val="single" w:color="auto"/>
                <w:lang w:val="en-US" w:eastAsia="zh-CN"/>
              </w:rPr>
              <w:t>t/a</w:t>
            </w:r>
          </w:p>
        </w:tc>
      </w:tr>
      <w:tr w14:paraId="0717C9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64" w:type="dxa"/>
            <w:vMerge w:val="continue"/>
            <w:vAlign w:val="center"/>
          </w:tcPr>
          <w:p w14:paraId="1F2C181E">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p>
        </w:tc>
        <w:tc>
          <w:tcPr>
            <w:tcW w:w="1841" w:type="dxa"/>
            <w:shd w:val="clear" w:color="auto" w:fill="auto"/>
            <w:vAlign w:val="center"/>
          </w:tcPr>
          <w:p w14:paraId="4F574121">
            <w:pPr>
              <w:adjustRightInd w:val="0"/>
              <w:snapToGrid w:val="0"/>
              <w:jc w:val="left"/>
              <w:rPr>
                <w:rFonts w:hint="eastAsia" w:ascii="Times New Roman" w:hAnsi="Times New Roman" w:eastAsia="宋体" w:cs="Times New Roman"/>
                <w:bCs/>
                <w:color w:val="auto"/>
                <w:kern w:val="2"/>
                <w:sz w:val="21"/>
                <w:szCs w:val="21"/>
                <w:highlight w:val="none"/>
                <w:u w:val="single" w:color="auto"/>
                <w:vertAlign w:val="subscript"/>
                <w:lang w:val="en-US" w:eastAsia="zh-CN" w:bidi="ar-SA"/>
              </w:rPr>
            </w:pPr>
            <w:r>
              <w:rPr>
                <w:rFonts w:hint="default" w:ascii="Times New Roman" w:hAnsi="Times New Roman" w:cs="Times New Roman"/>
                <w:bCs/>
                <w:color w:val="auto"/>
                <w:sz w:val="21"/>
                <w:szCs w:val="21"/>
                <w:highlight w:val="none"/>
                <w:u w:val="single" w:color="auto"/>
                <w:lang w:val="en-US" w:eastAsia="zh-CN"/>
              </w:rPr>
              <w:t>SO</w:t>
            </w:r>
            <w:r>
              <w:rPr>
                <w:rFonts w:hint="default" w:ascii="Times New Roman" w:hAnsi="Times New Roman" w:cs="Times New Roman"/>
                <w:bCs/>
                <w:color w:val="auto"/>
                <w:sz w:val="21"/>
                <w:szCs w:val="21"/>
                <w:highlight w:val="none"/>
                <w:u w:val="single" w:color="auto"/>
                <w:vertAlign w:val="subscript"/>
                <w:lang w:val="en-US" w:eastAsia="zh-CN"/>
              </w:rPr>
              <w:t>2</w:t>
            </w:r>
          </w:p>
        </w:tc>
        <w:tc>
          <w:tcPr>
            <w:tcW w:w="1701" w:type="dxa"/>
            <w:vAlign w:val="center"/>
          </w:tcPr>
          <w:p w14:paraId="30FE065B">
            <w:pPr>
              <w:pStyle w:val="41"/>
              <w:spacing w:beforeLines="0" w:afterLines="0" w:line="240" w:lineRule="auto"/>
              <w:rPr>
                <w:rFonts w:hint="eastAsia" w:ascii="Times New Roman" w:hAnsi="Times New Roman" w:eastAsia="宋体" w:cs="Times New Roman"/>
                <w:b w:val="0"/>
                <w:bCs/>
                <w:snapToGrid w:val="0"/>
                <w:color w:val="auto"/>
                <w:kern w:val="21"/>
                <w:szCs w:val="21"/>
                <w:highlight w:val="none"/>
                <w:u w:val="single" w:color="auto"/>
                <w:lang w:val="en-US" w:eastAsia="zh-CN"/>
              </w:rPr>
            </w:pPr>
            <w:r>
              <w:rPr>
                <w:rFonts w:hint="eastAsia" w:ascii="Times New Roman" w:eastAsia="宋体" w:cs="Times New Roman"/>
                <w:b w:val="0"/>
                <w:bCs/>
                <w:snapToGrid w:val="0"/>
                <w:color w:val="auto"/>
                <w:kern w:val="21"/>
                <w:szCs w:val="21"/>
                <w:highlight w:val="none"/>
                <w:u w:val="single" w:color="auto"/>
                <w:lang w:val="en-US" w:eastAsia="zh-CN"/>
              </w:rPr>
              <w:t>/</w:t>
            </w:r>
          </w:p>
        </w:tc>
        <w:tc>
          <w:tcPr>
            <w:tcW w:w="1276" w:type="dxa"/>
            <w:vAlign w:val="center"/>
          </w:tcPr>
          <w:p w14:paraId="0427071A">
            <w:pPr>
              <w:pStyle w:val="41"/>
              <w:spacing w:beforeLines="0" w:afterLines="0" w:line="240" w:lineRule="auto"/>
              <w:jc w:val="left"/>
              <w:rPr>
                <w:rFonts w:hint="eastAsia" w:ascii="Times New Roman" w:hAnsi="Times New Roman" w:eastAsia="宋体" w:cs="Times New Roman"/>
                <w:b w:val="0"/>
                <w:bCs/>
                <w:snapToGrid w:val="0"/>
                <w:color w:val="auto"/>
                <w:kern w:val="21"/>
                <w:szCs w:val="21"/>
                <w:highlight w:val="none"/>
                <w:u w:val="single" w:color="auto"/>
                <w:lang w:val="en-US" w:eastAsia="zh-CN"/>
              </w:rPr>
            </w:pPr>
            <w:r>
              <w:rPr>
                <w:rFonts w:hint="eastAsia" w:ascii="Times New Roman" w:eastAsia="宋体" w:cs="Times New Roman"/>
                <w:b w:val="0"/>
                <w:bCs/>
                <w:snapToGrid w:val="0"/>
                <w:color w:val="auto"/>
                <w:kern w:val="21"/>
                <w:szCs w:val="21"/>
                <w:highlight w:val="none"/>
                <w:u w:val="single" w:color="auto"/>
                <w:lang w:val="en-US" w:eastAsia="zh-CN"/>
              </w:rPr>
              <w:t>/</w:t>
            </w:r>
          </w:p>
        </w:tc>
        <w:tc>
          <w:tcPr>
            <w:tcW w:w="1701" w:type="dxa"/>
            <w:vAlign w:val="center"/>
          </w:tcPr>
          <w:p w14:paraId="72D3FBA6">
            <w:pPr>
              <w:pStyle w:val="41"/>
              <w:spacing w:beforeLines="0" w:afterLines="0" w:line="240" w:lineRule="auto"/>
              <w:jc w:val="left"/>
              <w:rPr>
                <w:rFonts w:hint="eastAsia" w:ascii="Times New Roman" w:hAnsi="Times New Roman" w:eastAsia="宋体" w:cs="Times New Roman"/>
                <w:b w:val="0"/>
                <w:bCs/>
                <w:snapToGrid w:val="0"/>
                <w:color w:val="auto"/>
                <w:kern w:val="21"/>
                <w:szCs w:val="21"/>
                <w:highlight w:val="none"/>
                <w:u w:val="single" w:color="auto"/>
                <w:lang w:val="en-US" w:eastAsia="zh-CN"/>
              </w:rPr>
            </w:pPr>
            <w:r>
              <w:rPr>
                <w:rFonts w:hint="eastAsia" w:ascii="Times New Roman" w:eastAsia="宋体" w:cs="Times New Roman"/>
                <w:b w:val="0"/>
                <w:bCs/>
                <w:snapToGrid w:val="0"/>
                <w:color w:val="auto"/>
                <w:kern w:val="21"/>
                <w:szCs w:val="21"/>
                <w:highlight w:val="none"/>
                <w:u w:val="single" w:color="auto"/>
                <w:lang w:val="en-US" w:eastAsia="zh-CN"/>
              </w:rPr>
              <w:t>/</w:t>
            </w:r>
          </w:p>
        </w:tc>
        <w:tc>
          <w:tcPr>
            <w:tcW w:w="1559" w:type="dxa"/>
            <w:vAlign w:val="center"/>
          </w:tcPr>
          <w:p w14:paraId="486627E4">
            <w:pPr>
              <w:keepNext w:val="0"/>
              <w:keepLines w:val="0"/>
              <w:widowControl/>
              <w:suppressLineNumbers w:val="0"/>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0.2t/a</w:t>
            </w:r>
          </w:p>
        </w:tc>
        <w:tc>
          <w:tcPr>
            <w:tcW w:w="1463" w:type="dxa"/>
            <w:vAlign w:val="center"/>
          </w:tcPr>
          <w:p w14:paraId="578E0C4E">
            <w:pPr>
              <w:pStyle w:val="41"/>
              <w:spacing w:beforeLines="0" w:afterLines="0" w:line="240" w:lineRule="auto"/>
              <w:jc w:val="left"/>
              <w:rPr>
                <w:rFonts w:hint="eastAsia" w:ascii="Times New Roman" w:hAnsi="Times New Roman" w:eastAsia="宋体" w:cs="Times New Roman"/>
                <w:b w:val="0"/>
                <w:bCs/>
                <w:snapToGrid w:val="0"/>
                <w:color w:val="auto"/>
                <w:kern w:val="21"/>
                <w:szCs w:val="21"/>
                <w:highlight w:val="none"/>
                <w:u w:val="single" w:color="auto"/>
                <w:lang w:val="en-US" w:eastAsia="zh-CN"/>
              </w:rPr>
            </w:pPr>
            <w:r>
              <w:rPr>
                <w:rFonts w:hint="eastAsia" w:ascii="Times New Roman" w:eastAsia="宋体" w:cs="Times New Roman"/>
                <w:b w:val="0"/>
                <w:bCs/>
                <w:snapToGrid w:val="0"/>
                <w:color w:val="auto"/>
                <w:kern w:val="21"/>
                <w:szCs w:val="21"/>
                <w:highlight w:val="none"/>
                <w:u w:val="single" w:color="auto"/>
                <w:lang w:val="en-US" w:eastAsia="zh-CN"/>
              </w:rPr>
              <w:t>/</w:t>
            </w:r>
          </w:p>
        </w:tc>
        <w:tc>
          <w:tcPr>
            <w:tcW w:w="1590" w:type="dxa"/>
            <w:vAlign w:val="center"/>
          </w:tcPr>
          <w:p w14:paraId="19787CE0">
            <w:pPr>
              <w:keepNext w:val="0"/>
              <w:keepLines w:val="0"/>
              <w:widowControl/>
              <w:suppressLineNumbers w:val="0"/>
              <w:jc w:val="left"/>
              <w:textAlignment w:val="center"/>
              <w:rPr>
                <w:rFonts w:hint="default" w:ascii="Times New Roman" w:hAnsi="Times New Roman" w:eastAsia="宋体" w:cs="Times New Roman"/>
                <w:bCs/>
                <w:snapToGrid w:val="0"/>
                <w:color w:val="auto"/>
                <w:kern w:val="21"/>
                <w:szCs w:val="21"/>
                <w:highlight w:val="none"/>
                <w:u w:val="single" w:color="auto"/>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0.2t/a</w:t>
            </w:r>
          </w:p>
        </w:tc>
        <w:tc>
          <w:tcPr>
            <w:tcW w:w="1673" w:type="dxa"/>
            <w:vAlign w:val="center"/>
          </w:tcPr>
          <w:p w14:paraId="606E19F8">
            <w:pPr>
              <w:keepNext w:val="0"/>
              <w:keepLines w:val="0"/>
              <w:widowControl/>
              <w:suppressLineNumbers w:val="0"/>
              <w:jc w:val="left"/>
              <w:textAlignment w:val="center"/>
              <w:rPr>
                <w:rFonts w:hint="default" w:ascii="Times New Roman" w:hAnsi="Times New Roman" w:eastAsia="宋体" w:cs="Times New Roman"/>
                <w:bCs/>
                <w:snapToGrid w:val="0"/>
                <w:color w:val="auto"/>
                <w:kern w:val="21"/>
                <w:szCs w:val="21"/>
                <w:highlight w:val="none"/>
                <w:u w:val="single" w:color="auto"/>
              </w:rPr>
            </w:pPr>
            <w:r>
              <w:rPr>
                <w:rFonts w:hint="eastAsia" w:cs="Times New Roman"/>
                <w:color w:val="auto"/>
                <w:sz w:val="21"/>
                <w:szCs w:val="21"/>
                <w:highlight w:val="none"/>
                <w:u w:val="single" w:color="auto"/>
                <w:lang w:val="en-US" w:eastAsia="zh-CN"/>
              </w:rPr>
              <w:t>+0.2t/a</w:t>
            </w:r>
          </w:p>
        </w:tc>
      </w:tr>
      <w:tr w14:paraId="0AA9B4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64" w:type="dxa"/>
            <w:vMerge w:val="continue"/>
            <w:vAlign w:val="center"/>
          </w:tcPr>
          <w:p w14:paraId="4939E258">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p>
        </w:tc>
        <w:tc>
          <w:tcPr>
            <w:tcW w:w="1841" w:type="dxa"/>
            <w:shd w:val="clear" w:color="auto" w:fill="auto"/>
            <w:vAlign w:val="center"/>
          </w:tcPr>
          <w:p w14:paraId="3FBED8D7">
            <w:pPr>
              <w:adjustRightInd w:val="0"/>
              <w:snapToGrid w:val="0"/>
              <w:jc w:val="left"/>
              <w:rPr>
                <w:rFonts w:hint="eastAsia" w:ascii="Times New Roman" w:hAnsi="Times New Roman" w:eastAsia="宋体" w:cs="Times New Roman"/>
                <w:bCs/>
                <w:color w:val="auto"/>
                <w:kern w:val="2"/>
                <w:sz w:val="21"/>
                <w:szCs w:val="21"/>
                <w:highlight w:val="none"/>
                <w:u w:val="single" w:color="auto"/>
                <w:vertAlign w:val="subscript"/>
                <w:lang w:val="en-US" w:eastAsia="zh-CN" w:bidi="ar-SA"/>
              </w:rPr>
            </w:pPr>
            <w:r>
              <w:rPr>
                <w:rFonts w:hint="default" w:ascii="Times New Roman" w:hAnsi="Times New Roman" w:cs="Times New Roman"/>
                <w:bCs/>
                <w:color w:val="auto"/>
                <w:sz w:val="21"/>
                <w:szCs w:val="21"/>
                <w:highlight w:val="none"/>
                <w:u w:val="single" w:color="auto"/>
                <w:lang w:val="en-US" w:eastAsia="zh-CN"/>
              </w:rPr>
              <w:t>NO</w:t>
            </w:r>
            <w:r>
              <w:rPr>
                <w:rFonts w:hint="default" w:ascii="Times New Roman" w:hAnsi="Times New Roman" w:cs="Times New Roman"/>
                <w:bCs/>
                <w:color w:val="auto"/>
                <w:sz w:val="21"/>
                <w:szCs w:val="21"/>
                <w:highlight w:val="none"/>
                <w:u w:val="single" w:color="auto"/>
                <w:vertAlign w:val="subscript"/>
                <w:lang w:val="en-US" w:eastAsia="zh-CN"/>
              </w:rPr>
              <w:t>x</w:t>
            </w:r>
          </w:p>
        </w:tc>
        <w:tc>
          <w:tcPr>
            <w:tcW w:w="1701" w:type="dxa"/>
            <w:vAlign w:val="center"/>
          </w:tcPr>
          <w:p w14:paraId="6ACD7240">
            <w:pPr>
              <w:pStyle w:val="41"/>
              <w:spacing w:beforeLines="0" w:afterLines="0" w:line="240" w:lineRule="auto"/>
              <w:rPr>
                <w:rFonts w:hint="eastAsia" w:ascii="Times New Roman" w:hAnsi="Times New Roman" w:eastAsia="宋体" w:cs="Times New Roman"/>
                <w:b w:val="0"/>
                <w:bCs/>
                <w:snapToGrid w:val="0"/>
                <w:color w:val="auto"/>
                <w:kern w:val="21"/>
                <w:szCs w:val="21"/>
                <w:highlight w:val="none"/>
                <w:u w:val="single" w:color="auto"/>
                <w:lang w:val="en-US" w:eastAsia="zh-CN"/>
              </w:rPr>
            </w:pPr>
            <w:r>
              <w:rPr>
                <w:rFonts w:hint="eastAsia" w:ascii="Times New Roman" w:eastAsia="宋体" w:cs="Times New Roman"/>
                <w:b w:val="0"/>
                <w:bCs/>
                <w:snapToGrid w:val="0"/>
                <w:color w:val="auto"/>
                <w:kern w:val="21"/>
                <w:szCs w:val="21"/>
                <w:highlight w:val="none"/>
                <w:u w:val="single" w:color="auto"/>
                <w:lang w:val="en-US" w:eastAsia="zh-CN"/>
              </w:rPr>
              <w:t>/</w:t>
            </w:r>
          </w:p>
        </w:tc>
        <w:tc>
          <w:tcPr>
            <w:tcW w:w="1276" w:type="dxa"/>
            <w:vAlign w:val="center"/>
          </w:tcPr>
          <w:p w14:paraId="2D4DD8AD">
            <w:pPr>
              <w:pStyle w:val="41"/>
              <w:spacing w:beforeLines="0" w:afterLines="0" w:line="240" w:lineRule="auto"/>
              <w:jc w:val="left"/>
              <w:rPr>
                <w:rFonts w:hint="eastAsia" w:ascii="Times New Roman" w:hAnsi="Times New Roman" w:eastAsia="宋体" w:cs="Times New Roman"/>
                <w:b w:val="0"/>
                <w:bCs/>
                <w:snapToGrid w:val="0"/>
                <w:color w:val="auto"/>
                <w:kern w:val="21"/>
                <w:szCs w:val="21"/>
                <w:highlight w:val="none"/>
                <w:u w:val="single" w:color="auto"/>
                <w:lang w:val="en-US" w:eastAsia="zh-CN"/>
              </w:rPr>
            </w:pPr>
            <w:r>
              <w:rPr>
                <w:rFonts w:hint="eastAsia" w:ascii="Times New Roman" w:eastAsia="宋体" w:cs="Times New Roman"/>
                <w:b w:val="0"/>
                <w:bCs/>
                <w:snapToGrid w:val="0"/>
                <w:color w:val="auto"/>
                <w:kern w:val="21"/>
                <w:szCs w:val="21"/>
                <w:highlight w:val="none"/>
                <w:u w:val="single" w:color="auto"/>
                <w:lang w:val="en-US" w:eastAsia="zh-CN"/>
              </w:rPr>
              <w:t>/</w:t>
            </w:r>
          </w:p>
        </w:tc>
        <w:tc>
          <w:tcPr>
            <w:tcW w:w="1701" w:type="dxa"/>
            <w:vAlign w:val="center"/>
          </w:tcPr>
          <w:p w14:paraId="224A49AF">
            <w:pPr>
              <w:pStyle w:val="41"/>
              <w:spacing w:beforeLines="0" w:afterLines="0" w:line="240" w:lineRule="auto"/>
              <w:jc w:val="left"/>
              <w:rPr>
                <w:rFonts w:hint="eastAsia" w:ascii="Times New Roman" w:hAnsi="Times New Roman" w:eastAsia="宋体" w:cs="Times New Roman"/>
                <w:b w:val="0"/>
                <w:bCs/>
                <w:snapToGrid w:val="0"/>
                <w:color w:val="auto"/>
                <w:kern w:val="21"/>
                <w:szCs w:val="21"/>
                <w:highlight w:val="none"/>
                <w:u w:val="single" w:color="auto"/>
                <w:lang w:val="en-US" w:eastAsia="zh-CN"/>
              </w:rPr>
            </w:pPr>
            <w:r>
              <w:rPr>
                <w:rFonts w:hint="eastAsia" w:ascii="Times New Roman" w:eastAsia="宋体" w:cs="Times New Roman"/>
                <w:b w:val="0"/>
                <w:bCs/>
                <w:snapToGrid w:val="0"/>
                <w:color w:val="auto"/>
                <w:kern w:val="21"/>
                <w:szCs w:val="21"/>
                <w:highlight w:val="none"/>
                <w:u w:val="single" w:color="auto"/>
                <w:lang w:val="en-US" w:eastAsia="zh-CN"/>
              </w:rPr>
              <w:t>/</w:t>
            </w:r>
          </w:p>
        </w:tc>
        <w:tc>
          <w:tcPr>
            <w:tcW w:w="1559" w:type="dxa"/>
            <w:vAlign w:val="center"/>
          </w:tcPr>
          <w:p w14:paraId="05FB5070">
            <w:pPr>
              <w:keepNext w:val="0"/>
              <w:keepLines w:val="0"/>
              <w:widowControl/>
              <w:suppressLineNumbers w:val="0"/>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1.27t/a</w:t>
            </w:r>
          </w:p>
        </w:tc>
        <w:tc>
          <w:tcPr>
            <w:tcW w:w="1463" w:type="dxa"/>
            <w:vAlign w:val="center"/>
          </w:tcPr>
          <w:p w14:paraId="18A7806C">
            <w:pPr>
              <w:pStyle w:val="41"/>
              <w:spacing w:beforeLines="0" w:afterLines="0" w:line="240" w:lineRule="auto"/>
              <w:jc w:val="left"/>
              <w:rPr>
                <w:rFonts w:hint="eastAsia" w:ascii="Times New Roman" w:hAnsi="Times New Roman" w:eastAsia="宋体" w:cs="Times New Roman"/>
                <w:b w:val="0"/>
                <w:bCs/>
                <w:snapToGrid w:val="0"/>
                <w:color w:val="auto"/>
                <w:kern w:val="21"/>
                <w:szCs w:val="21"/>
                <w:highlight w:val="none"/>
                <w:u w:val="single" w:color="auto"/>
                <w:lang w:val="en-US" w:eastAsia="zh-CN"/>
              </w:rPr>
            </w:pPr>
            <w:r>
              <w:rPr>
                <w:rFonts w:hint="eastAsia" w:ascii="Times New Roman" w:eastAsia="宋体" w:cs="Times New Roman"/>
                <w:b w:val="0"/>
                <w:bCs/>
                <w:snapToGrid w:val="0"/>
                <w:color w:val="auto"/>
                <w:kern w:val="21"/>
                <w:szCs w:val="21"/>
                <w:highlight w:val="none"/>
                <w:u w:val="single" w:color="auto"/>
                <w:lang w:val="en-US" w:eastAsia="zh-CN"/>
              </w:rPr>
              <w:t>/</w:t>
            </w:r>
          </w:p>
        </w:tc>
        <w:tc>
          <w:tcPr>
            <w:tcW w:w="1590" w:type="dxa"/>
            <w:vAlign w:val="center"/>
          </w:tcPr>
          <w:p w14:paraId="4D0DEBF1">
            <w:pPr>
              <w:keepNext w:val="0"/>
              <w:keepLines w:val="0"/>
              <w:widowControl/>
              <w:suppressLineNumbers w:val="0"/>
              <w:jc w:val="left"/>
              <w:textAlignment w:val="center"/>
              <w:rPr>
                <w:rFonts w:hint="default" w:ascii="Times New Roman" w:hAnsi="Times New Roman" w:eastAsia="宋体" w:cs="Times New Roman"/>
                <w:bCs/>
                <w:snapToGrid w:val="0"/>
                <w:color w:val="auto"/>
                <w:kern w:val="21"/>
                <w:szCs w:val="21"/>
                <w:highlight w:val="none"/>
                <w:u w:val="single" w:color="auto"/>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1.27t/a</w:t>
            </w:r>
          </w:p>
        </w:tc>
        <w:tc>
          <w:tcPr>
            <w:tcW w:w="1673" w:type="dxa"/>
            <w:vAlign w:val="center"/>
          </w:tcPr>
          <w:p w14:paraId="70FE71F5">
            <w:pPr>
              <w:keepNext w:val="0"/>
              <w:keepLines w:val="0"/>
              <w:widowControl/>
              <w:suppressLineNumbers w:val="0"/>
              <w:jc w:val="left"/>
              <w:textAlignment w:val="center"/>
              <w:rPr>
                <w:rFonts w:hint="default" w:ascii="Times New Roman" w:hAnsi="Times New Roman" w:eastAsia="宋体" w:cs="Times New Roman"/>
                <w:bCs/>
                <w:snapToGrid w:val="0"/>
                <w:color w:val="auto"/>
                <w:kern w:val="21"/>
                <w:szCs w:val="21"/>
                <w:highlight w:val="none"/>
                <w:u w:val="single" w:color="auto"/>
              </w:rPr>
            </w:pPr>
            <w:r>
              <w:rPr>
                <w:rFonts w:hint="eastAsia" w:cs="Times New Roman"/>
                <w:color w:val="auto"/>
                <w:sz w:val="21"/>
                <w:szCs w:val="21"/>
                <w:highlight w:val="none"/>
                <w:u w:val="single" w:color="auto"/>
                <w:lang w:val="en-US" w:eastAsia="zh-CN"/>
              </w:rPr>
              <w:t>+1.27t/a</w:t>
            </w:r>
          </w:p>
        </w:tc>
      </w:tr>
      <w:tr w14:paraId="1E5F5A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164" w:type="dxa"/>
            <w:vMerge w:val="restart"/>
            <w:vAlign w:val="center"/>
          </w:tcPr>
          <w:p w14:paraId="2BC7FB25">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r>
              <w:rPr>
                <w:rFonts w:hint="default" w:ascii="Times New Roman" w:hAnsi="Times New Roman" w:eastAsia="宋体" w:cs="Times New Roman"/>
                <w:b w:val="0"/>
                <w:bCs/>
                <w:snapToGrid w:val="0"/>
                <w:color w:val="auto"/>
                <w:kern w:val="21"/>
                <w:szCs w:val="21"/>
                <w:highlight w:val="none"/>
                <w:u w:val="single" w:color="auto"/>
              </w:rPr>
              <w:t>一般工业固体废物</w:t>
            </w:r>
          </w:p>
        </w:tc>
        <w:tc>
          <w:tcPr>
            <w:tcW w:w="1841" w:type="dxa"/>
            <w:vAlign w:val="center"/>
          </w:tcPr>
          <w:p w14:paraId="721D2F90">
            <w:pPr>
              <w:adjustRightInd w:val="0"/>
              <w:snapToGrid w:val="0"/>
              <w:jc w:val="left"/>
              <w:rPr>
                <w:rFonts w:hint="eastAsia" w:ascii="Times New Roman" w:hAnsi="Times New Roman" w:eastAsia="宋体" w:cs="Times New Roman"/>
                <w:b w:val="0"/>
                <w:bCs/>
                <w:color w:val="auto"/>
                <w:szCs w:val="21"/>
                <w:highlight w:val="none"/>
                <w:u w:val="single" w:color="auto"/>
                <w:lang w:val="en-US" w:eastAsia="zh-CN"/>
              </w:rPr>
            </w:pPr>
            <w:r>
              <w:rPr>
                <w:rFonts w:hint="eastAsia" w:ascii="Times New Roman" w:hAnsi="Times New Roman" w:eastAsia="宋体" w:cs="Times New Roman"/>
                <w:b w:val="0"/>
                <w:bCs/>
                <w:color w:val="auto"/>
                <w:szCs w:val="21"/>
                <w:highlight w:val="none"/>
                <w:u w:val="single" w:color="auto"/>
                <w:lang w:val="en-US" w:eastAsia="zh-CN"/>
              </w:rPr>
              <w:t>除尘灰</w:t>
            </w:r>
          </w:p>
        </w:tc>
        <w:tc>
          <w:tcPr>
            <w:tcW w:w="1701" w:type="dxa"/>
            <w:vAlign w:val="center"/>
          </w:tcPr>
          <w:p w14:paraId="504CB858">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276" w:type="dxa"/>
            <w:vAlign w:val="center"/>
          </w:tcPr>
          <w:p w14:paraId="054A5BCF">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701" w:type="dxa"/>
            <w:vAlign w:val="center"/>
          </w:tcPr>
          <w:p w14:paraId="5E3AEB6A">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559" w:type="dxa"/>
            <w:vAlign w:val="center"/>
          </w:tcPr>
          <w:p w14:paraId="6A9B3D36">
            <w:pPr>
              <w:keepNext w:val="0"/>
              <w:keepLines w:val="0"/>
              <w:widowControl/>
              <w:suppressLineNumbers w:val="0"/>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113.256t/a</w:t>
            </w:r>
          </w:p>
        </w:tc>
        <w:tc>
          <w:tcPr>
            <w:tcW w:w="1463" w:type="dxa"/>
            <w:vAlign w:val="center"/>
          </w:tcPr>
          <w:p w14:paraId="562613FA">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590" w:type="dxa"/>
            <w:vAlign w:val="center"/>
          </w:tcPr>
          <w:p w14:paraId="1373C893">
            <w:pPr>
              <w:keepNext w:val="0"/>
              <w:keepLines w:val="0"/>
              <w:widowControl/>
              <w:suppressLineNumbers w:val="0"/>
              <w:jc w:val="left"/>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113.256t/a</w:t>
            </w:r>
          </w:p>
        </w:tc>
        <w:tc>
          <w:tcPr>
            <w:tcW w:w="1673" w:type="dxa"/>
            <w:vAlign w:val="center"/>
          </w:tcPr>
          <w:p w14:paraId="24BF4E73">
            <w:pPr>
              <w:keepNext w:val="0"/>
              <w:keepLines w:val="0"/>
              <w:widowControl/>
              <w:suppressLineNumbers w:val="0"/>
              <w:jc w:val="left"/>
              <w:textAlignment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color w:val="auto"/>
                <w:sz w:val="21"/>
                <w:szCs w:val="21"/>
                <w:highlight w:val="none"/>
                <w:u w:val="single" w:color="auto"/>
                <w:lang w:val="en-US" w:eastAsia="zh-CN"/>
              </w:rPr>
              <w:t>+113.256t/a</w:t>
            </w:r>
          </w:p>
        </w:tc>
      </w:tr>
      <w:tr w14:paraId="0410EF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64" w:type="dxa"/>
            <w:vMerge w:val="continue"/>
            <w:vAlign w:val="center"/>
          </w:tcPr>
          <w:p w14:paraId="5035275F">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p>
        </w:tc>
        <w:tc>
          <w:tcPr>
            <w:tcW w:w="1841" w:type="dxa"/>
            <w:vAlign w:val="center"/>
          </w:tcPr>
          <w:p w14:paraId="30F351F0">
            <w:pPr>
              <w:adjustRightInd w:val="0"/>
              <w:snapToGrid w:val="0"/>
              <w:jc w:val="left"/>
              <w:rPr>
                <w:rFonts w:hint="default" w:ascii="Times New Roman" w:hAnsi="Times New Roman" w:eastAsia="宋体" w:cs="Times New Roman"/>
                <w:b w:val="0"/>
                <w:bCs/>
                <w:color w:val="auto"/>
                <w:szCs w:val="21"/>
                <w:highlight w:val="none"/>
                <w:u w:val="single" w:color="auto"/>
                <w:lang w:val="en-US" w:eastAsia="zh-CN"/>
              </w:rPr>
            </w:pPr>
            <w:r>
              <w:rPr>
                <w:rFonts w:hint="eastAsia" w:ascii="Times New Roman" w:hAnsi="Times New Roman" w:eastAsia="宋体" w:cs="Times New Roman"/>
                <w:b w:val="0"/>
                <w:bCs/>
                <w:color w:val="auto"/>
                <w:szCs w:val="21"/>
                <w:highlight w:val="none"/>
                <w:u w:val="single" w:color="auto"/>
                <w:lang w:val="en-US" w:eastAsia="zh-CN"/>
              </w:rPr>
              <w:t>炉渣</w:t>
            </w:r>
          </w:p>
        </w:tc>
        <w:tc>
          <w:tcPr>
            <w:tcW w:w="1701" w:type="dxa"/>
            <w:vAlign w:val="center"/>
          </w:tcPr>
          <w:p w14:paraId="57826632">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276" w:type="dxa"/>
            <w:vAlign w:val="center"/>
          </w:tcPr>
          <w:p w14:paraId="54674402">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701" w:type="dxa"/>
            <w:vAlign w:val="center"/>
          </w:tcPr>
          <w:p w14:paraId="2741A4DC">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559" w:type="dxa"/>
            <w:vAlign w:val="center"/>
          </w:tcPr>
          <w:p w14:paraId="3BB9B6A3">
            <w:pPr>
              <w:keepNext w:val="0"/>
              <w:keepLines w:val="0"/>
              <w:widowControl/>
              <w:suppressLineNumbers w:val="0"/>
              <w:jc w:val="left"/>
              <w:textAlignment w:val="center"/>
              <w:rPr>
                <w:rFonts w:hint="default" w:ascii="Times New Roman" w:hAnsi="Times New Roman" w:eastAsia="宋体" w:cs="Times New Roman"/>
                <w:color w:val="auto"/>
                <w:sz w:val="21"/>
                <w:szCs w:val="21"/>
                <w:highlight w:val="yellow"/>
                <w:u w:val="single" w:color="auto"/>
                <w:lang w:val="en-US" w:eastAsia="zh-CN"/>
              </w:rPr>
            </w:pPr>
            <w:r>
              <w:rPr>
                <w:rFonts w:hint="eastAsia" w:cs="Times New Roman"/>
                <w:i w:val="0"/>
                <w:iCs w:val="0"/>
                <w:color w:val="auto"/>
                <w:kern w:val="0"/>
                <w:sz w:val="21"/>
                <w:szCs w:val="21"/>
                <w:highlight w:val="yellow"/>
                <w:u w:val="single" w:color="auto"/>
                <w:lang w:val="en-US" w:eastAsia="zh-CN" w:bidi="ar"/>
              </w:rPr>
              <w:t>96.104</w:t>
            </w:r>
            <w:r>
              <w:rPr>
                <w:rFonts w:hint="default" w:ascii="Times New Roman" w:hAnsi="Times New Roman" w:eastAsia="宋体" w:cs="Times New Roman"/>
                <w:i w:val="0"/>
                <w:iCs w:val="0"/>
                <w:color w:val="auto"/>
                <w:kern w:val="0"/>
                <w:sz w:val="21"/>
                <w:szCs w:val="21"/>
                <w:highlight w:val="yellow"/>
                <w:u w:val="single" w:color="auto"/>
                <w:lang w:val="en-US" w:eastAsia="zh-CN" w:bidi="ar"/>
              </w:rPr>
              <w:t>t/a</w:t>
            </w:r>
          </w:p>
        </w:tc>
        <w:tc>
          <w:tcPr>
            <w:tcW w:w="1463" w:type="dxa"/>
            <w:vAlign w:val="center"/>
          </w:tcPr>
          <w:p w14:paraId="517BA26B">
            <w:pPr>
              <w:adjustRightInd w:val="0"/>
              <w:snapToGrid w:val="0"/>
              <w:jc w:val="left"/>
              <w:rPr>
                <w:rFonts w:hint="default" w:ascii="Times New Roman" w:hAnsi="Times New Roman" w:eastAsia="宋体" w:cs="Times New Roman"/>
                <w:bCs/>
                <w:color w:val="auto"/>
                <w:szCs w:val="21"/>
                <w:highlight w:val="yellow"/>
                <w:u w:val="single" w:color="auto"/>
                <w:lang w:val="en-US" w:eastAsia="zh-CN"/>
              </w:rPr>
            </w:pPr>
            <w:r>
              <w:rPr>
                <w:rFonts w:hint="default" w:ascii="Times New Roman" w:hAnsi="Times New Roman" w:eastAsia="宋体" w:cs="Times New Roman"/>
                <w:bCs/>
                <w:color w:val="auto"/>
                <w:szCs w:val="21"/>
                <w:highlight w:val="yellow"/>
                <w:u w:val="single" w:color="auto"/>
                <w:lang w:val="en-US" w:eastAsia="zh-CN"/>
              </w:rPr>
              <w:t>/</w:t>
            </w:r>
          </w:p>
        </w:tc>
        <w:tc>
          <w:tcPr>
            <w:tcW w:w="1590" w:type="dxa"/>
            <w:vAlign w:val="center"/>
          </w:tcPr>
          <w:p w14:paraId="2AB8AFF0">
            <w:pPr>
              <w:keepNext w:val="0"/>
              <w:keepLines w:val="0"/>
              <w:widowControl/>
              <w:suppressLineNumbers w:val="0"/>
              <w:jc w:val="left"/>
              <w:textAlignment w:val="center"/>
              <w:rPr>
                <w:rFonts w:hint="default" w:ascii="Times New Roman" w:hAnsi="Times New Roman" w:eastAsia="宋体" w:cs="Times New Roman"/>
                <w:bCs/>
                <w:color w:val="auto"/>
                <w:szCs w:val="21"/>
                <w:highlight w:val="yellow"/>
                <w:u w:val="single" w:color="auto"/>
                <w:lang w:val="en-US" w:eastAsia="zh-CN"/>
              </w:rPr>
            </w:pPr>
            <w:r>
              <w:rPr>
                <w:rFonts w:hint="eastAsia" w:cs="Times New Roman"/>
                <w:i w:val="0"/>
                <w:iCs w:val="0"/>
                <w:color w:val="auto"/>
                <w:kern w:val="0"/>
                <w:sz w:val="21"/>
                <w:szCs w:val="21"/>
                <w:highlight w:val="yellow"/>
                <w:u w:val="single" w:color="auto"/>
                <w:lang w:val="en-US" w:eastAsia="zh-CN" w:bidi="ar"/>
              </w:rPr>
              <w:t>96.104</w:t>
            </w:r>
            <w:r>
              <w:rPr>
                <w:rFonts w:hint="default" w:ascii="Times New Roman" w:hAnsi="Times New Roman" w:eastAsia="宋体" w:cs="Times New Roman"/>
                <w:i w:val="0"/>
                <w:iCs w:val="0"/>
                <w:color w:val="auto"/>
                <w:kern w:val="0"/>
                <w:sz w:val="21"/>
                <w:szCs w:val="21"/>
                <w:highlight w:val="yellow"/>
                <w:u w:val="single" w:color="auto"/>
                <w:lang w:val="en-US" w:eastAsia="zh-CN" w:bidi="ar"/>
              </w:rPr>
              <w:t>t/a</w:t>
            </w:r>
          </w:p>
        </w:tc>
        <w:tc>
          <w:tcPr>
            <w:tcW w:w="1673" w:type="dxa"/>
            <w:vAlign w:val="center"/>
          </w:tcPr>
          <w:p w14:paraId="11170F1D">
            <w:pPr>
              <w:keepNext w:val="0"/>
              <w:keepLines w:val="0"/>
              <w:widowControl/>
              <w:suppressLineNumbers w:val="0"/>
              <w:jc w:val="left"/>
              <w:textAlignment w:val="center"/>
              <w:rPr>
                <w:rFonts w:hint="default" w:ascii="Times New Roman" w:hAnsi="Times New Roman" w:eastAsia="宋体" w:cs="Times New Roman"/>
                <w:bCs/>
                <w:color w:val="auto"/>
                <w:szCs w:val="21"/>
                <w:highlight w:val="yellow"/>
                <w:u w:val="single" w:color="auto"/>
                <w:lang w:val="en-US" w:eastAsia="zh-CN"/>
              </w:rPr>
            </w:pPr>
            <w:r>
              <w:rPr>
                <w:rFonts w:hint="eastAsia" w:cs="Times New Roman"/>
                <w:color w:val="auto"/>
                <w:sz w:val="21"/>
                <w:szCs w:val="21"/>
                <w:highlight w:val="yellow"/>
                <w:u w:val="single" w:color="auto"/>
                <w:lang w:val="en-US" w:eastAsia="zh-CN"/>
              </w:rPr>
              <w:t>+96.104t/a</w:t>
            </w:r>
          </w:p>
        </w:tc>
      </w:tr>
      <w:tr w14:paraId="3E8A7F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64" w:type="dxa"/>
            <w:vMerge w:val="continue"/>
            <w:vAlign w:val="center"/>
          </w:tcPr>
          <w:p w14:paraId="3A2336EA">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p>
        </w:tc>
        <w:tc>
          <w:tcPr>
            <w:tcW w:w="1841" w:type="dxa"/>
            <w:vAlign w:val="center"/>
          </w:tcPr>
          <w:p w14:paraId="34DEE2EE">
            <w:pPr>
              <w:adjustRightInd w:val="0"/>
              <w:snapToGrid w:val="0"/>
              <w:jc w:val="left"/>
              <w:rPr>
                <w:rFonts w:hint="eastAsia" w:ascii="Times New Roman" w:hAnsi="Times New Roman" w:eastAsia="宋体" w:cs="Times New Roman"/>
                <w:b w:val="0"/>
                <w:bCs/>
                <w:color w:val="auto"/>
                <w:szCs w:val="21"/>
                <w:highlight w:val="none"/>
                <w:u w:val="single" w:color="auto"/>
                <w:lang w:val="en-US" w:eastAsia="zh-CN"/>
              </w:rPr>
            </w:pPr>
            <w:r>
              <w:rPr>
                <w:rFonts w:hint="eastAsia" w:ascii="Times New Roman" w:hAnsi="Times New Roman" w:eastAsia="宋体" w:cs="Times New Roman"/>
                <w:b w:val="0"/>
                <w:bCs/>
                <w:color w:val="auto"/>
                <w:szCs w:val="21"/>
                <w:highlight w:val="none"/>
                <w:u w:val="single" w:color="auto"/>
                <w:lang w:val="en-US" w:eastAsia="zh-CN"/>
              </w:rPr>
              <w:t>废布袋</w:t>
            </w:r>
          </w:p>
        </w:tc>
        <w:tc>
          <w:tcPr>
            <w:tcW w:w="1701" w:type="dxa"/>
            <w:vAlign w:val="center"/>
          </w:tcPr>
          <w:p w14:paraId="04020A3C">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276" w:type="dxa"/>
            <w:vAlign w:val="center"/>
          </w:tcPr>
          <w:p w14:paraId="17127D6E">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701" w:type="dxa"/>
            <w:vAlign w:val="center"/>
          </w:tcPr>
          <w:p w14:paraId="3C7F2C4C">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559" w:type="dxa"/>
            <w:vAlign w:val="center"/>
          </w:tcPr>
          <w:p w14:paraId="052D394B">
            <w:pPr>
              <w:keepNext w:val="0"/>
              <w:keepLines w:val="0"/>
              <w:widowControl/>
              <w:suppressLineNumbers w:val="0"/>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0.1t/a</w:t>
            </w:r>
          </w:p>
        </w:tc>
        <w:tc>
          <w:tcPr>
            <w:tcW w:w="1463" w:type="dxa"/>
            <w:vAlign w:val="center"/>
          </w:tcPr>
          <w:p w14:paraId="130A9219">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590" w:type="dxa"/>
            <w:vAlign w:val="center"/>
          </w:tcPr>
          <w:p w14:paraId="4F1B8C9B">
            <w:pPr>
              <w:keepNext w:val="0"/>
              <w:keepLines w:val="0"/>
              <w:widowControl/>
              <w:suppressLineNumbers w:val="0"/>
              <w:jc w:val="left"/>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0.1t/a</w:t>
            </w:r>
          </w:p>
        </w:tc>
        <w:tc>
          <w:tcPr>
            <w:tcW w:w="1673" w:type="dxa"/>
            <w:vAlign w:val="center"/>
          </w:tcPr>
          <w:p w14:paraId="3455CCCD">
            <w:pPr>
              <w:keepNext w:val="0"/>
              <w:keepLines w:val="0"/>
              <w:widowControl/>
              <w:suppressLineNumbers w:val="0"/>
              <w:jc w:val="left"/>
              <w:textAlignment w:val="center"/>
              <w:rPr>
                <w:rFonts w:hint="default" w:ascii="Times New Roman" w:hAnsi="Times New Roman" w:eastAsia="宋体" w:cs="Times New Roman"/>
                <w:bCs/>
                <w:color w:val="auto"/>
                <w:szCs w:val="21"/>
                <w:highlight w:val="none"/>
                <w:u w:val="single" w:color="auto"/>
                <w:lang w:val="en-US" w:eastAsia="zh-CN"/>
              </w:rPr>
            </w:pPr>
            <w:r>
              <w:rPr>
                <w:rFonts w:hint="eastAsia" w:cs="Times New Roman"/>
                <w:color w:val="auto"/>
                <w:sz w:val="21"/>
                <w:szCs w:val="21"/>
                <w:highlight w:val="none"/>
                <w:u w:val="single" w:color="auto"/>
                <w:lang w:val="en-US" w:eastAsia="zh-CN"/>
              </w:rPr>
              <w:t>+</w:t>
            </w:r>
            <w:r>
              <w:rPr>
                <w:rFonts w:hint="eastAsia" w:ascii="Times New Roman" w:hAnsi="Times New Roman" w:eastAsia="宋体" w:cs="Times New Roman"/>
                <w:color w:val="auto"/>
                <w:sz w:val="21"/>
                <w:szCs w:val="21"/>
                <w:highlight w:val="none"/>
                <w:u w:val="single" w:color="auto"/>
                <w:lang w:val="en-US" w:eastAsia="zh-CN"/>
              </w:rPr>
              <w:t>0.1</w:t>
            </w:r>
            <w:r>
              <w:rPr>
                <w:rFonts w:hint="eastAsia" w:cs="Times New Roman"/>
                <w:color w:val="auto"/>
                <w:sz w:val="21"/>
                <w:szCs w:val="21"/>
                <w:highlight w:val="none"/>
                <w:u w:val="single" w:color="auto"/>
                <w:lang w:val="en-US" w:eastAsia="zh-CN"/>
              </w:rPr>
              <w:t>t/a</w:t>
            </w:r>
          </w:p>
        </w:tc>
      </w:tr>
      <w:tr w14:paraId="49E1A0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64" w:type="dxa"/>
            <w:vMerge w:val="continue"/>
            <w:vAlign w:val="center"/>
          </w:tcPr>
          <w:p w14:paraId="57E04EDC">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p>
        </w:tc>
        <w:tc>
          <w:tcPr>
            <w:tcW w:w="1841" w:type="dxa"/>
            <w:vAlign w:val="center"/>
          </w:tcPr>
          <w:p w14:paraId="656A88EA">
            <w:pPr>
              <w:adjustRightInd w:val="0"/>
              <w:snapToGrid w:val="0"/>
              <w:jc w:val="left"/>
              <w:rPr>
                <w:rFonts w:hint="eastAsia" w:ascii="Times New Roman" w:hAnsi="Times New Roman" w:eastAsia="宋体" w:cs="Times New Roman"/>
                <w:b w:val="0"/>
                <w:bCs/>
                <w:color w:val="auto"/>
                <w:szCs w:val="21"/>
                <w:highlight w:val="none"/>
                <w:u w:val="single" w:color="auto"/>
                <w:lang w:val="en-US" w:eastAsia="zh-CN"/>
              </w:rPr>
            </w:pPr>
            <w:r>
              <w:rPr>
                <w:rFonts w:hint="default" w:ascii="Times New Roman" w:hAnsi="Times New Roman" w:eastAsia="宋体" w:cs="Times New Roman"/>
                <w:b w:val="0"/>
                <w:bCs/>
                <w:color w:val="auto"/>
                <w:szCs w:val="21"/>
                <w:highlight w:val="none"/>
                <w:u w:val="single" w:color="auto"/>
                <w:lang w:val="en-US" w:eastAsia="zh-CN"/>
              </w:rPr>
              <w:t>原粮杂质</w:t>
            </w:r>
          </w:p>
        </w:tc>
        <w:tc>
          <w:tcPr>
            <w:tcW w:w="1701" w:type="dxa"/>
            <w:shd w:val="clear" w:color="auto" w:fill="auto"/>
            <w:vAlign w:val="center"/>
          </w:tcPr>
          <w:p w14:paraId="5DAA929F">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p>
        </w:tc>
        <w:tc>
          <w:tcPr>
            <w:tcW w:w="1276" w:type="dxa"/>
            <w:shd w:val="clear" w:color="auto" w:fill="auto"/>
            <w:vAlign w:val="center"/>
          </w:tcPr>
          <w:p w14:paraId="10183BB0">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p>
        </w:tc>
        <w:tc>
          <w:tcPr>
            <w:tcW w:w="1701" w:type="dxa"/>
            <w:shd w:val="clear" w:color="auto" w:fill="auto"/>
            <w:vAlign w:val="center"/>
          </w:tcPr>
          <w:p w14:paraId="481883A6">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p>
        </w:tc>
        <w:tc>
          <w:tcPr>
            <w:tcW w:w="1559" w:type="dxa"/>
            <w:vAlign w:val="center"/>
          </w:tcPr>
          <w:p w14:paraId="6B775D18">
            <w:pPr>
              <w:keepNext w:val="0"/>
              <w:keepLines w:val="0"/>
              <w:widowControl/>
              <w:suppressLineNumbers w:val="0"/>
              <w:jc w:val="left"/>
              <w:textAlignment w:val="center"/>
              <w:rPr>
                <w:rFonts w:hint="default" w:ascii="Times New Roman" w:hAnsi="Times New Roman" w:eastAsia="宋体" w:cs="Times New Roman"/>
                <w:color w:val="auto"/>
                <w:sz w:val="21"/>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1.01</w:t>
            </w:r>
            <w:r>
              <w:rPr>
                <w:rFonts w:hint="eastAsia" w:eastAsia="宋体" w:cs="Times New Roman"/>
                <w:i w:val="0"/>
                <w:iCs w:val="0"/>
                <w:color w:val="auto"/>
                <w:kern w:val="0"/>
                <w:sz w:val="21"/>
                <w:szCs w:val="21"/>
                <w:highlight w:val="none"/>
                <w:u w:val="single" w:color="auto"/>
                <w:lang w:val="en-US" w:eastAsia="zh-CN" w:bidi="ar"/>
              </w:rPr>
              <w:t>4</w:t>
            </w:r>
            <w:r>
              <w:rPr>
                <w:rFonts w:hint="default" w:ascii="Times New Roman" w:hAnsi="Times New Roman" w:eastAsia="宋体" w:cs="Times New Roman"/>
                <w:i w:val="0"/>
                <w:iCs w:val="0"/>
                <w:color w:val="auto"/>
                <w:kern w:val="0"/>
                <w:sz w:val="21"/>
                <w:szCs w:val="21"/>
                <w:highlight w:val="none"/>
                <w:u w:val="single" w:color="auto"/>
                <w:lang w:val="en-US" w:eastAsia="zh-CN" w:bidi="ar"/>
              </w:rPr>
              <w:t>t/a</w:t>
            </w:r>
          </w:p>
        </w:tc>
        <w:tc>
          <w:tcPr>
            <w:tcW w:w="1463" w:type="dxa"/>
            <w:vAlign w:val="center"/>
          </w:tcPr>
          <w:p w14:paraId="08679189">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p>
        </w:tc>
        <w:tc>
          <w:tcPr>
            <w:tcW w:w="1590" w:type="dxa"/>
            <w:vAlign w:val="center"/>
          </w:tcPr>
          <w:p w14:paraId="7A5F78A4">
            <w:pPr>
              <w:keepNext w:val="0"/>
              <w:keepLines w:val="0"/>
              <w:widowControl/>
              <w:suppressLineNumbers w:val="0"/>
              <w:jc w:val="left"/>
              <w:textAlignment w:val="center"/>
              <w:rPr>
                <w:rFonts w:hint="eastAsia"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1.01</w:t>
            </w:r>
            <w:r>
              <w:rPr>
                <w:rFonts w:hint="eastAsia" w:eastAsia="宋体" w:cs="Times New Roman"/>
                <w:i w:val="0"/>
                <w:iCs w:val="0"/>
                <w:color w:val="auto"/>
                <w:kern w:val="0"/>
                <w:sz w:val="21"/>
                <w:szCs w:val="21"/>
                <w:highlight w:val="none"/>
                <w:u w:val="single" w:color="auto"/>
                <w:lang w:val="en-US" w:eastAsia="zh-CN" w:bidi="ar"/>
              </w:rPr>
              <w:t>4</w:t>
            </w:r>
            <w:r>
              <w:rPr>
                <w:rFonts w:hint="default" w:ascii="Times New Roman" w:hAnsi="Times New Roman" w:eastAsia="宋体" w:cs="Times New Roman"/>
                <w:i w:val="0"/>
                <w:iCs w:val="0"/>
                <w:color w:val="auto"/>
                <w:kern w:val="0"/>
                <w:sz w:val="21"/>
                <w:szCs w:val="21"/>
                <w:highlight w:val="none"/>
                <w:u w:val="single" w:color="auto"/>
                <w:lang w:val="en-US" w:eastAsia="zh-CN" w:bidi="ar"/>
              </w:rPr>
              <w:t>t/a</w:t>
            </w:r>
          </w:p>
        </w:tc>
        <w:tc>
          <w:tcPr>
            <w:tcW w:w="1673" w:type="dxa"/>
            <w:vAlign w:val="center"/>
          </w:tcPr>
          <w:p w14:paraId="7F77C6D4">
            <w:pPr>
              <w:keepNext w:val="0"/>
              <w:keepLines w:val="0"/>
              <w:widowControl/>
              <w:suppressLineNumbers w:val="0"/>
              <w:jc w:val="left"/>
              <w:textAlignment w:val="center"/>
              <w:rPr>
                <w:rFonts w:hint="eastAsia" w:cs="Times New Roman"/>
                <w:i w:val="0"/>
                <w:iCs w:val="0"/>
                <w:color w:val="auto"/>
                <w:kern w:val="0"/>
                <w:sz w:val="21"/>
                <w:szCs w:val="21"/>
                <w:highlight w:val="none"/>
                <w:u w:val="single" w:color="auto"/>
                <w:lang w:val="en-US" w:eastAsia="zh-CN" w:bidi="ar"/>
              </w:rPr>
            </w:pPr>
            <w:r>
              <w:rPr>
                <w:rFonts w:hint="eastAsia" w:cs="Times New Roman"/>
                <w:color w:val="auto"/>
                <w:sz w:val="21"/>
                <w:szCs w:val="21"/>
                <w:highlight w:val="none"/>
                <w:u w:val="single" w:color="auto"/>
                <w:lang w:val="en-US" w:eastAsia="zh-CN"/>
              </w:rPr>
              <w:t>+1.014t/a</w:t>
            </w:r>
          </w:p>
        </w:tc>
      </w:tr>
      <w:tr w14:paraId="54547F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64" w:type="dxa"/>
            <w:vMerge w:val="continue"/>
            <w:vAlign w:val="center"/>
          </w:tcPr>
          <w:p w14:paraId="3D72AE5E">
            <w:pPr>
              <w:pStyle w:val="41"/>
              <w:spacing w:beforeLines="0" w:afterLines="0" w:line="240" w:lineRule="auto"/>
              <w:rPr>
                <w:rFonts w:hint="default" w:ascii="Times New Roman" w:hAnsi="Times New Roman" w:eastAsia="宋体" w:cs="Times New Roman"/>
                <w:b w:val="0"/>
                <w:bCs/>
                <w:snapToGrid w:val="0"/>
                <w:color w:val="auto"/>
                <w:kern w:val="21"/>
                <w:szCs w:val="21"/>
                <w:highlight w:val="none"/>
                <w:u w:val="single" w:color="auto"/>
              </w:rPr>
            </w:pPr>
          </w:p>
        </w:tc>
        <w:tc>
          <w:tcPr>
            <w:tcW w:w="1841" w:type="dxa"/>
            <w:vAlign w:val="center"/>
          </w:tcPr>
          <w:p w14:paraId="2B87CDEA">
            <w:pPr>
              <w:adjustRightInd w:val="0"/>
              <w:snapToGrid w:val="0"/>
              <w:jc w:val="left"/>
              <w:rPr>
                <w:rFonts w:hint="eastAsia" w:ascii="Times New Roman" w:hAnsi="Times New Roman" w:eastAsia="宋体" w:cs="Times New Roman"/>
                <w:bCs/>
                <w:color w:val="auto"/>
                <w:szCs w:val="21"/>
                <w:highlight w:val="none"/>
                <w:u w:val="single" w:color="auto"/>
                <w:lang w:val="en-US" w:eastAsia="zh-CN"/>
              </w:rPr>
            </w:pPr>
            <w:r>
              <w:rPr>
                <w:rFonts w:hint="eastAsia" w:cs="Times New Roman"/>
                <w:bCs/>
                <w:color w:val="auto"/>
                <w:szCs w:val="21"/>
                <w:highlight w:val="none"/>
                <w:u w:val="single" w:color="auto"/>
                <w:lang w:val="en-US" w:eastAsia="zh-CN"/>
              </w:rPr>
              <w:t>烘干截流粉尘</w:t>
            </w:r>
          </w:p>
        </w:tc>
        <w:tc>
          <w:tcPr>
            <w:tcW w:w="1701" w:type="dxa"/>
            <w:shd w:val="clear" w:color="auto" w:fill="auto"/>
            <w:vAlign w:val="center"/>
          </w:tcPr>
          <w:p w14:paraId="69E2F53D">
            <w:pPr>
              <w:adjustRightInd w:val="0"/>
              <w:snapToGrid w:val="0"/>
              <w:jc w:val="left"/>
              <w:rPr>
                <w:rFonts w:hint="default" w:ascii="Times New Roman" w:hAnsi="Times New Roman" w:eastAsia="宋体" w:cs="Times New Roman"/>
                <w:bCs/>
                <w:color w:val="auto"/>
                <w:kern w:val="2"/>
                <w:sz w:val="21"/>
                <w:szCs w:val="21"/>
                <w:highlight w:val="none"/>
                <w:u w:val="single" w:color="auto"/>
                <w:lang w:val="en-US" w:eastAsia="zh-CN" w:bidi="ar-SA"/>
              </w:rPr>
            </w:pPr>
            <w:r>
              <w:rPr>
                <w:rFonts w:hint="default" w:ascii="Times New Roman" w:hAnsi="Times New Roman" w:eastAsia="宋体" w:cs="Times New Roman"/>
                <w:bCs/>
                <w:color w:val="auto"/>
                <w:szCs w:val="21"/>
                <w:highlight w:val="none"/>
                <w:u w:val="single" w:color="auto"/>
                <w:lang w:val="en-US" w:eastAsia="zh-CN"/>
              </w:rPr>
              <w:t>/</w:t>
            </w:r>
          </w:p>
        </w:tc>
        <w:tc>
          <w:tcPr>
            <w:tcW w:w="1276" w:type="dxa"/>
            <w:shd w:val="clear" w:color="auto" w:fill="auto"/>
            <w:vAlign w:val="center"/>
          </w:tcPr>
          <w:p w14:paraId="21674066">
            <w:pPr>
              <w:adjustRightInd w:val="0"/>
              <w:snapToGrid w:val="0"/>
              <w:jc w:val="left"/>
              <w:rPr>
                <w:rFonts w:hint="default" w:ascii="Times New Roman" w:hAnsi="Times New Roman" w:eastAsia="宋体" w:cs="Times New Roman"/>
                <w:bCs/>
                <w:color w:val="auto"/>
                <w:kern w:val="2"/>
                <w:sz w:val="21"/>
                <w:szCs w:val="21"/>
                <w:highlight w:val="none"/>
                <w:u w:val="single" w:color="auto"/>
                <w:lang w:val="en-US" w:eastAsia="zh-CN" w:bidi="ar-SA"/>
              </w:rPr>
            </w:pPr>
            <w:r>
              <w:rPr>
                <w:rFonts w:hint="default" w:ascii="Times New Roman" w:hAnsi="Times New Roman" w:eastAsia="宋体" w:cs="Times New Roman"/>
                <w:bCs/>
                <w:color w:val="auto"/>
                <w:szCs w:val="21"/>
                <w:highlight w:val="none"/>
                <w:u w:val="single" w:color="auto"/>
                <w:lang w:val="en-US" w:eastAsia="zh-CN"/>
              </w:rPr>
              <w:t>/</w:t>
            </w:r>
          </w:p>
        </w:tc>
        <w:tc>
          <w:tcPr>
            <w:tcW w:w="1701" w:type="dxa"/>
            <w:shd w:val="clear" w:color="auto" w:fill="auto"/>
            <w:vAlign w:val="center"/>
          </w:tcPr>
          <w:p w14:paraId="37AFBA60">
            <w:pPr>
              <w:adjustRightInd w:val="0"/>
              <w:snapToGrid w:val="0"/>
              <w:jc w:val="left"/>
              <w:rPr>
                <w:rFonts w:hint="default" w:ascii="Times New Roman" w:hAnsi="Times New Roman" w:eastAsia="宋体" w:cs="Times New Roman"/>
                <w:bCs/>
                <w:color w:val="auto"/>
                <w:kern w:val="2"/>
                <w:sz w:val="21"/>
                <w:szCs w:val="21"/>
                <w:highlight w:val="none"/>
                <w:u w:val="single" w:color="auto"/>
                <w:lang w:val="en-US" w:eastAsia="zh-CN" w:bidi="ar-SA"/>
              </w:rPr>
            </w:pPr>
            <w:r>
              <w:rPr>
                <w:rFonts w:hint="default" w:ascii="Times New Roman" w:hAnsi="Times New Roman" w:eastAsia="宋体" w:cs="Times New Roman"/>
                <w:bCs/>
                <w:color w:val="auto"/>
                <w:szCs w:val="21"/>
                <w:highlight w:val="none"/>
                <w:u w:val="single" w:color="auto"/>
                <w:lang w:val="en-US" w:eastAsia="zh-CN"/>
              </w:rPr>
              <w:t>/</w:t>
            </w:r>
          </w:p>
        </w:tc>
        <w:tc>
          <w:tcPr>
            <w:tcW w:w="1559" w:type="dxa"/>
            <w:vAlign w:val="center"/>
          </w:tcPr>
          <w:p w14:paraId="76C25E2A">
            <w:pPr>
              <w:keepNext w:val="0"/>
              <w:keepLines w:val="0"/>
              <w:widowControl/>
              <w:suppressLineNumbers w:val="0"/>
              <w:jc w:val="left"/>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2.477t/a</w:t>
            </w:r>
          </w:p>
        </w:tc>
        <w:tc>
          <w:tcPr>
            <w:tcW w:w="1463" w:type="dxa"/>
            <w:vAlign w:val="center"/>
          </w:tcPr>
          <w:p w14:paraId="21B284E2">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bCs/>
                <w:color w:val="auto"/>
                <w:szCs w:val="21"/>
                <w:highlight w:val="none"/>
                <w:u w:val="single" w:color="auto"/>
                <w:lang w:val="en-US" w:eastAsia="zh-CN"/>
              </w:rPr>
              <w:t>/</w:t>
            </w:r>
          </w:p>
        </w:tc>
        <w:tc>
          <w:tcPr>
            <w:tcW w:w="1590" w:type="dxa"/>
            <w:vAlign w:val="center"/>
          </w:tcPr>
          <w:p w14:paraId="2ADD8F86">
            <w:pPr>
              <w:keepNext w:val="0"/>
              <w:keepLines w:val="0"/>
              <w:widowControl/>
              <w:suppressLineNumbers w:val="0"/>
              <w:jc w:val="left"/>
              <w:textAlignment w:val="center"/>
              <w:rPr>
                <w:rFonts w:hint="default" w:ascii="Times New Roman" w:hAnsi="Times New Roman" w:eastAsia="宋体" w:cs="Times New Roman"/>
                <w:bCs/>
                <w:color w:val="auto"/>
                <w:szCs w:val="21"/>
                <w:highlight w:val="none"/>
                <w:u w:val="single" w:color="auto"/>
                <w:lang w:val="en-US" w:eastAsia="zh-CN"/>
              </w:rPr>
            </w:pPr>
            <w:r>
              <w:rPr>
                <w:rFonts w:hint="default" w:ascii="Times New Roman" w:hAnsi="Times New Roman" w:eastAsia="宋体" w:cs="Times New Roman"/>
                <w:i w:val="0"/>
                <w:iCs w:val="0"/>
                <w:color w:val="auto"/>
                <w:kern w:val="0"/>
                <w:sz w:val="21"/>
                <w:szCs w:val="21"/>
                <w:highlight w:val="none"/>
                <w:u w:val="single" w:color="auto"/>
                <w:lang w:val="en-US" w:eastAsia="zh-CN" w:bidi="ar"/>
              </w:rPr>
              <w:t>2.477t/a</w:t>
            </w:r>
          </w:p>
        </w:tc>
        <w:tc>
          <w:tcPr>
            <w:tcW w:w="1673" w:type="dxa"/>
            <w:vAlign w:val="center"/>
          </w:tcPr>
          <w:p w14:paraId="338276AC">
            <w:pPr>
              <w:adjustRightInd w:val="0"/>
              <w:snapToGrid w:val="0"/>
              <w:jc w:val="left"/>
              <w:rPr>
                <w:rFonts w:hint="default" w:ascii="Times New Roman" w:hAnsi="Times New Roman" w:eastAsia="宋体" w:cs="Times New Roman"/>
                <w:bCs/>
                <w:color w:val="auto"/>
                <w:szCs w:val="21"/>
                <w:highlight w:val="none"/>
                <w:u w:val="single" w:color="auto"/>
                <w:lang w:val="en-US" w:eastAsia="zh-CN"/>
              </w:rPr>
            </w:pPr>
            <w:r>
              <w:rPr>
                <w:rFonts w:hint="eastAsia" w:cs="Times New Roman"/>
                <w:color w:val="auto"/>
                <w:sz w:val="21"/>
                <w:szCs w:val="21"/>
                <w:highlight w:val="none"/>
                <w:u w:val="single" w:color="auto"/>
                <w:lang w:val="en-US" w:eastAsia="zh-CN"/>
              </w:rPr>
              <w:t>+</w:t>
            </w:r>
            <w:r>
              <w:rPr>
                <w:rFonts w:hint="eastAsia" w:cs="Times New Roman"/>
                <w:bCs/>
                <w:color w:val="auto"/>
                <w:szCs w:val="21"/>
                <w:highlight w:val="none"/>
                <w:u w:val="single" w:color="auto"/>
                <w:lang w:val="en-US" w:eastAsia="zh-CN"/>
              </w:rPr>
              <w:t>2.477</w:t>
            </w:r>
            <w:r>
              <w:rPr>
                <w:rFonts w:hint="eastAsia" w:cs="Times New Roman"/>
                <w:color w:val="auto"/>
                <w:sz w:val="21"/>
                <w:szCs w:val="21"/>
                <w:highlight w:val="none"/>
                <w:u w:val="single" w:color="auto"/>
                <w:lang w:val="en-US" w:eastAsia="zh-CN"/>
              </w:rPr>
              <w:t>t/a</w:t>
            </w:r>
          </w:p>
        </w:tc>
      </w:tr>
    </w:tbl>
    <w:p w14:paraId="0F67EE3D">
      <w:pPr>
        <w:pStyle w:val="41"/>
        <w:spacing w:before="192" w:beforeLines="80" w:after="24"/>
        <w:jc w:val="left"/>
        <w:rPr>
          <w:color w:val="auto"/>
          <w:highlight w:val="none"/>
          <w:u w:val="none" w:color="auto"/>
        </w:rPr>
      </w:pPr>
      <w:r>
        <w:rPr>
          <w:rFonts w:ascii="Times New Roman" w:hAnsi="Times New Roman"/>
          <w:snapToGrid w:val="0"/>
          <w:color w:val="auto"/>
          <w:kern w:val="21"/>
          <w:szCs w:val="21"/>
          <w:highlight w:val="none"/>
          <w:u w:val="none" w:color="auto"/>
        </w:rPr>
        <w:t>注：</w:t>
      </w:r>
      <w:r>
        <w:rPr>
          <w:rFonts w:ascii="Times New Roman" w:hAnsi="Times New Roman"/>
          <w:snapToGrid w:val="0"/>
          <w:color w:val="auto"/>
          <w:spacing w:val="-16"/>
          <w:kern w:val="21"/>
          <w:szCs w:val="21"/>
          <w:highlight w:val="none"/>
          <w:u w:val="none" w:color="auto"/>
        </w:rPr>
        <w:fldChar w:fldCharType="begin"/>
      </w:r>
      <w:r>
        <w:rPr>
          <w:rFonts w:ascii="Times New Roman" w:hAnsi="Times New Roman"/>
          <w:snapToGrid w:val="0"/>
          <w:color w:val="auto"/>
          <w:spacing w:val="-16"/>
          <w:kern w:val="21"/>
          <w:szCs w:val="21"/>
          <w:highlight w:val="none"/>
          <w:u w:val="none" w:color="auto"/>
        </w:rPr>
        <w:instrText xml:space="preserve"> = 6 \* GB3 \* MERGEFORMAT </w:instrText>
      </w:r>
      <w:r>
        <w:rPr>
          <w:rFonts w:ascii="Times New Roman" w:hAnsi="Times New Roman"/>
          <w:snapToGrid w:val="0"/>
          <w:color w:val="auto"/>
          <w:spacing w:val="-16"/>
          <w:kern w:val="21"/>
          <w:szCs w:val="21"/>
          <w:highlight w:val="none"/>
          <w:u w:val="none" w:color="auto"/>
        </w:rPr>
        <w:fldChar w:fldCharType="separate"/>
      </w:r>
      <w:r>
        <w:rPr>
          <w:rFonts w:ascii="Times New Roman" w:hAnsi="Times New Roman"/>
          <w:color w:val="auto"/>
          <w:szCs w:val="21"/>
          <w:highlight w:val="none"/>
          <w:u w:val="none" w:color="auto"/>
        </w:rPr>
        <w:t>⑥</w:t>
      </w:r>
      <w:r>
        <w:rPr>
          <w:rFonts w:ascii="Times New Roman" w:hAnsi="Times New Roman"/>
          <w:snapToGrid w:val="0"/>
          <w:color w:val="auto"/>
          <w:spacing w:val="-16"/>
          <w:kern w:val="21"/>
          <w:szCs w:val="21"/>
          <w:highlight w:val="none"/>
          <w:u w:val="none" w:color="auto"/>
        </w:rPr>
        <w:fldChar w:fldCharType="end"/>
      </w:r>
      <w:r>
        <w:rPr>
          <w:rFonts w:ascii="Times New Roman" w:hAnsi="Times New Roman"/>
          <w:snapToGrid w:val="0"/>
          <w:color w:val="auto"/>
          <w:spacing w:val="-16"/>
          <w:kern w:val="21"/>
          <w:szCs w:val="21"/>
          <w:highlight w:val="none"/>
          <w:u w:val="none" w:color="auto"/>
        </w:rPr>
        <w:t>=</w:t>
      </w:r>
      <w:r>
        <w:rPr>
          <w:rFonts w:ascii="Times New Roman" w:hAnsi="Times New Roman"/>
          <w:snapToGrid w:val="0"/>
          <w:color w:val="auto"/>
          <w:spacing w:val="-6"/>
          <w:kern w:val="21"/>
          <w:szCs w:val="21"/>
          <w:highlight w:val="none"/>
          <w:u w:val="none" w:color="auto"/>
        </w:rPr>
        <w:fldChar w:fldCharType="begin"/>
      </w:r>
      <w:r>
        <w:rPr>
          <w:rFonts w:ascii="Times New Roman" w:hAnsi="Times New Roman"/>
          <w:snapToGrid w:val="0"/>
          <w:color w:val="auto"/>
          <w:spacing w:val="-6"/>
          <w:kern w:val="21"/>
          <w:szCs w:val="21"/>
          <w:highlight w:val="none"/>
          <w:u w:val="none" w:color="auto"/>
        </w:rPr>
        <w:instrText xml:space="preserve"> = 1 \* GB3 \* MERGEFORMAT </w:instrText>
      </w:r>
      <w:r>
        <w:rPr>
          <w:rFonts w:ascii="Times New Roman" w:hAnsi="Times New Roman"/>
          <w:snapToGrid w:val="0"/>
          <w:color w:val="auto"/>
          <w:spacing w:val="-6"/>
          <w:kern w:val="21"/>
          <w:szCs w:val="21"/>
          <w:highlight w:val="none"/>
          <w:u w:val="none" w:color="auto"/>
        </w:rPr>
        <w:fldChar w:fldCharType="separate"/>
      </w:r>
      <w:r>
        <w:rPr>
          <w:rFonts w:ascii="Times New Roman" w:hAnsi="Times New Roman"/>
          <w:color w:val="auto"/>
          <w:szCs w:val="21"/>
          <w:highlight w:val="none"/>
          <w:u w:val="none" w:color="auto"/>
        </w:rPr>
        <w:t>①</w:t>
      </w:r>
      <w:r>
        <w:rPr>
          <w:rFonts w:ascii="Times New Roman" w:hAnsi="Times New Roman"/>
          <w:snapToGrid w:val="0"/>
          <w:color w:val="auto"/>
          <w:spacing w:val="-6"/>
          <w:kern w:val="21"/>
          <w:szCs w:val="21"/>
          <w:highlight w:val="none"/>
          <w:u w:val="none" w:color="auto"/>
        </w:rPr>
        <w:fldChar w:fldCharType="end"/>
      </w:r>
      <w:r>
        <w:rPr>
          <w:rFonts w:ascii="Times New Roman" w:hAnsi="Times New Roman"/>
          <w:snapToGrid w:val="0"/>
          <w:color w:val="auto"/>
          <w:spacing w:val="-6"/>
          <w:kern w:val="21"/>
          <w:szCs w:val="21"/>
          <w:highlight w:val="none"/>
          <w:u w:val="none" w:color="auto"/>
        </w:rPr>
        <w:t>+</w:t>
      </w:r>
      <w:r>
        <w:rPr>
          <w:rFonts w:ascii="Times New Roman" w:hAnsi="Times New Roman"/>
          <w:snapToGrid w:val="0"/>
          <w:color w:val="auto"/>
          <w:spacing w:val="-6"/>
          <w:kern w:val="21"/>
          <w:szCs w:val="21"/>
          <w:highlight w:val="none"/>
          <w:u w:val="none" w:color="auto"/>
        </w:rPr>
        <w:fldChar w:fldCharType="begin"/>
      </w:r>
      <w:r>
        <w:rPr>
          <w:rFonts w:ascii="Times New Roman" w:hAnsi="Times New Roman"/>
          <w:snapToGrid w:val="0"/>
          <w:color w:val="auto"/>
          <w:spacing w:val="-6"/>
          <w:kern w:val="21"/>
          <w:szCs w:val="21"/>
          <w:highlight w:val="none"/>
          <w:u w:val="none" w:color="auto"/>
        </w:rPr>
        <w:instrText xml:space="preserve"> = 3 \* GB3 \* MERGEFORMAT </w:instrText>
      </w:r>
      <w:r>
        <w:rPr>
          <w:rFonts w:ascii="Times New Roman" w:hAnsi="Times New Roman"/>
          <w:snapToGrid w:val="0"/>
          <w:color w:val="auto"/>
          <w:spacing w:val="-6"/>
          <w:kern w:val="21"/>
          <w:szCs w:val="21"/>
          <w:highlight w:val="none"/>
          <w:u w:val="none" w:color="auto"/>
        </w:rPr>
        <w:fldChar w:fldCharType="separate"/>
      </w:r>
      <w:r>
        <w:rPr>
          <w:rFonts w:ascii="Times New Roman" w:hAnsi="Times New Roman"/>
          <w:color w:val="auto"/>
          <w:szCs w:val="21"/>
          <w:highlight w:val="none"/>
          <w:u w:val="none" w:color="auto"/>
        </w:rPr>
        <w:t>③</w:t>
      </w:r>
      <w:r>
        <w:rPr>
          <w:rFonts w:ascii="Times New Roman" w:hAnsi="Times New Roman"/>
          <w:snapToGrid w:val="0"/>
          <w:color w:val="auto"/>
          <w:spacing w:val="-6"/>
          <w:kern w:val="21"/>
          <w:szCs w:val="21"/>
          <w:highlight w:val="none"/>
          <w:u w:val="none" w:color="auto"/>
        </w:rPr>
        <w:fldChar w:fldCharType="end"/>
      </w:r>
      <w:r>
        <w:rPr>
          <w:rFonts w:ascii="Times New Roman" w:hAnsi="Times New Roman"/>
          <w:snapToGrid w:val="0"/>
          <w:color w:val="auto"/>
          <w:spacing w:val="-6"/>
          <w:kern w:val="21"/>
          <w:szCs w:val="21"/>
          <w:highlight w:val="none"/>
          <w:u w:val="none" w:color="auto"/>
        </w:rPr>
        <w:t>+</w:t>
      </w:r>
      <w:r>
        <w:rPr>
          <w:rFonts w:ascii="Times New Roman" w:hAnsi="Times New Roman"/>
          <w:snapToGrid w:val="0"/>
          <w:color w:val="auto"/>
          <w:spacing w:val="-6"/>
          <w:kern w:val="21"/>
          <w:szCs w:val="21"/>
          <w:highlight w:val="none"/>
          <w:u w:val="none" w:color="auto"/>
        </w:rPr>
        <w:fldChar w:fldCharType="begin"/>
      </w:r>
      <w:r>
        <w:rPr>
          <w:rFonts w:ascii="Times New Roman" w:hAnsi="Times New Roman"/>
          <w:snapToGrid w:val="0"/>
          <w:color w:val="auto"/>
          <w:spacing w:val="-6"/>
          <w:kern w:val="21"/>
          <w:szCs w:val="21"/>
          <w:highlight w:val="none"/>
          <w:u w:val="none" w:color="auto"/>
        </w:rPr>
        <w:instrText xml:space="preserve"> = 4 \* GB3 \* MERGEFORMAT </w:instrText>
      </w:r>
      <w:r>
        <w:rPr>
          <w:rFonts w:ascii="Times New Roman" w:hAnsi="Times New Roman"/>
          <w:snapToGrid w:val="0"/>
          <w:color w:val="auto"/>
          <w:spacing w:val="-6"/>
          <w:kern w:val="21"/>
          <w:szCs w:val="21"/>
          <w:highlight w:val="none"/>
          <w:u w:val="none" w:color="auto"/>
        </w:rPr>
        <w:fldChar w:fldCharType="separate"/>
      </w:r>
      <w:r>
        <w:rPr>
          <w:rFonts w:ascii="Times New Roman" w:hAnsi="Times New Roman"/>
          <w:color w:val="auto"/>
          <w:szCs w:val="21"/>
          <w:highlight w:val="none"/>
          <w:u w:val="none" w:color="auto"/>
        </w:rPr>
        <w:t>④</w:t>
      </w:r>
      <w:r>
        <w:rPr>
          <w:rFonts w:ascii="Times New Roman" w:hAnsi="Times New Roman"/>
          <w:snapToGrid w:val="0"/>
          <w:color w:val="auto"/>
          <w:spacing w:val="-6"/>
          <w:kern w:val="21"/>
          <w:szCs w:val="21"/>
          <w:highlight w:val="none"/>
          <w:u w:val="none" w:color="auto"/>
        </w:rPr>
        <w:fldChar w:fldCharType="end"/>
      </w:r>
      <w:r>
        <w:rPr>
          <w:rFonts w:ascii="Times New Roman" w:hAnsi="Times New Roman"/>
          <w:snapToGrid w:val="0"/>
          <w:color w:val="auto"/>
          <w:spacing w:val="-6"/>
          <w:kern w:val="21"/>
          <w:szCs w:val="21"/>
          <w:highlight w:val="none"/>
          <w:u w:val="none" w:color="auto"/>
        </w:rPr>
        <w:t>-</w:t>
      </w:r>
      <w:r>
        <w:rPr>
          <w:rFonts w:ascii="Times New Roman" w:hAnsi="Times New Roman"/>
          <w:snapToGrid w:val="0"/>
          <w:color w:val="auto"/>
          <w:spacing w:val="-16"/>
          <w:kern w:val="21"/>
          <w:szCs w:val="21"/>
          <w:highlight w:val="none"/>
          <w:u w:val="none" w:color="auto"/>
        </w:rPr>
        <w:fldChar w:fldCharType="begin"/>
      </w:r>
      <w:r>
        <w:rPr>
          <w:rFonts w:ascii="Times New Roman" w:hAnsi="Times New Roman"/>
          <w:snapToGrid w:val="0"/>
          <w:color w:val="auto"/>
          <w:spacing w:val="-16"/>
          <w:kern w:val="21"/>
          <w:szCs w:val="21"/>
          <w:highlight w:val="none"/>
          <w:u w:val="none" w:color="auto"/>
        </w:rPr>
        <w:instrText xml:space="preserve"> = 5 \* GB3 \* MERGEFORMAT </w:instrText>
      </w:r>
      <w:r>
        <w:rPr>
          <w:rFonts w:ascii="Times New Roman" w:hAnsi="Times New Roman"/>
          <w:snapToGrid w:val="0"/>
          <w:color w:val="auto"/>
          <w:spacing w:val="-16"/>
          <w:kern w:val="21"/>
          <w:szCs w:val="21"/>
          <w:highlight w:val="none"/>
          <w:u w:val="none" w:color="auto"/>
        </w:rPr>
        <w:fldChar w:fldCharType="separate"/>
      </w:r>
      <w:r>
        <w:rPr>
          <w:rFonts w:ascii="Times New Roman" w:hAnsi="Times New Roman"/>
          <w:color w:val="auto"/>
          <w:szCs w:val="21"/>
          <w:highlight w:val="none"/>
          <w:u w:val="none" w:color="auto"/>
        </w:rPr>
        <w:t>⑤</w:t>
      </w:r>
      <w:r>
        <w:rPr>
          <w:rFonts w:ascii="Times New Roman" w:hAnsi="Times New Roman"/>
          <w:snapToGrid w:val="0"/>
          <w:color w:val="auto"/>
          <w:spacing w:val="-16"/>
          <w:kern w:val="21"/>
          <w:szCs w:val="21"/>
          <w:highlight w:val="none"/>
          <w:u w:val="none" w:color="auto"/>
        </w:rPr>
        <w:fldChar w:fldCharType="end"/>
      </w:r>
      <w:r>
        <w:rPr>
          <w:rFonts w:ascii="Times New Roman" w:hAnsi="Times New Roman"/>
          <w:snapToGrid w:val="0"/>
          <w:color w:val="auto"/>
          <w:spacing w:val="-16"/>
          <w:kern w:val="21"/>
          <w:szCs w:val="21"/>
          <w:highlight w:val="none"/>
          <w:u w:val="none" w:color="auto"/>
        </w:rPr>
        <w:t>；</w:t>
      </w:r>
      <w:r>
        <w:rPr>
          <w:rFonts w:ascii="Times New Roman" w:hAnsi="Times New Roman"/>
          <w:snapToGrid w:val="0"/>
          <w:color w:val="auto"/>
          <w:spacing w:val="-6"/>
          <w:kern w:val="21"/>
          <w:szCs w:val="21"/>
          <w:highlight w:val="none"/>
          <w:u w:val="none" w:color="auto"/>
        </w:rPr>
        <w:fldChar w:fldCharType="begin"/>
      </w:r>
      <w:r>
        <w:rPr>
          <w:rFonts w:ascii="Times New Roman" w:hAnsi="Times New Roman"/>
          <w:snapToGrid w:val="0"/>
          <w:color w:val="auto"/>
          <w:spacing w:val="-6"/>
          <w:kern w:val="21"/>
          <w:szCs w:val="21"/>
          <w:highlight w:val="none"/>
          <w:u w:val="none" w:color="auto"/>
        </w:rPr>
        <w:instrText xml:space="preserve"> = 7 \* GB3 \* MERGEFORMAT </w:instrText>
      </w:r>
      <w:r>
        <w:rPr>
          <w:rFonts w:ascii="Times New Roman" w:hAnsi="Times New Roman"/>
          <w:snapToGrid w:val="0"/>
          <w:color w:val="auto"/>
          <w:spacing w:val="-6"/>
          <w:kern w:val="21"/>
          <w:szCs w:val="21"/>
          <w:highlight w:val="none"/>
          <w:u w:val="none" w:color="auto"/>
        </w:rPr>
        <w:fldChar w:fldCharType="separate"/>
      </w:r>
      <w:r>
        <w:rPr>
          <w:rFonts w:ascii="Times New Roman" w:hAnsi="Times New Roman"/>
          <w:color w:val="auto"/>
          <w:szCs w:val="21"/>
          <w:highlight w:val="none"/>
          <w:u w:val="none" w:color="auto"/>
        </w:rPr>
        <w:t>⑦</w:t>
      </w:r>
      <w:r>
        <w:rPr>
          <w:rFonts w:ascii="Times New Roman" w:hAnsi="Times New Roman"/>
          <w:snapToGrid w:val="0"/>
          <w:color w:val="auto"/>
          <w:spacing w:val="-6"/>
          <w:kern w:val="21"/>
          <w:szCs w:val="21"/>
          <w:highlight w:val="none"/>
          <w:u w:val="none" w:color="auto"/>
        </w:rPr>
        <w:fldChar w:fldCharType="end"/>
      </w:r>
      <w:r>
        <w:rPr>
          <w:rFonts w:ascii="Times New Roman" w:hAnsi="Times New Roman"/>
          <w:snapToGrid w:val="0"/>
          <w:color w:val="auto"/>
          <w:spacing w:val="-6"/>
          <w:kern w:val="21"/>
          <w:szCs w:val="21"/>
          <w:highlight w:val="none"/>
          <w:u w:val="none" w:color="auto"/>
        </w:rPr>
        <w:t>=</w:t>
      </w:r>
      <w:r>
        <w:rPr>
          <w:rFonts w:ascii="Times New Roman" w:hAnsi="Times New Roman"/>
          <w:snapToGrid w:val="0"/>
          <w:color w:val="auto"/>
          <w:spacing w:val="-16"/>
          <w:kern w:val="21"/>
          <w:szCs w:val="21"/>
          <w:highlight w:val="none"/>
          <w:u w:val="none" w:color="auto"/>
        </w:rPr>
        <w:fldChar w:fldCharType="begin"/>
      </w:r>
      <w:r>
        <w:rPr>
          <w:rFonts w:ascii="Times New Roman" w:hAnsi="Times New Roman"/>
          <w:snapToGrid w:val="0"/>
          <w:color w:val="auto"/>
          <w:spacing w:val="-16"/>
          <w:kern w:val="21"/>
          <w:szCs w:val="21"/>
          <w:highlight w:val="none"/>
          <w:u w:val="none" w:color="auto"/>
        </w:rPr>
        <w:instrText xml:space="preserve"> = 6 \* GB3 \* MERGEFORMAT </w:instrText>
      </w:r>
      <w:r>
        <w:rPr>
          <w:rFonts w:ascii="Times New Roman" w:hAnsi="Times New Roman"/>
          <w:snapToGrid w:val="0"/>
          <w:color w:val="auto"/>
          <w:spacing w:val="-16"/>
          <w:kern w:val="21"/>
          <w:szCs w:val="21"/>
          <w:highlight w:val="none"/>
          <w:u w:val="none" w:color="auto"/>
        </w:rPr>
        <w:fldChar w:fldCharType="separate"/>
      </w:r>
      <w:r>
        <w:rPr>
          <w:rFonts w:ascii="Times New Roman" w:hAnsi="Times New Roman"/>
          <w:color w:val="auto"/>
          <w:szCs w:val="21"/>
          <w:highlight w:val="none"/>
          <w:u w:val="none" w:color="auto"/>
        </w:rPr>
        <w:t>⑥</w:t>
      </w:r>
      <w:r>
        <w:rPr>
          <w:rFonts w:ascii="Times New Roman" w:hAnsi="Times New Roman"/>
          <w:snapToGrid w:val="0"/>
          <w:color w:val="auto"/>
          <w:spacing w:val="-16"/>
          <w:kern w:val="21"/>
          <w:szCs w:val="21"/>
          <w:highlight w:val="none"/>
          <w:u w:val="none" w:color="auto"/>
        </w:rPr>
        <w:fldChar w:fldCharType="end"/>
      </w:r>
      <w:r>
        <w:rPr>
          <w:rFonts w:ascii="Times New Roman" w:hAnsi="Times New Roman"/>
          <w:snapToGrid w:val="0"/>
          <w:color w:val="auto"/>
          <w:spacing w:val="-16"/>
          <w:kern w:val="21"/>
          <w:szCs w:val="21"/>
          <w:highlight w:val="none"/>
          <w:u w:val="none" w:color="auto"/>
        </w:rPr>
        <w:t>-</w:t>
      </w:r>
      <w:r>
        <w:rPr>
          <w:rFonts w:ascii="Times New Roman" w:hAnsi="Times New Roman"/>
          <w:snapToGrid w:val="0"/>
          <w:color w:val="auto"/>
          <w:spacing w:val="-6"/>
          <w:kern w:val="21"/>
          <w:szCs w:val="21"/>
          <w:highlight w:val="none"/>
          <w:u w:val="none" w:color="auto"/>
        </w:rPr>
        <w:fldChar w:fldCharType="begin"/>
      </w:r>
      <w:r>
        <w:rPr>
          <w:rFonts w:ascii="Times New Roman" w:hAnsi="Times New Roman"/>
          <w:snapToGrid w:val="0"/>
          <w:color w:val="auto"/>
          <w:spacing w:val="-6"/>
          <w:kern w:val="21"/>
          <w:szCs w:val="21"/>
          <w:highlight w:val="none"/>
          <w:u w:val="none" w:color="auto"/>
        </w:rPr>
        <w:instrText xml:space="preserve"> = 1 \* GB3 \* MERGEFORMAT </w:instrText>
      </w:r>
      <w:r>
        <w:rPr>
          <w:rFonts w:ascii="Times New Roman" w:hAnsi="Times New Roman"/>
          <w:snapToGrid w:val="0"/>
          <w:color w:val="auto"/>
          <w:spacing w:val="-6"/>
          <w:kern w:val="21"/>
          <w:szCs w:val="21"/>
          <w:highlight w:val="none"/>
          <w:u w:val="none" w:color="auto"/>
        </w:rPr>
        <w:fldChar w:fldCharType="separate"/>
      </w:r>
      <w:r>
        <w:rPr>
          <w:rFonts w:ascii="Times New Roman" w:hAnsi="Times New Roman"/>
          <w:color w:val="auto"/>
          <w:szCs w:val="21"/>
          <w:highlight w:val="none"/>
          <w:u w:val="none" w:color="auto"/>
        </w:rPr>
        <w:t>①</w:t>
      </w:r>
      <w:r>
        <w:rPr>
          <w:rFonts w:ascii="Times New Roman" w:hAnsi="Times New Roman"/>
          <w:snapToGrid w:val="0"/>
          <w:color w:val="auto"/>
          <w:spacing w:val="-6"/>
          <w:kern w:val="21"/>
          <w:szCs w:val="21"/>
          <w:highlight w:val="none"/>
          <w:u w:val="none" w:color="auto"/>
        </w:rPr>
        <w:fldChar w:fldCharType="end"/>
      </w:r>
    </w:p>
    <w:p w14:paraId="65FD289E">
      <w:pPr>
        <w:pStyle w:val="41"/>
        <w:spacing w:before="192" w:beforeLines="80" w:after="24"/>
        <w:jc w:val="left"/>
        <w:rPr>
          <w:color w:val="auto"/>
          <w:highlight w:val="none"/>
          <w:u w:val="none" w:color="auto"/>
        </w:rPr>
      </w:pPr>
    </w:p>
    <w:p w14:paraId="32ED5AAB">
      <w:pPr>
        <w:pStyle w:val="41"/>
        <w:spacing w:before="192" w:beforeLines="80" w:after="24"/>
        <w:jc w:val="left"/>
        <w:rPr>
          <w:color w:val="auto"/>
          <w:highlight w:val="none"/>
          <w:u w:val="none" w:color="auto"/>
        </w:rPr>
      </w:pPr>
    </w:p>
    <w:p w14:paraId="55D674AD">
      <w:pPr>
        <w:rPr>
          <w:rFonts w:hint="default"/>
          <w:lang w:val="en-US" w:eastAsia="zh-CN"/>
        </w:rPr>
      </w:pPr>
    </w:p>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612A976-6466-4200-976D-E9BA4E6AD54E}"/>
  </w:font>
  <w:font w:name="黑体">
    <w:panose1 w:val="02010609060101010101"/>
    <w:charset w:val="86"/>
    <w:family w:val="auto"/>
    <w:pitch w:val="default"/>
    <w:sig w:usb0="800002BF" w:usb1="38CF7CFA" w:usb2="00000016" w:usb3="00000000" w:csb0="00040001" w:csb1="00000000"/>
    <w:embedRegular r:id="rId2" w:fontKey="{09C30544-1E62-4499-92E1-958634EBDDD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E30432E4-B9AA-4E26-9EFF-8AE99B0987B6}"/>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embedRegular r:id="rId4" w:fontKey="{83B667D6-3DAB-4B41-9323-961C0FA5CA36}"/>
  </w:font>
  <w:font w:name="楷体_GB2312">
    <w:panose1 w:val="02010609030101010101"/>
    <w:charset w:val="86"/>
    <w:family w:val="auto"/>
    <w:pitch w:val="default"/>
    <w:sig w:usb0="00000001" w:usb1="080E0000" w:usb2="00000000" w:usb3="00000000" w:csb0="00040000" w:csb1="00000000"/>
    <w:embedRegular r:id="rId5" w:fontKey="{67B8167A-C08B-426C-8192-55F4A83FA83A}"/>
  </w:font>
  <w:font w:name="仿宋_GB2312">
    <w:panose1 w:val="02010609030101010101"/>
    <w:charset w:val="86"/>
    <w:family w:val="modern"/>
    <w:pitch w:val="default"/>
    <w:sig w:usb0="00000001" w:usb1="080E0000" w:usb2="00000000" w:usb3="00000000" w:csb0="00040000" w:csb1="00000000"/>
    <w:embedRegular r:id="rId6" w:fontKey="{643427CF-9AEE-41ED-952A-7B6426696B05}"/>
  </w:font>
  <w:font w:name="方正小标宋_GBK">
    <w:panose1 w:val="02000000000000000000"/>
    <w:charset w:val="86"/>
    <w:family w:val="script"/>
    <w:pitch w:val="default"/>
    <w:sig w:usb0="A00002BF" w:usb1="38CF7CFA" w:usb2="00082016" w:usb3="00000000" w:csb0="00040001" w:csb1="00000000"/>
    <w:embedRegular r:id="rId7" w:fontKey="{33E80626-4755-4602-9C0E-295BC2E53D4D}"/>
  </w:font>
  <w:font w:name="华文仿宋">
    <w:panose1 w:val="02010600040101010101"/>
    <w:charset w:val="86"/>
    <w:family w:val="auto"/>
    <w:pitch w:val="default"/>
    <w:sig w:usb0="00000287" w:usb1="080F0000" w:usb2="00000000" w:usb3="00000000" w:csb0="0004009F" w:csb1="DFD70000"/>
    <w:embedRegular r:id="rId8" w:fontKey="{B4FA532D-CC2B-4A89-A131-80D8DBC2EEE2}"/>
  </w:font>
  <w:font w:name="Cambria Math">
    <w:panose1 w:val="02040503050406030204"/>
    <w:charset w:val="00"/>
    <w:family w:val="auto"/>
    <w:pitch w:val="default"/>
    <w:sig w:usb0="E00002FF" w:usb1="420024FF" w:usb2="00000000" w:usb3="00000000" w:csb0="2000019F" w:csb1="00000000"/>
    <w:embedRegular r:id="rId9" w:fontKey="{D9C279F8-FCD1-494B-9929-5B41B206247C}"/>
  </w:font>
  <w:font w:name="WPSEMBED21">
    <w:panose1 w:val="02000000000000000000"/>
    <w:charset w:val="86"/>
    <w:family w:val="auto"/>
    <w:pitch w:val="default"/>
    <w:sig w:usb0="A00002BF" w:usb1="38CF7CFA" w:usb2="00082016" w:usb3="00000000" w:csb0="00040001" w:csb1="00000000"/>
  </w:font>
  <w:font w:name="WPSEMBED20">
    <w:panose1 w:val="02010609030101010101"/>
    <w:charset w:val="86"/>
    <w:family w:val="auto"/>
    <w:pitch w:val="default"/>
    <w:sig w:usb0="00000001" w:usb1="080E0000" w:usb2="00000000" w:usb3="00000000" w:csb0="00040000" w:csb1="00000000"/>
  </w:font>
  <w:font w:name="WPSEMBED2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6A9C4">
    <w:pPr>
      <w:pStyle w:val="1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D38D8">
    <w:pPr>
      <w:pStyle w:val="18"/>
      <w:framePr w:wrap="around" w:vAnchor="text" w:hAnchor="margin" w:xAlign="center" w:y="1"/>
      <w:rPr>
        <w:rStyle w:val="32"/>
      </w:rPr>
    </w:pPr>
    <w:r>
      <w:fldChar w:fldCharType="begin"/>
    </w:r>
    <w:r>
      <w:rPr>
        <w:rStyle w:val="32"/>
      </w:rPr>
      <w:instrText xml:space="preserve">PAGE  </w:instrText>
    </w:r>
    <w:r>
      <w:fldChar w:fldCharType="end"/>
    </w:r>
  </w:p>
  <w:p w14:paraId="131EE544">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ED31">
    <w:pPr>
      <w:pStyle w:val="18"/>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BA77A54">
                          <w:pPr>
                            <w:pStyle w:val="18"/>
                          </w:pPr>
                          <w:r>
                            <w:fldChar w:fldCharType="begin"/>
                          </w:r>
                          <w:r>
                            <w:instrText xml:space="preserve"> PAGE  \* MERGEFORMAT </w:instrText>
                          </w:r>
                          <w:r>
                            <w:fldChar w:fldCharType="separate"/>
                          </w:r>
                          <w:r>
                            <w:t>- 72 -</w:t>
                          </w:r>
                          <w:r>
                            <w:fldChar w:fldCharType="end"/>
                          </w:r>
                        </w:p>
                      </w:txbxContent>
                    </wps:txbx>
                    <wps:bodyPr vert="horz" wrap="none" lIns="0" tIns="0" rIns="0" bIns="0" anchor="t" anchorCtr="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90Nld0BAADDAwAADgAAAGRycy9lMm9Eb2MueG1srVPBjtMwEL0j8Q+W&#10;7zRpV0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aexO2Fp4Kfv304/fp1+fmXz&#10;8iYr1HusKPHBU2ocXsNAe5OUS34kZyI+tMGmP1FiFCd9jxd91RCZTJeWi+WypJCk2PlAOMX1ug8Y&#10;3yiwLBk1DzTArKs4vMM4pp5TUjUH99qYPETj/nIQ5uhReQum29eOkxWH7TDR2EJzJHb0LqhqB+EL&#10;Zz1tRc0dPQLOzFtHoqcFOhvhbGzPhnCSLtY8cjaadzEvWmoL/at9pF4zhVR6rEfU04Fmm0WY9jAt&#10;z5/nnHV9e+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vdDZXdAQAAwwMAAA4AAAAAAAAA&#10;AQAgAAAAHgEAAGRycy9lMm9Eb2MueG1sUEsFBgAAAAAGAAYAWQEAAG0FAAAAAA==&#10;">
              <v:fill on="f" focussize="0,0"/>
              <v:stroke on="f"/>
              <v:imagedata o:title=""/>
              <o:lock v:ext="edit" aspectratio="f"/>
              <v:textbox inset="0mm,0mm,0mm,0mm" style="mso-fit-shape-to-text:t;">
                <w:txbxContent>
                  <w:p w14:paraId="6BA77A54">
                    <w:pPr>
                      <w:pStyle w:val="18"/>
                    </w:pPr>
                    <w:r>
                      <w:fldChar w:fldCharType="begin"/>
                    </w:r>
                    <w:r>
                      <w:instrText xml:space="preserve"> PAGE  \* MERGEFORMAT </w:instrText>
                    </w:r>
                    <w:r>
                      <w:fldChar w:fldCharType="separate"/>
                    </w:r>
                    <w:r>
                      <w:t>- 72 -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9BD33">
    <w:pPr>
      <w:pStyle w:val="18"/>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AAF19C">
                          <w:pPr>
                            <w:pStyle w:val="18"/>
                          </w:pPr>
                          <w:r>
                            <w:fldChar w:fldCharType="begin"/>
                          </w:r>
                          <w:r>
                            <w:instrText xml:space="preserve"> PAGE  \* MERGEFORMAT </w:instrText>
                          </w:r>
                          <w:r>
                            <w:fldChar w:fldCharType="separate"/>
                          </w:r>
                          <w:r>
                            <w:t>- 63 -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82AzAgAAYwQAAA4AAABkcnMvZTJvRG9jLnhtbK1UzY7TMBC+I/EO&#10;lu80aRGrUj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82AzAgAAYwQAAA4AAAAAAAAAAQAgAAAAHwEAAGRycy9lMm9Eb2MueG1sUEsF&#10;BgAAAAAGAAYAWQEAAMQFAAAAAA==&#10;">
              <v:fill on="f" focussize="0,0"/>
              <v:stroke on="f" weight="0.5pt"/>
              <v:imagedata o:title=""/>
              <o:lock v:ext="edit" aspectratio="f"/>
              <v:textbox inset="0mm,0mm,0mm,0mm" style="mso-fit-shape-to-text:t;">
                <w:txbxContent>
                  <w:p w14:paraId="41AAF19C">
                    <w:pPr>
                      <w:pStyle w:val="18"/>
                    </w:pPr>
                    <w:r>
                      <w:fldChar w:fldCharType="begin"/>
                    </w:r>
                    <w:r>
                      <w:instrText xml:space="preserve"> PAGE  \* MERGEFORMAT </w:instrText>
                    </w:r>
                    <w:r>
                      <w:fldChar w:fldCharType="separate"/>
                    </w:r>
                    <w:r>
                      <w:t>- 63 -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780696"/>
    <w:multiLevelType w:val="singleLevel"/>
    <w:tmpl w:val="69780696"/>
    <w:lvl w:ilvl="0" w:tentative="0">
      <w:start w:val="11"/>
      <w:numFmt w:val="upperLetter"/>
      <w:suff w:val="nothing"/>
      <w:lvlText w:val="%1-"/>
      <w:lvlJc w:val="left"/>
    </w:lvl>
  </w:abstractNum>
  <w:abstractNum w:abstractNumId="1">
    <w:nsid w:val="6EDD3DB0"/>
    <w:multiLevelType w:val="singleLevel"/>
    <w:tmpl w:val="6EDD3DB0"/>
    <w:lvl w:ilvl="0" w:tentative="0">
      <w:start w:val="1"/>
      <w:numFmt w:val="bullet"/>
      <w:pStyle w:val="14"/>
      <w:lvlText w:val=""/>
      <w:lvlJc w:val="left"/>
      <w:pPr>
        <w:tabs>
          <w:tab w:val="left" w:pos="2040"/>
        </w:tabs>
        <w:ind w:left="2040" w:hanging="36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hOGE4MjFhMjQ2NTI1ZTYxZTVhYWU1YWRhNDFhOTEifQ=="/>
  </w:docVars>
  <w:rsids>
    <w:rsidRoot w:val="00172A27"/>
    <w:rsid w:val="0000550D"/>
    <w:rsid w:val="00012B09"/>
    <w:rsid w:val="00012BD3"/>
    <w:rsid w:val="00013529"/>
    <w:rsid w:val="000C34AB"/>
    <w:rsid w:val="000D750A"/>
    <w:rsid w:val="00167590"/>
    <w:rsid w:val="00287A78"/>
    <w:rsid w:val="002E7866"/>
    <w:rsid w:val="002F7390"/>
    <w:rsid w:val="003B1E45"/>
    <w:rsid w:val="003B3F8C"/>
    <w:rsid w:val="003E35DD"/>
    <w:rsid w:val="004C2BAE"/>
    <w:rsid w:val="00516EEF"/>
    <w:rsid w:val="00532567"/>
    <w:rsid w:val="00542A8B"/>
    <w:rsid w:val="00544091"/>
    <w:rsid w:val="005D21B5"/>
    <w:rsid w:val="006166CA"/>
    <w:rsid w:val="00680C7D"/>
    <w:rsid w:val="006954E0"/>
    <w:rsid w:val="006B636F"/>
    <w:rsid w:val="00763258"/>
    <w:rsid w:val="007B22B3"/>
    <w:rsid w:val="008036BA"/>
    <w:rsid w:val="00814182"/>
    <w:rsid w:val="008D450C"/>
    <w:rsid w:val="008E32B5"/>
    <w:rsid w:val="0099672E"/>
    <w:rsid w:val="009D4A25"/>
    <w:rsid w:val="00AA02DF"/>
    <w:rsid w:val="00AE1B81"/>
    <w:rsid w:val="00AF5535"/>
    <w:rsid w:val="00C63744"/>
    <w:rsid w:val="00CC0360"/>
    <w:rsid w:val="00E665E0"/>
    <w:rsid w:val="00EE74CD"/>
    <w:rsid w:val="00F3058A"/>
    <w:rsid w:val="00F4060F"/>
    <w:rsid w:val="00F51ACE"/>
    <w:rsid w:val="00FA1E6C"/>
    <w:rsid w:val="00FA3948"/>
    <w:rsid w:val="00FD3186"/>
    <w:rsid w:val="00FE35D2"/>
    <w:rsid w:val="017D102A"/>
    <w:rsid w:val="01996C0A"/>
    <w:rsid w:val="01A76D39"/>
    <w:rsid w:val="01E315F3"/>
    <w:rsid w:val="021F298B"/>
    <w:rsid w:val="029B4D1F"/>
    <w:rsid w:val="02A26F12"/>
    <w:rsid w:val="02CB335C"/>
    <w:rsid w:val="03BD4AF9"/>
    <w:rsid w:val="04871667"/>
    <w:rsid w:val="04AA6556"/>
    <w:rsid w:val="067C6C72"/>
    <w:rsid w:val="06B158AB"/>
    <w:rsid w:val="06F321BF"/>
    <w:rsid w:val="071531EF"/>
    <w:rsid w:val="0798688D"/>
    <w:rsid w:val="07A37F59"/>
    <w:rsid w:val="07A72A60"/>
    <w:rsid w:val="07DB735D"/>
    <w:rsid w:val="08593B27"/>
    <w:rsid w:val="08D5748C"/>
    <w:rsid w:val="09422F8B"/>
    <w:rsid w:val="096C20A9"/>
    <w:rsid w:val="09DF53B6"/>
    <w:rsid w:val="0A734B6C"/>
    <w:rsid w:val="0A9E7CF1"/>
    <w:rsid w:val="0BF1168B"/>
    <w:rsid w:val="0C3E27F8"/>
    <w:rsid w:val="0C4F0351"/>
    <w:rsid w:val="0C8E0B39"/>
    <w:rsid w:val="0CBB33A1"/>
    <w:rsid w:val="0CBD6B55"/>
    <w:rsid w:val="0D4F0B78"/>
    <w:rsid w:val="0D5B5F3C"/>
    <w:rsid w:val="0D6D2920"/>
    <w:rsid w:val="0D815171"/>
    <w:rsid w:val="0DAD7F38"/>
    <w:rsid w:val="0E0C691E"/>
    <w:rsid w:val="0E535958"/>
    <w:rsid w:val="0E677B70"/>
    <w:rsid w:val="0F032A84"/>
    <w:rsid w:val="0F764839"/>
    <w:rsid w:val="0F9C5DA8"/>
    <w:rsid w:val="103012E1"/>
    <w:rsid w:val="10AB687B"/>
    <w:rsid w:val="10CB0193"/>
    <w:rsid w:val="10CF4C25"/>
    <w:rsid w:val="10FE0470"/>
    <w:rsid w:val="117C1273"/>
    <w:rsid w:val="11D93657"/>
    <w:rsid w:val="11E039D9"/>
    <w:rsid w:val="11F77E29"/>
    <w:rsid w:val="120D5F28"/>
    <w:rsid w:val="12492DD4"/>
    <w:rsid w:val="13154B56"/>
    <w:rsid w:val="131A67F2"/>
    <w:rsid w:val="132A4818"/>
    <w:rsid w:val="13826B0B"/>
    <w:rsid w:val="13BD5F0E"/>
    <w:rsid w:val="14427246"/>
    <w:rsid w:val="14E40BA0"/>
    <w:rsid w:val="151C3DB3"/>
    <w:rsid w:val="152C160B"/>
    <w:rsid w:val="155C0127"/>
    <w:rsid w:val="1582607D"/>
    <w:rsid w:val="1587578B"/>
    <w:rsid w:val="15C17984"/>
    <w:rsid w:val="15EC2259"/>
    <w:rsid w:val="166C79D3"/>
    <w:rsid w:val="16D25FDA"/>
    <w:rsid w:val="176074CE"/>
    <w:rsid w:val="17C24895"/>
    <w:rsid w:val="180826B7"/>
    <w:rsid w:val="18370223"/>
    <w:rsid w:val="18596AB7"/>
    <w:rsid w:val="18BB0953"/>
    <w:rsid w:val="194F6ED7"/>
    <w:rsid w:val="196B7938"/>
    <w:rsid w:val="196E6E1F"/>
    <w:rsid w:val="19EF710D"/>
    <w:rsid w:val="1A2F6BB8"/>
    <w:rsid w:val="1B9E085D"/>
    <w:rsid w:val="1C2373F2"/>
    <w:rsid w:val="1C844E3F"/>
    <w:rsid w:val="1CBE6109"/>
    <w:rsid w:val="1CE023DE"/>
    <w:rsid w:val="1D4F070B"/>
    <w:rsid w:val="1E2322DD"/>
    <w:rsid w:val="1E234CC8"/>
    <w:rsid w:val="1EA758DF"/>
    <w:rsid w:val="1F054605"/>
    <w:rsid w:val="1FAA773E"/>
    <w:rsid w:val="1FDF487E"/>
    <w:rsid w:val="200C625C"/>
    <w:rsid w:val="21553397"/>
    <w:rsid w:val="21F61B99"/>
    <w:rsid w:val="224D57F3"/>
    <w:rsid w:val="22943AD4"/>
    <w:rsid w:val="230358CA"/>
    <w:rsid w:val="239830E1"/>
    <w:rsid w:val="23BE5E4D"/>
    <w:rsid w:val="23D61890"/>
    <w:rsid w:val="24540840"/>
    <w:rsid w:val="245B6A6F"/>
    <w:rsid w:val="249F0C38"/>
    <w:rsid w:val="24A752AD"/>
    <w:rsid w:val="2548020D"/>
    <w:rsid w:val="25592D3B"/>
    <w:rsid w:val="25D21E40"/>
    <w:rsid w:val="25ED0DB7"/>
    <w:rsid w:val="26B0508D"/>
    <w:rsid w:val="27500FC2"/>
    <w:rsid w:val="282436EB"/>
    <w:rsid w:val="28380A7D"/>
    <w:rsid w:val="28837ED6"/>
    <w:rsid w:val="28A25D60"/>
    <w:rsid w:val="28B4388A"/>
    <w:rsid w:val="28C22931"/>
    <w:rsid w:val="29BE5153"/>
    <w:rsid w:val="2AA840C9"/>
    <w:rsid w:val="2AE57489"/>
    <w:rsid w:val="2B30730D"/>
    <w:rsid w:val="2B51750E"/>
    <w:rsid w:val="2B9050FB"/>
    <w:rsid w:val="2BE475FD"/>
    <w:rsid w:val="2C394B9B"/>
    <w:rsid w:val="2C8D21D5"/>
    <w:rsid w:val="2DDD5B9E"/>
    <w:rsid w:val="2E364AA6"/>
    <w:rsid w:val="2E6C2277"/>
    <w:rsid w:val="2E807C81"/>
    <w:rsid w:val="2EE318FA"/>
    <w:rsid w:val="2F2C646E"/>
    <w:rsid w:val="2FFE03B6"/>
    <w:rsid w:val="30C0668E"/>
    <w:rsid w:val="32CD2D71"/>
    <w:rsid w:val="334515C0"/>
    <w:rsid w:val="335F7931"/>
    <w:rsid w:val="337A757E"/>
    <w:rsid w:val="348925E7"/>
    <w:rsid w:val="34AF30A0"/>
    <w:rsid w:val="34EC64BA"/>
    <w:rsid w:val="353A283F"/>
    <w:rsid w:val="3544322E"/>
    <w:rsid w:val="35BC1034"/>
    <w:rsid w:val="36B20D35"/>
    <w:rsid w:val="376743BB"/>
    <w:rsid w:val="37A912D7"/>
    <w:rsid w:val="38816288"/>
    <w:rsid w:val="38866F49"/>
    <w:rsid w:val="38DD575A"/>
    <w:rsid w:val="3A5A7A75"/>
    <w:rsid w:val="3A99191C"/>
    <w:rsid w:val="3BD304A9"/>
    <w:rsid w:val="3BE607DD"/>
    <w:rsid w:val="3C527BEB"/>
    <w:rsid w:val="3C6E4407"/>
    <w:rsid w:val="3D032B6F"/>
    <w:rsid w:val="3D637B1F"/>
    <w:rsid w:val="3D7C2E18"/>
    <w:rsid w:val="3DB03E8F"/>
    <w:rsid w:val="3DC82986"/>
    <w:rsid w:val="3E195208"/>
    <w:rsid w:val="3FAA3368"/>
    <w:rsid w:val="3FCA493C"/>
    <w:rsid w:val="404D3645"/>
    <w:rsid w:val="406C4E33"/>
    <w:rsid w:val="40D0532B"/>
    <w:rsid w:val="40EA548F"/>
    <w:rsid w:val="40EE6BB3"/>
    <w:rsid w:val="41181C3B"/>
    <w:rsid w:val="413F5032"/>
    <w:rsid w:val="42DF606B"/>
    <w:rsid w:val="433B01F8"/>
    <w:rsid w:val="4344239F"/>
    <w:rsid w:val="437706F4"/>
    <w:rsid w:val="4392315C"/>
    <w:rsid w:val="43B87168"/>
    <w:rsid w:val="43C32C68"/>
    <w:rsid w:val="43D302B4"/>
    <w:rsid w:val="43FB375F"/>
    <w:rsid w:val="443E4165"/>
    <w:rsid w:val="44654637"/>
    <w:rsid w:val="44BF72CA"/>
    <w:rsid w:val="44D001AE"/>
    <w:rsid w:val="44E72542"/>
    <w:rsid w:val="45103A4E"/>
    <w:rsid w:val="457055AC"/>
    <w:rsid w:val="45774DEB"/>
    <w:rsid w:val="46220925"/>
    <w:rsid w:val="462773C3"/>
    <w:rsid w:val="46A019EB"/>
    <w:rsid w:val="47242F9F"/>
    <w:rsid w:val="481B3243"/>
    <w:rsid w:val="48B62482"/>
    <w:rsid w:val="48D03901"/>
    <w:rsid w:val="49BC1F0D"/>
    <w:rsid w:val="49D150F9"/>
    <w:rsid w:val="4A036394"/>
    <w:rsid w:val="4A3235C5"/>
    <w:rsid w:val="4A654BAD"/>
    <w:rsid w:val="4A833EAC"/>
    <w:rsid w:val="4A920410"/>
    <w:rsid w:val="4AC62A9D"/>
    <w:rsid w:val="4AC92027"/>
    <w:rsid w:val="4BB23C8E"/>
    <w:rsid w:val="4C2E14C8"/>
    <w:rsid w:val="4D724CAE"/>
    <w:rsid w:val="4DB50402"/>
    <w:rsid w:val="4E1E674C"/>
    <w:rsid w:val="4E471D89"/>
    <w:rsid w:val="4F3302E1"/>
    <w:rsid w:val="4F563CC4"/>
    <w:rsid w:val="4FE066A2"/>
    <w:rsid w:val="502030BC"/>
    <w:rsid w:val="50B745F2"/>
    <w:rsid w:val="50E92F83"/>
    <w:rsid w:val="512C4710"/>
    <w:rsid w:val="51340035"/>
    <w:rsid w:val="52362CCF"/>
    <w:rsid w:val="53065A01"/>
    <w:rsid w:val="53505621"/>
    <w:rsid w:val="53A07C40"/>
    <w:rsid w:val="542C7A3A"/>
    <w:rsid w:val="54F70673"/>
    <w:rsid w:val="55002E7C"/>
    <w:rsid w:val="550313FF"/>
    <w:rsid w:val="550E730B"/>
    <w:rsid w:val="558F5131"/>
    <w:rsid w:val="55F1000B"/>
    <w:rsid w:val="564E1B99"/>
    <w:rsid w:val="568C7714"/>
    <w:rsid w:val="56AB465A"/>
    <w:rsid w:val="57CC7219"/>
    <w:rsid w:val="57D13339"/>
    <w:rsid w:val="57EA5555"/>
    <w:rsid w:val="584447AB"/>
    <w:rsid w:val="58F74C8A"/>
    <w:rsid w:val="59004D9B"/>
    <w:rsid w:val="592C32C2"/>
    <w:rsid w:val="596F2552"/>
    <w:rsid w:val="59924282"/>
    <w:rsid w:val="59AD5D45"/>
    <w:rsid w:val="59F04E32"/>
    <w:rsid w:val="5A51593C"/>
    <w:rsid w:val="5B436ECF"/>
    <w:rsid w:val="5B670BF6"/>
    <w:rsid w:val="5E076966"/>
    <w:rsid w:val="5E841E57"/>
    <w:rsid w:val="5F0816FE"/>
    <w:rsid w:val="5F773377"/>
    <w:rsid w:val="60630ED0"/>
    <w:rsid w:val="606C40EC"/>
    <w:rsid w:val="60DF1E59"/>
    <w:rsid w:val="617A2D4D"/>
    <w:rsid w:val="61C62F2B"/>
    <w:rsid w:val="62165C60"/>
    <w:rsid w:val="62526006"/>
    <w:rsid w:val="628B101E"/>
    <w:rsid w:val="62BF4CFB"/>
    <w:rsid w:val="63083D19"/>
    <w:rsid w:val="630F1BCE"/>
    <w:rsid w:val="63490A4E"/>
    <w:rsid w:val="63F35708"/>
    <w:rsid w:val="64CA0F84"/>
    <w:rsid w:val="65024ACE"/>
    <w:rsid w:val="6520266F"/>
    <w:rsid w:val="65291BBE"/>
    <w:rsid w:val="65D649A4"/>
    <w:rsid w:val="6601299F"/>
    <w:rsid w:val="66427839"/>
    <w:rsid w:val="666A1C92"/>
    <w:rsid w:val="668B61ED"/>
    <w:rsid w:val="676B3721"/>
    <w:rsid w:val="677139C7"/>
    <w:rsid w:val="677960F6"/>
    <w:rsid w:val="67B46602"/>
    <w:rsid w:val="67CC242E"/>
    <w:rsid w:val="685963E3"/>
    <w:rsid w:val="68CC58FB"/>
    <w:rsid w:val="699B26CD"/>
    <w:rsid w:val="69AC2A06"/>
    <w:rsid w:val="69D36EB7"/>
    <w:rsid w:val="6A4466A8"/>
    <w:rsid w:val="6A8E65C9"/>
    <w:rsid w:val="6AAA28A3"/>
    <w:rsid w:val="6BA87F58"/>
    <w:rsid w:val="6BAA2A56"/>
    <w:rsid w:val="6BAA3CDC"/>
    <w:rsid w:val="6BDB6A43"/>
    <w:rsid w:val="6C6010F5"/>
    <w:rsid w:val="6D5933E3"/>
    <w:rsid w:val="6DBB1254"/>
    <w:rsid w:val="6DD2172E"/>
    <w:rsid w:val="6E557999"/>
    <w:rsid w:val="6E677BD6"/>
    <w:rsid w:val="6EFA06B8"/>
    <w:rsid w:val="6F3126D1"/>
    <w:rsid w:val="6FD46AC9"/>
    <w:rsid w:val="700F6FEA"/>
    <w:rsid w:val="716E1B94"/>
    <w:rsid w:val="71CE74ED"/>
    <w:rsid w:val="72C255CB"/>
    <w:rsid w:val="734A179A"/>
    <w:rsid w:val="73627745"/>
    <w:rsid w:val="73AF6323"/>
    <w:rsid w:val="74557542"/>
    <w:rsid w:val="74856272"/>
    <w:rsid w:val="74C33758"/>
    <w:rsid w:val="74C66EA0"/>
    <w:rsid w:val="750D7797"/>
    <w:rsid w:val="750E6C6B"/>
    <w:rsid w:val="75104A44"/>
    <w:rsid w:val="75576107"/>
    <w:rsid w:val="75737C60"/>
    <w:rsid w:val="75D52C2B"/>
    <w:rsid w:val="7634625D"/>
    <w:rsid w:val="769F65F0"/>
    <w:rsid w:val="76FE10CA"/>
    <w:rsid w:val="777B5F06"/>
    <w:rsid w:val="77E45A7F"/>
    <w:rsid w:val="78A36BEA"/>
    <w:rsid w:val="79056D9A"/>
    <w:rsid w:val="7AE57793"/>
    <w:rsid w:val="7C3505D4"/>
    <w:rsid w:val="7D362124"/>
    <w:rsid w:val="7DBE54A9"/>
    <w:rsid w:val="7DE241D2"/>
    <w:rsid w:val="7E336694"/>
    <w:rsid w:val="7E345696"/>
    <w:rsid w:val="7F0B66C0"/>
    <w:rsid w:val="7F1C7267"/>
    <w:rsid w:val="7F4D0D84"/>
    <w:rsid w:val="7FDD548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autoRedefine/>
    <w:unhideWhenUsed/>
    <w:qFormat/>
    <w:uiPriority w:val="0"/>
    <w:pPr>
      <w:spacing w:beforeAutospacing="0" w:afterAutospacing="0"/>
      <w:jc w:val="left"/>
      <w:outlineLvl w:val="1"/>
    </w:pPr>
    <w:rPr>
      <w:rFonts w:hint="eastAsia" w:ascii="宋体" w:hAnsi="宋体" w:eastAsia="宋体"/>
      <w:b/>
      <w:bCs/>
      <w:kern w:val="0"/>
      <w:sz w:val="24"/>
      <w:szCs w:val="36"/>
    </w:rPr>
  </w:style>
  <w:style w:type="paragraph" w:styleId="4">
    <w:name w:val="heading 3"/>
    <w:basedOn w:val="1"/>
    <w:next w:val="1"/>
    <w:autoRedefine/>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autoRedefine/>
    <w:qFormat/>
    <w:uiPriority w:val="99"/>
    <w:pPr>
      <w:widowControl/>
      <w:ind w:firstLine="420"/>
      <w:jc w:val="left"/>
    </w:pPr>
    <w:rPr>
      <w:sz w:val="20"/>
      <w:szCs w:val="20"/>
    </w:rPr>
  </w:style>
  <w:style w:type="paragraph" w:customStyle="1" w:styleId="6">
    <w:name w:val="表头"/>
    <w:basedOn w:val="7"/>
    <w:next w:val="1"/>
    <w:autoRedefine/>
    <w:semiHidden/>
    <w:qFormat/>
    <w:uiPriority w:val="0"/>
    <w:pPr>
      <w:tabs>
        <w:tab w:val="left" w:pos="420"/>
        <w:tab w:val="right" w:leader="dot" w:pos="8494"/>
      </w:tabs>
      <w:spacing w:beforeLines="50" w:line="400" w:lineRule="exact"/>
      <w:jc w:val="center"/>
    </w:pPr>
    <w:rPr>
      <w:rFonts w:ascii="宋体" w:hAnsi="宋体"/>
      <w:b/>
    </w:rPr>
  </w:style>
  <w:style w:type="paragraph" w:styleId="7">
    <w:name w:val="List"/>
    <w:basedOn w:val="1"/>
    <w:autoRedefine/>
    <w:qFormat/>
    <w:uiPriority w:val="0"/>
    <w:pPr>
      <w:ind w:left="200" w:hanging="200" w:hangingChars="200"/>
    </w:pPr>
  </w:style>
  <w:style w:type="paragraph" w:styleId="8">
    <w:name w:val="caption"/>
    <w:basedOn w:val="1"/>
    <w:next w:val="1"/>
    <w:qFormat/>
    <w:uiPriority w:val="0"/>
    <w:pPr>
      <w:outlineLvl w:val="4"/>
    </w:pPr>
    <w:rPr>
      <w:rFonts w:ascii="宋体" w:hAnsi="宋体"/>
      <w:b/>
    </w:rPr>
  </w:style>
  <w:style w:type="paragraph" w:styleId="9">
    <w:name w:val="annotation text"/>
    <w:basedOn w:val="1"/>
    <w:link w:val="57"/>
    <w:autoRedefine/>
    <w:unhideWhenUsed/>
    <w:qFormat/>
    <w:uiPriority w:val="0"/>
    <w:pPr>
      <w:jc w:val="left"/>
    </w:pPr>
  </w:style>
  <w:style w:type="paragraph" w:styleId="10">
    <w:name w:val="Body Text"/>
    <w:basedOn w:val="1"/>
    <w:autoRedefine/>
    <w:qFormat/>
    <w:uiPriority w:val="1"/>
    <w:pPr>
      <w:autoSpaceDE w:val="0"/>
      <w:autoSpaceDN w:val="0"/>
      <w:jc w:val="left"/>
    </w:pPr>
    <w:rPr>
      <w:rFonts w:ascii="宋体" w:hAnsi="宋体" w:cs="宋体"/>
      <w:sz w:val="24"/>
    </w:rPr>
  </w:style>
  <w:style w:type="paragraph" w:styleId="11">
    <w:name w:val="Body Text Indent"/>
    <w:basedOn w:val="1"/>
    <w:qFormat/>
    <w:uiPriority w:val="0"/>
    <w:pPr>
      <w:spacing w:after="120"/>
      <w:ind w:left="420" w:leftChars="200"/>
    </w:pPr>
    <w:rPr>
      <w:kern w:val="0"/>
      <w:sz w:val="24"/>
      <w:szCs w:val="20"/>
    </w:rPr>
  </w:style>
  <w:style w:type="paragraph" w:styleId="12">
    <w:name w:val="Block Text"/>
    <w:basedOn w:val="1"/>
    <w:autoRedefine/>
    <w:qFormat/>
    <w:uiPriority w:val="0"/>
    <w:pPr>
      <w:spacing w:line="360" w:lineRule="exact"/>
      <w:ind w:left="113" w:right="113"/>
      <w:jc w:val="center"/>
    </w:pPr>
    <w:rPr>
      <w:rFonts w:ascii="宋体" w:hAnsi="宋体"/>
      <w:color w:val="000000"/>
    </w:rPr>
  </w:style>
  <w:style w:type="paragraph" w:styleId="13">
    <w:name w:val="Plain Text"/>
    <w:basedOn w:val="1"/>
    <w:autoRedefine/>
    <w:qFormat/>
    <w:uiPriority w:val="0"/>
    <w:rPr>
      <w:rFonts w:ascii="宋体" w:hAnsi="Courier New" w:cs="宋体"/>
    </w:rPr>
  </w:style>
  <w:style w:type="paragraph" w:styleId="14">
    <w:name w:val="List Bullet 5"/>
    <w:basedOn w:val="1"/>
    <w:qFormat/>
    <w:uiPriority w:val="0"/>
    <w:pPr>
      <w:numPr>
        <w:ilvl w:val="0"/>
        <w:numId w:val="1"/>
      </w:numPr>
    </w:pPr>
  </w:style>
  <w:style w:type="paragraph" w:styleId="15">
    <w:name w:val="Date"/>
    <w:basedOn w:val="1"/>
    <w:next w:val="1"/>
    <w:qFormat/>
    <w:uiPriority w:val="99"/>
    <w:pPr>
      <w:ind w:left="100" w:leftChars="2500"/>
    </w:pPr>
  </w:style>
  <w:style w:type="paragraph" w:styleId="16">
    <w:name w:val="Body Text Indent 2"/>
    <w:basedOn w:val="1"/>
    <w:next w:val="1"/>
    <w:autoRedefine/>
    <w:qFormat/>
    <w:uiPriority w:val="99"/>
    <w:pPr>
      <w:spacing w:after="120" w:line="480" w:lineRule="auto"/>
      <w:ind w:left="420" w:leftChars="200"/>
    </w:pPr>
  </w:style>
  <w:style w:type="paragraph" w:styleId="17">
    <w:name w:val="Balloon Text"/>
    <w:basedOn w:val="1"/>
    <w:link w:val="56"/>
    <w:qFormat/>
    <w:uiPriority w:val="0"/>
    <w:rPr>
      <w:sz w:val="18"/>
      <w:szCs w:val="18"/>
    </w:rPr>
  </w:style>
  <w:style w:type="paragraph" w:styleId="18">
    <w:name w:val="footer"/>
    <w:basedOn w:val="1"/>
    <w:autoRedefine/>
    <w:qFormat/>
    <w:uiPriority w:val="99"/>
    <w:pPr>
      <w:tabs>
        <w:tab w:val="center" w:pos="4153"/>
        <w:tab w:val="right" w:pos="8306"/>
      </w:tabs>
      <w:snapToGrid w:val="0"/>
      <w:jc w:val="left"/>
    </w:pPr>
    <w:rPr>
      <w:kern w:val="0"/>
      <w:sz w:val="18"/>
      <w:szCs w:val="20"/>
    </w:rPr>
  </w:style>
  <w:style w:type="paragraph" w:styleId="19">
    <w:name w:val="header"/>
    <w:basedOn w:val="1"/>
    <w:next w:val="20"/>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20">
    <w:name w:val="样式5"/>
    <w:unhideWhenUsed/>
    <w:qFormat/>
    <w:uiPriority w:val="0"/>
    <w:pPr>
      <w:widowControl w:val="0"/>
      <w:spacing w:line="480" w:lineRule="atLeast"/>
      <w:jc w:val="center"/>
    </w:pPr>
    <w:rPr>
      <w:rFonts w:hint="eastAsia" w:ascii="宋体" w:hAnsi="宋体" w:eastAsia="宋体" w:cs="Times New Roman"/>
      <w:kern w:val="2"/>
      <w:sz w:val="21"/>
      <w:szCs w:val="24"/>
      <w:lang w:val="en-US" w:eastAsia="zh-CN" w:bidi="ar-SA"/>
    </w:rPr>
  </w:style>
  <w:style w:type="paragraph" w:styleId="21">
    <w:name w:val="toc 1"/>
    <w:basedOn w:val="1"/>
    <w:next w:val="1"/>
    <w:autoRedefine/>
    <w:semiHidden/>
    <w:qFormat/>
    <w:uiPriority w:val="0"/>
    <w:pPr>
      <w:tabs>
        <w:tab w:val="left" w:pos="420"/>
        <w:tab w:val="right" w:leader="dot" w:pos="8494"/>
      </w:tabs>
      <w:spacing w:beforeLines="30" w:afterLines="30" w:line="360" w:lineRule="auto"/>
      <w:jc w:val="left"/>
    </w:pPr>
    <w:rPr>
      <w:bCs/>
      <w:caps/>
      <w:sz w:val="24"/>
    </w:rPr>
  </w:style>
  <w:style w:type="paragraph" w:styleId="22">
    <w:name w:val="toc 2"/>
    <w:basedOn w:val="1"/>
    <w:next w:val="1"/>
    <w:autoRedefine/>
    <w:unhideWhenUsed/>
    <w:qFormat/>
    <w:uiPriority w:val="39"/>
    <w:pPr>
      <w:jc w:val="center"/>
    </w:pPr>
    <w:rPr>
      <w:szCs w:val="22"/>
    </w:rPr>
  </w:style>
  <w:style w:type="paragraph" w:styleId="23">
    <w:name w:val="Body Text 2"/>
    <w:basedOn w:val="1"/>
    <w:autoRedefine/>
    <w:qFormat/>
    <w:uiPriority w:val="0"/>
    <w:pPr>
      <w:adjustRightInd w:val="0"/>
      <w:snapToGrid w:val="0"/>
      <w:spacing w:line="360" w:lineRule="auto"/>
      <w:jc w:val="center"/>
    </w:pPr>
    <w:rPr>
      <w:rFonts w:eastAsia="华文行楷"/>
      <w:bCs/>
      <w:sz w:val="52"/>
    </w:rPr>
  </w:style>
  <w:style w:type="paragraph" w:styleId="24">
    <w:name w:val="Normal (Web)"/>
    <w:basedOn w:val="1"/>
    <w:autoRedefine/>
    <w:qFormat/>
    <w:uiPriority w:val="0"/>
    <w:pPr>
      <w:widowControl/>
      <w:spacing w:before="100" w:beforeAutospacing="1" w:after="100" w:afterAutospacing="1"/>
      <w:jc w:val="left"/>
    </w:pPr>
    <w:rPr>
      <w:rFonts w:ascii="宋体" w:hAnsi="宋体"/>
      <w:kern w:val="0"/>
      <w:sz w:val="24"/>
      <w:szCs w:val="20"/>
    </w:rPr>
  </w:style>
  <w:style w:type="paragraph" w:styleId="25">
    <w:name w:val="annotation subject"/>
    <w:basedOn w:val="9"/>
    <w:next w:val="9"/>
    <w:link w:val="58"/>
    <w:qFormat/>
    <w:uiPriority w:val="0"/>
    <w:rPr>
      <w:b/>
      <w:bCs/>
    </w:rPr>
  </w:style>
  <w:style w:type="paragraph" w:styleId="26">
    <w:name w:val="Body Text First Indent"/>
    <w:basedOn w:val="1"/>
    <w:autoRedefine/>
    <w:qFormat/>
    <w:uiPriority w:val="0"/>
    <w:pPr>
      <w:spacing w:line="312" w:lineRule="auto"/>
      <w:ind w:firstLine="482"/>
      <w:jc w:val="left"/>
    </w:pPr>
    <w:rPr>
      <w:kern w:val="0"/>
      <w:sz w:val="24"/>
    </w:rPr>
  </w:style>
  <w:style w:type="paragraph" w:styleId="27">
    <w:name w:val="Body Text First Indent 2"/>
    <w:basedOn w:val="11"/>
    <w:unhideWhenUsed/>
    <w:qFormat/>
    <w:uiPriority w:val="0"/>
    <w:pPr>
      <w:spacing w:beforeLines="0" w:afterLines="0" w:line="500" w:lineRule="exact"/>
      <w:ind w:firstLine="420" w:firstLineChars="200"/>
    </w:pPr>
    <w:rPr>
      <w:rFonts w:hint="eastAsia" w:ascii="宋体" w:hAnsi="宋体"/>
      <w:color w:val="000000"/>
      <w:kern w:val="2"/>
      <w:sz w:val="24"/>
      <w:szCs w:val="20"/>
    </w:rPr>
  </w:style>
  <w:style w:type="table" w:styleId="29">
    <w:name w:val="Table Grid"/>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basedOn w:val="30"/>
    <w:autoRedefine/>
    <w:qFormat/>
    <w:uiPriority w:val="0"/>
    <w:rPr>
      <w:b/>
    </w:rPr>
  </w:style>
  <w:style w:type="character" w:styleId="32">
    <w:name w:val="page number"/>
    <w:basedOn w:val="30"/>
    <w:autoRedefine/>
    <w:qFormat/>
    <w:uiPriority w:val="0"/>
  </w:style>
  <w:style w:type="character" w:styleId="33">
    <w:name w:val="Hyperlink"/>
    <w:basedOn w:val="30"/>
    <w:autoRedefine/>
    <w:qFormat/>
    <w:uiPriority w:val="0"/>
    <w:rPr>
      <w:color w:val="0000FF"/>
      <w:u w:val="single"/>
    </w:rPr>
  </w:style>
  <w:style w:type="character" w:styleId="34">
    <w:name w:val="annotation reference"/>
    <w:autoRedefine/>
    <w:qFormat/>
    <w:uiPriority w:val="0"/>
    <w:rPr>
      <w:sz w:val="21"/>
      <w:szCs w:val="21"/>
    </w:rPr>
  </w:style>
  <w:style w:type="paragraph" w:customStyle="1" w:styleId="35">
    <w:name w:val="样式 正文11 + 首行缩进:  2 字符"/>
    <w:basedOn w:val="36"/>
    <w:autoRedefine/>
    <w:qFormat/>
    <w:uiPriority w:val="0"/>
    <w:pPr>
      <w:spacing w:line="500" w:lineRule="exact"/>
      <w:ind w:firstLine="560" w:firstLineChars="200"/>
    </w:pPr>
    <w:rPr>
      <w:rFonts w:cs="宋体"/>
      <w:color w:val="FF0000"/>
      <w:kern w:val="2"/>
      <w:sz w:val="28"/>
      <w:szCs w:val="28"/>
    </w:rPr>
  </w:style>
  <w:style w:type="paragraph" w:customStyle="1" w:styleId="36">
    <w:name w:val="O.K.1"/>
    <w:basedOn w:val="3"/>
    <w:autoRedefine/>
    <w:qFormat/>
    <w:uiPriority w:val="0"/>
    <w:pPr>
      <w:ind w:firstLine="482"/>
    </w:pPr>
  </w:style>
  <w:style w:type="paragraph" w:customStyle="1" w:styleId="37">
    <w:name w:val="表格内"/>
    <w:basedOn w:val="7"/>
    <w:next w:val="1"/>
    <w:autoRedefine/>
    <w:qFormat/>
    <w:uiPriority w:val="0"/>
    <w:pPr>
      <w:spacing w:line="360" w:lineRule="exact"/>
      <w:ind w:firstLine="0" w:firstLineChars="0"/>
    </w:pPr>
    <w:rPr>
      <w:rFonts w:eastAsia="Times New Roman"/>
      <w:szCs w:val="21"/>
    </w:rPr>
  </w:style>
  <w:style w:type="paragraph" w:customStyle="1" w:styleId="38">
    <w:name w:val="Default"/>
    <w:basedOn w:val="39"/>
    <w:autoRedefine/>
    <w:qFormat/>
    <w:uiPriority w:val="0"/>
    <w:pPr>
      <w:autoSpaceDE w:val="0"/>
      <w:autoSpaceDN w:val="0"/>
    </w:pPr>
    <w:rPr>
      <w:rFonts w:ascii="Times New Roman" w:hAnsi="Times New Roman"/>
      <w:color w:val="000000"/>
      <w:sz w:val="24"/>
      <w:szCs w:val="24"/>
    </w:rPr>
  </w:style>
  <w:style w:type="paragraph" w:customStyle="1" w:styleId="39">
    <w:name w:val="纯文本1"/>
    <w:basedOn w:val="1"/>
    <w:next w:val="1"/>
    <w:autoRedefine/>
    <w:qFormat/>
    <w:uiPriority w:val="0"/>
    <w:pPr>
      <w:adjustRightInd w:val="0"/>
    </w:pPr>
    <w:rPr>
      <w:rFonts w:ascii="宋体" w:hAnsi="Courier New"/>
      <w:szCs w:val="20"/>
    </w:rPr>
  </w:style>
  <w:style w:type="paragraph" w:customStyle="1" w:styleId="40">
    <w:name w:val="默认段落"/>
    <w:basedOn w:val="1"/>
    <w:autoRedefine/>
    <w:qFormat/>
    <w:uiPriority w:val="99"/>
  </w:style>
  <w:style w:type="paragraph" w:customStyle="1" w:styleId="41">
    <w:name w:val="表格"/>
    <w:basedOn w:val="42"/>
    <w:autoRedefine/>
    <w:qFormat/>
    <w:uiPriority w:val="0"/>
    <w:pPr>
      <w:tabs>
        <w:tab w:val="left" w:pos="420"/>
        <w:tab w:val="right" w:leader="dot" w:pos="8494"/>
      </w:tabs>
      <w:adjustRightInd w:val="0"/>
      <w:snapToGrid w:val="0"/>
      <w:spacing w:beforeLines="10" w:afterLines="10" w:line="259" w:lineRule="auto"/>
    </w:pPr>
    <w:rPr>
      <w:kern w:val="0"/>
      <w:szCs w:val="20"/>
    </w:rPr>
  </w:style>
  <w:style w:type="paragraph" w:customStyle="1" w:styleId="42">
    <w:name w:val="表格格式"/>
    <w:basedOn w:val="1"/>
    <w:autoRedefine/>
    <w:qFormat/>
    <w:uiPriority w:val="0"/>
    <w:pPr>
      <w:jc w:val="left"/>
    </w:pPr>
    <w:rPr>
      <w:rFonts w:ascii="仿宋" w:hAnsi="Times New Roman" w:eastAsia="仿宋" w:cs="Times New Roman"/>
      <w:bCs/>
      <w:color w:val="000000"/>
      <w:kern w:val="0"/>
      <w:szCs w:val="21"/>
    </w:rPr>
  </w:style>
  <w:style w:type="paragraph" w:customStyle="1" w:styleId="43">
    <w:name w:val="Table Text"/>
    <w:basedOn w:val="1"/>
    <w:autoRedefine/>
    <w:semiHidden/>
    <w:qFormat/>
    <w:uiPriority w:val="0"/>
    <w:rPr>
      <w:rFonts w:ascii="宋体" w:hAnsi="宋体" w:cs="宋体"/>
      <w:sz w:val="23"/>
      <w:szCs w:val="23"/>
      <w:lang w:eastAsia="en-US"/>
    </w:rPr>
  </w:style>
  <w:style w:type="table" w:customStyle="1" w:styleId="44">
    <w:name w:val="Table Normal"/>
    <w:autoRedefine/>
    <w:unhideWhenUsed/>
    <w:qFormat/>
    <w:uiPriority w:val="0"/>
    <w:tblPr>
      <w:tblCellMar>
        <w:top w:w="0" w:type="dxa"/>
        <w:left w:w="0" w:type="dxa"/>
        <w:bottom w:w="0" w:type="dxa"/>
        <w:right w:w="0" w:type="dxa"/>
      </w:tblCellMar>
    </w:tblPr>
  </w:style>
  <w:style w:type="paragraph" w:customStyle="1" w:styleId="45">
    <w:name w:val="环保表头"/>
    <w:basedOn w:val="1"/>
    <w:autoRedefine/>
    <w:qFormat/>
    <w:uiPriority w:val="0"/>
    <w:pPr>
      <w:widowControl/>
      <w:spacing w:beforeLines="50" w:after="100" w:afterAutospacing="1"/>
      <w:jc w:val="center"/>
    </w:pPr>
    <w:rPr>
      <w:rFonts w:ascii="宋体" w:hAnsi="宋体" w:eastAsia="Times New Roman"/>
      <w:b/>
      <w:bCs/>
      <w:color w:val="FF0000"/>
    </w:rPr>
  </w:style>
  <w:style w:type="paragraph" w:customStyle="1" w:styleId="46">
    <w:name w:val="环保表内字（五号）"/>
    <w:basedOn w:val="1"/>
    <w:autoRedefine/>
    <w:qFormat/>
    <w:uiPriority w:val="0"/>
    <w:pPr>
      <w:adjustRightInd w:val="0"/>
      <w:snapToGrid w:val="0"/>
      <w:spacing w:line="0" w:lineRule="atLeast"/>
      <w:jc w:val="center"/>
    </w:pPr>
    <w:rPr>
      <w:snapToGrid w:val="0"/>
      <w:sz w:val="18"/>
      <w:szCs w:val="18"/>
    </w:rPr>
  </w:style>
  <w:style w:type="paragraph" w:customStyle="1" w:styleId="47">
    <w:name w:val="Table Paragraph"/>
    <w:basedOn w:val="1"/>
    <w:autoRedefine/>
    <w:qFormat/>
    <w:uiPriority w:val="0"/>
    <w:pPr>
      <w:autoSpaceDE w:val="0"/>
      <w:autoSpaceDN w:val="0"/>
      <w:jc w:val="left"/>
    </w:pPr>
    <w:rPr>
      <w:rFonts w:ascii="宋体" w:hAnsi="宋体" w:cs="宋体"/>
      <w:sz w:val="22"/>
      <w:szCs w:val="22"/>
    </w:rPr>
  </w:style>
  <w:style w:type="paragraph" w:customStyle="1" w:styleId="48">
    <w:name w:val="晓丹"/>
    <w:autoRedefine/>
    <w:qFormat/>
    <w:uiPriority w:val="99"/>
    <w:pPr>
      <w:adjustRightInd w:val="0"/>
      <w:snapToGrid w:val="0"/>
      <w:spacing w:line="360" w:lineRule="auto"/>
      <w:ind w:firstLine="200" w:firstLineChars="200"/>
      <w:textAlignment w:val="baseline"/>
    </w:pPr>
    <w:rPr>
      <w:rFonts w:ascii="宋体" w:hAnsi="Calibri" w:eastAsia="宋体" w:cs="黑体"/>
      <w:color w:val="000000"/>
      <w:spacing w:val="6"/>
      <w:sz w:val="24"/>
      <w:lang w:val="en-US" w:eastAsia="zh-CN" w:bidi="ar-SA"/>
    </w:rPr>
  </w:style>
  <w:style w:type="paragraph" w:customStyle="1" w:styleId="49">
    <w:name w:val="文章正文"/>
    <w:autoRedefine/>
    <w:qFormat/>
    <w:uiPriority w:val="0"/>
    <w:pPr>
      <w:spacing w:line="360" w:lineRule="auto"/>
      <w:ind w:firstLine="200" w:firstLineChars="200"/>
    </w:pPr>
    <w:rPr>
      <w:rFonts w:ascii="宋体" w:hAnsi="宋体" w:eastAsia="宋体" w:cs="宋体"/>
      <w:sz w:val="24"/>
      <w:szCs w:val="24"/>
      <w:lang w:val="en-US" w:eastAsia="zh-CN" w:bidi="ar-SA"/>
    </w:rPr>
  </w:style>
  <w:style w:type="paragraph" w:customStyle="1" w:styleId="50">
    <w:name w:val="+正文"/>
    <w:basedOn w:val="1"/>
    <w:autoRedefine/>
    <w:qFormat/>
    <w:uiPriority w:val="0"/>
    <w:pPr>
      <w:spacing w:line="360" w:lineRule="auto"/>
      <w:ind w:firstLine="200" w:firstLineChars="200"/>
    </w:pPr>
    <w:rPr>
      <w:sz w:val="28"/>
      <w:szCs w:val="28"/>
    </w:rPr>
  </w:style>
  <w:style w:type="paragraph" w:customStyle="1" w:styleId="51">
    <w:name w:val="0正文"/>
    <w:basedOn w:val="1"/>
    <w:autoRedefine/>
    <w:qFormat/>
    <w:uiPriority w:val="0"/>
    <w:pPr>
      <w:ind w:firstLine="720"/>
    </w:pPr>
  </w:style>
  <w:style w:type="paragraph" w:customStyle="1" w:styleId="52">
    <w:name w:val="z环评正文"/>
    <w:basedOn w:val="1"/>
    <w:autoRedefine/>
    <w:qFormat/>
    <w:uiPriority w:val="0"/>
    <w:pPr>
      <w:spacing w:line="360" w:lineRule="auto"/>
      <w:ind w:firstLine="200" w:firstLineChars="200"/>
    </w:pPr>
    <w:rPr>
      <w:rFonts w:ascii="Calibri" w:hAnsi="Calibri"/>
      <w:sz w:val="24"/>
    </w:rPr>
  </w:style>
  <w:style w:type="paragraph" w:customStyle="1" w:styleId="53">
    <w:name w:val="报告表正文"/>
    <w:basedOn w:val="5"/>
    <w:autoRedefine/>
    <w:qFormat/>
    <w:uiPriority w:val="0"/>
    <w:rPr>
      <w:rFonts w:ascii="宋体" w:hAnsi="Arial" w:cs="黑体"/>
      <w:sz w:val="24"/>
    </w:rPr>
  </w:style>
  <w:style w:type="paragraph" w:customStyle="1" w:styleId="54">
    <w:name w:val="表格标题"/>
    <w:basedOn w:val="41"/>
    <w:autoRedefine/>
    <w:qFormat/>
    <w:uiPriority w:val="0"/>
    <w:pPr>
      <w:tabs>
        <w:tab w:val="left" w:pos="539"/>
        <w:tab w:val="left" w:pos="1257"/>
      </w:tabs>
      <w:spacing w:line="240" w:lineRule="auto"/>
    </w:pPr>
  </w:style>
  <w:style w:type="paragraph" w:customStyle="1" w:styleId="55">
    <w:name w:val="表格2（紧凑）"/>
    <w:basedOn w:val="41"/>
    <w:autoRedefine/>
    <w:qFormat/>
    <w:uiPriority w:val="0"/>
    <w:pPr>
      <w:spacing w:line="0" w:lineRule="atLeast"/>
    </w:pPr>
  </w:style>
  <w:style w:type="character" w:customStyle="1" w:styleId="56">
    <w:name w:val="批注框文本 Char"/>
    <w:basedOn w:val="30"/>
    <w:link w:val="17"/>
    <w:qFormat/>
    <w:uiPriority w:val="0"/>
    <w:rPr>
      <w:kern w:val="2"/>
      <w:sz w:val="18"/>
      <w:szCs w:val="18"/>
    </w:rPr>
  </w:style>
  <w:style w:type="character" w:customStyle="1" w:styleId="57">
    <w:name w:val="批注文字 Char"/>
    <w:basedOn w:val="30"/>
    <w:link w:val="9"/>
    <w:qFormat/>
    <w:uiPriority w:val="0"/>
    <w:rPr>
      <w:kern w:val="2"/>
      <w:sz w:val="21"/>
      <w:szCs w:val="24"/>
    </w:rPr>
  </w:style>
  <w:style w:type="character" w:customStyle="1" w:styleId="58">
    <w:name w:val="批注主题 Char"/>
    <w:basedOn w:val="57"/>
    <w:link w:val="25"/>
    <w:qFormat/>
    <w:uiPriority w:val="0"/>
    <w:rPr>
      <w:b/>
      <w:bCs/>
      <w:kern w:val="2"/>
      <w:sz w:val="21"/>
      <w:szCs w:val="24"/>
    </w:rPr>
  </w:style>
  <w:style w:type="table" w:customStyle="1" w:styleId="59">
    <w:name w:val="表格式2"/>
    <w:basedOn w:val="28"/>
    <w:autoRedefine/>
    <w:qFormat/>
    <w:uiPriority w:val="59"/>
    <w:pPr>
      <w:widowControl w:val="0"/>
      <w:spacing w:before="120" w:after="120" w:line="360" w:lineRule="exact"/>
      <w:ind w:firstLine="482"/>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0">
    <w:name w:val="表格式4"/>
    <w:basedOn w:val="28"/>
    <w:autoRedefine/>
    <w:qFormat/>
    <w:uiPriority w:val="59"/>
    <w:pPr>
      <w:widowControl w:val="0"/>
      <w:spacing w:before="120" w:after="120" w:line="360" w:lineRule="exact"/>
      <w:ind w:firstLine="482"/>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1">
    <w:name w:val="正文文本缩进 21"/>
    <w:basedOn w:val="62"/>
    <w:unhideWhenUsed/>
    <w:qFormat/>
    <w:uiPriority w:val="0"/>
    <w:pPr>
      <w:spacing w:beforeLines="0" w:afterLines="0" w:line="400" w:lineRule="exact"/>
      <w:ind w:firstLine="480"/>
    </w:pPr>
    <w:rPr>
      <w:rFonts w:hint="default"/>
      <w:sz w:val="24"/>
      <w:szCs w:val="24"/>
    </w:rPr>
  </w:style>
  <w:style w:type="paragraph" w:customStyle="1" w:styleId="62">
    <w:name w:val="正文文本缩进 31"/>
    <w:basedOn w:val="1"/>
    <w:unhideWhenUsed/>
    <w:qFormat/>
    <w:uiPriority w:val="0"/>
    <w:pPr>
      <w:spacing w:beforeLines="0" w:afterLines="0" w:line="500" w:lineRule="exact"/>
      <w:ind w:firstLine="560" w:firstLineChars="200"/>
    </w:pPr>
    <w:rPr>
      <w:rFonts w:hint="default"/>
      <w:sz w:val="28"/>
      <w:szCs w:val="24"/>
    </w:rPr>
  </w:style>
  <w:style w:type="paragraph" w:customStyle="1" w:styleId="63">
    <w:name w:val="2兴业表格"/>
    <w:basedOn w:val="1"/>
    <w:unhideWhenUsed/>
    <w:qFormat/>
    <w:uiPriority w:val="0"/>
    <w:pPr>
      <w:spacing w:beforeLines="0" w:afterLines="0"/>
      <w:jc w:val="center"/>
    </w:pPr>
    <w:rPr>
      <w:rFonts w:hint="default"/>
      <w:sz w:val="21"/>
      <w:szCs w:val="21"/>
    </w:rPr>
  </w:style>
  <w:style w:type="character" w:customStyle="1" w:styleId="64">
    <w:name w:val="font31"/>
    <w:basedOn w:val="30"/>
    <w:qFormat/>
    <w:uiPriority w:val="0"/>
    <w:rPr>
      <w:rFonts w:ascii="宋体" w:hAnsi="宋体" w:eastAsia="宋体" w:cs="宋体"/>
      <w:color w:val="000000"/>
      <w:sz w:val="26"/>
      <w:szCs w:val="26"/>
      <w:u w:val="none"/>
    </w:rPr>
  </w:style>
  <w:style w:type="character" w:customStyle="1" w:styleId="65">
    <w:name w:val="font41"/>
    <w:basedOn w:val="30"/>
    <w:qFormat/>
    <w:uiPriority w:val="0"/>
    <w:rPr>
      <w:rFonts w:hint="default" w:ascii="Calibri" w:hAnsi="Calibri" w:cs="Calibri"/>
      <w:color w:val="000000"/>
      <w:sz w:val="26"/>
      <w:szCs w:val="26"/>
      <w:u w:val="none"/>
    </w:rPr>
  </w:style>
  <w:style w:type="paragraph" w:customStyle="1" w:styleId="66">
    <w:name w:val="表格内容"/>
    <w:next w:val="1"/>
    <w:qFormat/>
    <w:uiPriority w:val="99"/>
    <w:pPr>
      <w:jc w:val="center"/>
    </w:pPr>
    <w:rPr>
      <w:rFonts w:ascii="Times New Roman" w:hAnsi="Times New Roman" w:eastAsia="宋体" w:cs="Times New Roman"/>
      <w:color w:val="000000"/>
      <w:kern w:val="2"/>
      <w:sz w:val="21"/>
      <w:szCs w:val="24"/>
      <w:lang w:val="en-US" w:eastAsia="zh-CN" w:bidi="ar-SA"/>
    </w:rPr>
  </w:style>
  <w:style w:type="paragraph" w:customStyle="1" w:styleId="67">
    <w:name w:val="表头样式1"/>
    <w:basedOn w:val="1"/>
    <w:unhideWhenUsed/>
    <w:qFormat/>
    <w:uiPriority w:val="0"/>
    <w:pPr>
      <w:spacing w:before="240" w:beforeLines="0" w:after="120" w:afterLines="0" w:line="380" w:lineRule="atLeast"/>
      <w:ind w:firstLine="200" w:firstLineChars="200"/>
      <w:jc w:val="center"/>
    </w:pPr>
    <w:rPr>
      <w:rFonts w:hint="default" w:ascii="Calibri" w:hAnsi="Calibri" w:eastAsia="黑体"/>
      <w:b/>
      <w:sz w:val="24"/>
      <w:szCs w:val="22"/>
    </w:rPr>
  </w:style>
  <w:style w:type="paragraph" w:customStyle="1" w:styleId="68">
    <w:name w:val="正文1"/>
    <w:basedOn w:val="1"/>
    <w:qFormat/>
    <w:uiPriority w:val="0"/>
    <w:pPr>
      <w:spacing w:line="560" w:lineRule="exact"/>
      <w:ind w:firstLine="200" w:firstLineChars="200"/>
    </w:pPr>
    <w:rPr>
      <w:rFonts w:cs="宋体"/>
      <w:color w:val="000000"/>
      <w:sz w:val="24"/>
      <w:szCs w:val="20"/>
    </w:rPr>
  </w:style>
  <w:style w:type="paragraph" w:customStyle="1" w:styleId="69">
    <w:name w:val="1兴业正文"/>
    <w:autoRedefine/>
    <w:qFormat/>
    <w:uiPriority w:val="0"/>
    <w:pPr>
      <w:widowControl w:val="0"/>
      <w:jc w:val="both"/>
    </w:pPr>
    <w:rPr>
      <w:rFonts w:ascii="Calibri" w:hAnsi="Calibri" w:eastAsia="宋体" w:cs="Times New Roman"/>
      <w:color w:val="000000"/>
      <w:kern w:val="0"/>
      <w:sz w:val="20"/>
      <w:szCs w:val="24"/>
      <w:lang w:val="en-US" w:eastAsia="zh-CN" w:bidi="ar-SA"/>
    </w:rPr>
  </w:style>
  <w:style w:type="paragraph" w:customStyle="1" w:styleId="70">
    <w:name w:val="表内文字"/>
    <w:qFormat/>
    <w:uiPriority w:val="0"/>
    <w:pPr>
      <w:adjustRightInd w:val="0"/>
      <w:snapToGrid w:val="0"/>
    </w:pPr>
    <w:rPr>
      <w:rFonts w:ascii="Times New Roman" w:hAnsi="Times New Roman" w:eastAsia="宋体" w:cs="Times New Roman"/>
      <w:snapToGrid w:val="0"/>
      <w:sz w:val="21"/>
      <w:lang w:val="en-US" w:eastAsia="zh-CN" w:bidi="ar-SA"/>
    </w:rPr>
  </w:style>
  <w:style w:type="paragraph" w:customStyle="1" w:styleId="71">
    <w:name w:val="样式1"/>
    <w:basedOn w:val="5"/>
    <w:next w:val="1"/>
    <w:qFormat/>
    <w:uiPriority w:val="0"/>
    <w:pPr>
      <w:tabs>
        <w:tab w:val="right" w:leader="dot" w:pos="8607"/>
        <w:tab w:val="right" w:leader="dot" w:pos="8891"/>
      </w:tabs>
      <w:spacing w:line="360" w:lineRule="auto"/>
      <w:ind w:firstLine="482"/>
    </w:pPr>
    <w:rPr>
      <w:sz w:val="24"/>
      <w:szCs w:val="28"/>
    </w:rPr>
  </w:style>
  <w:style w:type="paragraph" w:customStyle="1" w:styleId="72">
    <w:name w:val="样式2"/>
    <w:basedOn w:val="71"/>
    <w:qFormat/>
    <w:uiPriority w:val="0"/>
    <w:pPr>
      <w:ind w:left="105" w:leftChars="50" w:firstLine="0" w:firstLineChars="0"/>
    </w:pPr>
    <w:rPr>
      <w:b/>
    </w:rPr>
  </w:style>
  <w:style w:type="paragraph" w:customStyle="1" w:styleId="73">
    <w:name w:val="样式4"/>
    <w:basedOn w:val="71"/>
    <w:qFormat/>
    <w:uiPriority w:val="0"/>
    <w:pPr>
      <w:spacing w:line="240" w:lineRule="auto"/>
      <w:ind w:firstLine="0" w:firstLineChars="0"/>
      <w:jc w:val="center"/>
    </w:pPr>
    <w:rPr>
      <w:sz w:val="21"/>
    </w:rPr>
  </w:style>
  <w:style w:type="paragraph" w:customStyle="1" w:styleId="74">
    <w:name w:val="样式3"/>
    <w:basedOn w:val="71"/>
    <w:qFormat/>
    <w:uiPriority w:val="0"/>
    <w:pPr>
      <w:ind w:firstLine="0" w:firstLineChars="0"/>
      <w:jc w:val="center"/>
    </w:pPr>
    <w:rPr>
      <w:b/>
      <w:sz w:val="21"/>
    </w:rPr>
  </w:style>
  <w:style w:type="character" w:customStyle="1" w:styleId="75">
    <w:name w:val="font51"/>
    <w:basedOn w:val="30"/>
    <w:qFormat/>
    <w:uiPriority w:val="0"/>
    <w:rPr>
      <w:rFonts w:hint="default" w:ascii="Times New Roman" w:hAnsi="Times New Roman" w:cs="Times New Roman"/>
      <w:color w:val="000000"/>
      <w:sz w:val="18"/>
      <w:szCs w:val="18"/>
      <w:u w:val="none"/>
      <w:vertAlign w:val="subscript"/>
    </w:rPr>
  </w:style>
  <w:style w:type="paragraph" w:customStyle="1" w:styleId="76">
    <w:name w:val="表格内文"/>
    <w:basedOn w:val="1"/>
    <w:qFormat/>
    <w:uiPriority w:val="0"/>
    <w:pPr>
      <w:spacing w:line="240" w:lineRule="auto"/>
      <w:ind w:firstLine="0" w:firstLineChars="0"/>
      <w:jc w:val="center"/>
    </w:pPr>
    <w:rPr>
      <w:color w:val="auto"/>
      <w:sz w:val="21"/>
      <w:szCs w:val="21"/>
    </w:rPr>
  </w:style>
  <w:style w:type="paragraph" w:customStyle="1" w:styleId="77">
    <w:name w:val="正文_5"/>
    <w:qFormat/>
    <w:uiPriority w:val="0"/>
    <w:pPr>
      <w:widowControl w:val="0"/>
      <w:jc w:val="both"/>
    </w:pPr>
    <w:rPr>
      <w:rFonts w:ascii="Calibri" w:hAnsi="Calibri" w:eastAsia="宋体" w:cs="Times New Roman"/>
      <w:kern w:val="2"/>
      <w:sz w:val="21"/>
      <w:lang w:val="en-US" w:eastAsia="zh-CN" w:bidi="ar-SA"/>
    </w:rPr>
  </w:style>
  <w:style w:type="paragraph" w:customStyle="1" w:styleId="78">
    <w:name w:val="样式 黑色 行距: 最小值 26 磅"/>
    <w:basedOn w:val="1"/>
    <w:qFormat/>
    <w:uiPriority w:val="0"/>
    <w:pPr>
      <w:spacing w:line="360" w:lineRule="auto"/>
      <w:ind w:firstLine="200" w:firstLineChars="200"/>
      <w:jc w:val="left"/>
    </w:pPr>
    <w:rPr>
      <w:rFonts w:ascii="Times New Roman" w:hAnsi="Times New Roman" w:eastAsia="楷体_GB2312" w:cs="宋体"/>
      <w:color w:val="000000"/>
      <w:spacing w:val="6"/>
      <w:sz w:val="28"/>
      <w:szCs w:val="20"/>
    </w:rPr>
  </w:style>
  <w:style w:type="paragraph" w:customStyle="1" w:styleId="79">
    <w:name w:val="样式1（首行缩进2）"/>
    <w:basedOn w:val="1"/>
    <w:qFormat/>
    <w:uiPriority w:val="0"/>
    <w:pPr>
      <w:spacing w:line="360" w:lineRule="auto"/>
      <w:ind w:firstLine="643" w:firstLineChars="200"/>
    </w:pPr>
    <w:rPr>
      <w:rFonts w:hint="eastAsia"/>
      <w:sz w:val="24"/>
    </w:rPr>
  </w:style>
  <w:style w:type="paragraph" w:customStyle="1" w:styleId="80">
    <w:name w:val="报告表正文样式1"/>
    <w:qFormat/>
    <w:uiPriority w:val="0"/>
    <w:pPr>
      <w:widowControl w:val="0"/>
      <w:spacing w:line="360" w:lineRule="auto"/>
      <w:ind w:firstLine="480" w:firstLineChars="200"/>
      <w:jc w:val="both"/>
    </w:pPr>
    <w:rPr>
      <w:rFonts w:ascii="Calibri" w:hAnsi="Calibri" w:eastAsia="宋体" w:cs="宋体"/>
      <w:kern w:val="2"/>
      <w:sz w:val="24"/>
      <w:lang w:val="en-US" w:eastAsia="zh-CN" w:bidi="ar-SA"/>
    </w:rPr>
  </w:style>
  <w:style w:type="paragraph" w:customStyle="1" w:styleId="81">
    <w:name w:val="p15"/>
    <w:basedOn w:val="1"/>
    <w:qFormat/>
    <w:uiPriority w:val="0"/>
    <w:pPr>
      <w:widowControl/>
      <w:snapToGrid w:val="0"/>
      <w:spacing w:line="312" w:lineRule="atLeast"/>
      <w:ind w:firstLine="420"/>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customXml" Target="../customXml/item2.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2.jpeg"/><Relationship Id="rId23" Type="http://schemas.openxmlformats.org/officeDocument/2006/relationships/image" Target="media/image11.png"/><Relationship Id="rId22" Type="http://schemas.openxmlformats.org/officeDocument/2006/relationships/image" Target="media/image10.wmf"/><Relationship Id="rId21" Type="http://schemas.openxmlformats.org/officeDocument/2006/relationships/oleObject" Target="embeddings/oleObject5.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8.wmf"/><Relationship Id="rId17" Type="http://schemas.openxmlformats.org/officeDocument/2006/relationships/oleObject" Target="embeddings/oleObject3.bin"/><Relationship Id="rId16" Type="http://schemas.openxmlformats.org/officeDocument/2006/relationships/image" Target="media/image7.png"/><Relationship Id="rId15" Type="http://schemas.openxmlformats.org/officeDocument/2006/relationships/image" Target="media/image6.jpeg"/><Relationship Id="rId14" Type="http://schemas.openxmlformats.org/officeDocument/2006/relationships/image" Target="media/image5.wmf"/><Relationship Id="rId13" Type="http://schemas.openxmlformats.org/officeDocument/2006/relationships/oleObject" Target="embeddings/oleObject2.bin"/><Relationship Id="rId12" Type="http://schemas.openxmlformats.org/officeDocument/2006/relationships/image" Target="media/image4.jpeg"/><Relationship Id="rId11" Type="http://schemas.openxmlformats.org/officeDocument/2006/relationships/image" Target="media/image3.wmf"/><Relationship Id="rId10" Type="http://schemas.openxmlformats.org/officeDocument/2006/relationships/oleObject" Target="embeddings/oleObject1.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E0MjA0NjE3ODgwIiwKCSJHcm91cElkIiA6ICI0NjE4NjQ2MDAiLAoJIkltYWdlIiA6ICJpVkJPUncwS0dnb0FBQUFOU1VoRVVnQUFCTkVBQUFIbkNBWUFBQUNXdDh0cEFBQUFBWE5TUjBJQXJzNGM2UUFBSUFCSlJFRlVlSnpzM1hsOFhIVzkvL0gzNTh4a21uUXZGbHBvQ3hHS3BVbmF6Sm1BTEZkRVFKQ0x5bFlGbEUxMjJSZmhvaGNFQ3Fnb0NGY0JFVVdwUXNHaTNrTEw1YUkvRkJRUmxkdVpTZEtFRmdvVUtHWHRRcnBsbVRtZjN4K1p4Q1NkZEUyYldsN1B4eU9QelBtdW56T0lmZlREZDVF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m8vN2NIaHdRQUFBQUFndjYvdGpnREFBQUFBQUFBQUFBQUFBQUFBQUFBQUFBQUFBQUFBQUFBQUFBQUFBQUFBQUFBQUFBQUFBQUFBQUFBQUFBQUFBQUFBQUFBQUFBQUFBQUFBQUFBQUFDQUJheEh6NjlTYnIybEFBQUFBRWxGVGtTdVFtQ0MiLAoJIlRoZW1lIiA6ICIiLAoJIlR5cGUiIDogImZsb3ciLAoJIlVzZXJJZCIgOiAiNDExNzU5ODcyIiwKCSJWZXJzaW9uIiA6ICI2MiIKfQo="/>
    </extobj>
  </extobjs>
</s:customData>
</file>

<file path=customXml/item2.xml><?xml version="1.0" encoding="utf-8"?>
<contractReview xmlns="http://schemas.wps.cn/vas-ai-hub/contract-review">
  <reviewItems>
    <reviewItem>
      <errorID>d1da1f49-d321-4c50-88a9-84ba5fb258f3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19A5022E</paraID>
      <start>0</start>
      <end>2</end>
      <status>unmodified</status>
      <modifiedWord/>
      <trackRevisions>false</trackRevisions>
    </reviewItem>
    <reviewItem>
      <errorID>8a999254-1aa3-4c57-971d-1181c8cdd453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2C1BACA3</paraID>
      <start>0</start>
      <end>2</end>
      <status>unmodified</status>
      <modifiedWord/>
      <trackRevisions>false</trackRevisions>
    </reviewItem>
    <reviewItem>
      <errorID>4a6ee6e0-82e3-43be-800c-8de88b1d3ae1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45911969</paraID>
      <start>0</start>
      <end>2</end>
      <status>unmodified</status>
      <modifiedWord/>
      <trackRevisions>false</trackRevisions>
    </reviewItem>
    <reviewItem>
      <errorID>5b778594-1b13-4632-9087-2a649dc3beef</errorID>
      <errorWord>围</errorWord>
      <group>L1_Word</group>
      <groupName>字词问题</groupName>
      <ability>L2_Typo</ability>
      <abilityName>字词错误</abilityName>
      <candidateList>
        <item>围内</item>
      </candidateList>
      <explain/>
      <paraID>45911969</paraID>
      <start>23</start>
      <end>24</end>
      <status>unmodified</status>
      <modifiedWord/>
      <trackRevisions>false</trackRevisions>
    </reviewItem>
    <reviewItem>
      <errorID>4309c32e-056c-441b-bd27-d87d52d89772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54FA43B8</paraID>
      <start>0</start>
      <end>2</end>
      <status>unmodified</status>
      <modifiedWord/>
      <trackRevisions>false</trackRevisions>
    </reviewItem>
    <reviewItem>
      <errorID>913245d8-cde3-4f55-85a5-65be79ce75ac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D60DC63</paraID>
      <start>0</start>
      <end>2</end>
      <status>unmodified</status>
      <modifiedWord/>
      <trackRevisions>false</trackRevisions>
    </reviewItem>
    <reviewItem>
      <errorID>88ee3a7d-a67a-4103-88b5-82eaa0847b68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630F7404</paraID>
      <start>0</start>
      <end>2</end>
      <status>unmodified</status>
      <modifiedWord/>
      <trackRevisions>false</trackRevisions>
    </reviewItem>
    <reviewItem>
      <errorID>6b16364e-df6e-480d-af0c-1103a8048344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4E877EC1</paraID>
      <start>0</start>
      <end>2</end>
      <status>unmodified</status>
      <modifiedWord/>
      <trackRevisions>false</trackRevisions>
    </reviewItem>
    <reviewItem>
      <errorID>c89e9bcd-91f2-4303-9630-39d204c417c0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1F5DC4A6</paraID>
      <start>0</start>
      <end>2</end>
      <status>unmodified</status>
      <modifiedWord/>
      <trackRevisions>false</trackRevisions>
    </reviewItem>
    <reviewItem>
      <errorID>23055b2d-5db6-4014-acb2-4ca73d73c8d5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26A16601</paraID>
      <start>0</start>
      <end>2</end>
      <status>unmodified</status>
      <modifiedWord/>
      <trackRevisions>false</trackRevisions>
    </reviewItem>
    <reviewItem>
      <errorID>295a14c5-5401-4850-bc41-44467efd3df9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7D067E10</paraID>
      <start>0</start>
      <end>2</end>
      <status>unmodified</status>
      <modifiedWord/>
      <trackRevisions>false</trackRevisions>
    </reviewItem>
    <reviewItem>
      <errorID>561a1031-228a-4d08-941d-f31a5724fecd</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436EF777</paraID>
      <start>0</start>
      <end>2</end>
      <status>unmodified</status>
      <modifiedWord/>
      <trackRevisions>false</trackRevisions>
    </reviewItem>
    <reviewItem>
      <errorID>35978a5b-fea2-49c8-90c8-99bfdda28dd8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6B85820B</paraID>
      <start>0</start>
      <end>2</end>
      <status>unmodified</status>
      <modifiedWord/>
      <trackRevisions>false</trackRevisions>
    </reviewItem>
    <reviewItem>
      <errorID>92bd7dca-8610-49ef-aade-f924051c9ed4</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6B85820B</paraID>
      <start>14</start>
      <end>17</end>
      <status>unmodified</status>
      <modifiedWord/>
      <trackRevisions>false</trackRevisions>
    </reviewItem>
    <reviewItem>
      <errorID>2ec14965-1552-4ae9-803d-49199bf46e02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3C0FFF5D</paraID>
      <start>0</start>
      <end>2</end>
      <status>unmodified</status>
      <modifiedWord/>
      <trackRevisions>false</trackRevisions>
    </reviewItem>
    <reviewItem>
      <errorID>facc39fb-2a32-4da9-891c-cfc7c3bfecef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6D7B08EB</paraID>
      <start>0</start>
      <end>2</end>
      <status>unmodified</status>
      <modifiedWord/>
      <trackRevisions>false</trackRevisions>
    </reviewItem>
    <reviewItem>
      <errorID>e2b447fb-768b-4087-be53-411c5fc84138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6D7B08EB</paraID>
      <start>61</start>
      <end>64</end>
      <status>unmodified</status>
      <modifiedWord/>
      <trackRevisions>false</trackRevisions>
    </reviewItem>
    <reviewItem>
      <errorID>41059d56-6c6d-4289-84f9-931f3b3a74e8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20941072</paraID>
      <start>0</start>
      <end>2</end>
      <status>unmodified</status>
      <modifiedWord/>
      <trackRevisions>false</trackRevisions>
    </reviewItem>
    <reviewItem>
      <errorID>5dee237d-f8d0-462f-a994-c39e89b3d5c7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21A24D9B</paraID>
      <start>0</start>
      <end>2</end>
      <status>unmodified</status>
      <modifiedWord/>
      <trackRevisions>false</trackRevisions>
    </reviewItem>
    <reviewItem>
      <errorID>e5793dfd-3c76-4812-8c30-0cbc331db305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21A24D9B</paraID>
      <start>17</start>
      <end>20</end>
      <status>unmodified</status>
      <modifiedWord/>
      <trackRevisions>false</trackRevisions>
    </reviewItem>
    <reviewItem>
      <errorID>82dfbef7-080c-4de9-ae59-934391302a09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C3AC99F</paraID>
      <start>0</start>
      <end>2</end>
      <status>unmodified</status>
      <modifiedWord/>
      <trackRevisions>false</trackRevisions>
    </reviewItem>
    <reviewItem>
      <errorID>cbcb79ab-1725-4398-a30c-e3ac4c3eb898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4BE82293</paraID>
      <start>0</start>
      <end>2</end>
      <status>unmodified</status>
      <modifiedWord/>
      <trackRevisions>false</trackRevisions>
    </reviewItem>
    <reviewItem>
      <errorID>a0b76130-703a-4af0-81e4-1cebe7196780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4BE82293</paraID>
      <start>14</start>
      <end>17</end>
      <status>unmodified</status>
      <modifiedWord/>
      <trackRevisions>false</trackRevisions>
    </reviewItem>
    <reviewItem>
      <errorID>f6efc937-d841-4695-94cb-c4de5dc96c3c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4AD376C9</paraID>
      <start>0</start>
      <end>2</end>
      <status>unmodified</status>
      <modifiedWord/>
      <trackRevisions>false</trackRevisions>
    </reviewItem>
    <reviewItem>
      <errorID>0af340bd-80b2-4b62-819b-bbf5390f8360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5849C258</paraID>
      <start>0</start>
      <end>2</end>
      <status>unmodified</status>
      <modifiedWord/>
      <trackRevisions>false</trackRevisions>
    </reviewItem>
    <reviewItem>
      <errorID>d2847365-f8f8-4008-84ae-70a34bf856db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5849C258</paraID>
      <start>61</start>
      <end>64</end>
      <status>unmodified</status>
      <modifiedWord/>
      <trackRevisions>false</trackRevisions>
    </reviewItem>
    <reviewItem>
      <errorID>a10cd79d-90a9-43ea-b33c-60839bf075f3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F1BD0A7</paraID>
      <start>0</start>
      <end>2</end>
      <status>unmodified</status>
      <modifiedWord/>
      <trackRevisions>false</trackRevisions>
    </reviewItem>
    <reviewItem>
      <errorID>71b34feb-676d-4d11-8f05-281169196dd6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2F6524CF</paraID>
      <start>0</start>
      <end>2</end>
      <status>unmodified</status>
      <modifiedWord/>
      <trackRevisions>false</trackRevisions>
    </reviewItem>
    <reviewItem>
      <errorID>085011e3-8a29-43b0-b061-e25efbf8d1aa</errorID>
      <errorWord>围</errorWord>
      <group>L1_Word</group>
      <groupName>字词问题</groupName>
      <ability>L2_Typo</ability>
      <abilityName>字词错误</abilityName>
      <candidateList>
        <item>围内</item>
      </candidateList>
      <explain/>
      <paraID>6662DC68</paraID>
      <start>24</start>
      <end>25</end>
      <status>unmodified</status>
      <modifiedWord/>
      <trackRevisions>false</trackRevisions>
    </reviewItem>
    <reviewItem>
      <errorID>aa7f1300-8602-4594-b99b-7e9ddf6532b4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149A4B08</paraID>
      <start>0</start>
      <end>2</end>
      <status>unmodified</status>
      <modifiedWord/>
      <trackRevisions>false</trackRevisions>
    </reviewItem>
    <reviewItem>
      <errorID>2936a5d7-440b-4d7f-b043-0150a9ee7f11</errorID>
      <errorWord>转输</errorWord>
      <group>L1_Word</group>
      <groupName>字词问题</groupName>
      <ability>L2_Typo</ability>
      <abilityName>字词错误</abilityName>
      <candidateList>
        <item>传输</item>
      </candidateList>
      <explain>存在发音相同字词的误用。</explain>
      <paraID>7472099D</paraID>
      <start>62</start>
      <end>64</end>
      <status>unmodified</status>
      <modifiedWord/>
      <trackRevisions>false</trackRevisions>
    </reviewItem>
    <reviewItem>
      <errorID>f8173609-35dc-43ae-bd3a-54d888967acd</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7765DE3E</paraID>
      <start>0</start>
      <end>2</end>
      <status>unmodified</status>
      <modifiedWord/>
      <trackRevisions>false</trackRevisions>
    </reviewItem>
    <reviewItem>
      <errorID>48557815-3699-473d-8005-eb258300eb75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7765DE3E</paraID>
      <start>17</start>
      <end>20</end>
      <status>unmodified</status>
      <modifiedWord/>
      <trackRevisions>false</trackRevisions>
    </reviewItem>
    <reviewItem>
      <errorID>88b673a3-1a42-4969-aa30-88623e201168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50D3B84C</paraID>
      <start>0</start>
      <end>2</end>
      <status>unmodified</status>
      <modifiedWord/>
      <trackRevisions>false</trackRevisions>
    </reviewItem>
    <reviewItem>
      <errorID>e735ad7c-b00a-4e0f-bdf2-701d05b994b5</errorID>
      <errorWord>;</errorWord>
      <group>L1_Format</group>
      <groupName>格式问题</groupName>
      <ability>L2_HalfPunc</ability>
      <abilityName>全半角检查</abilityName>
      <candidateList>
        <item>；</item>
      </candidateList>
      <explain>文本全半角错误。</explain>
      <paraID>50D3B84C</paraID>
      <start>66</start>
      <end>67</end>
      <status>unmodified</status>
      <modifiedWord/>
      <trackRevisions>false</trackRevisions>
    </reviewItem>
    <reviewItem>
      <errorID>11af6847-e0b0-443a-8c51-626ddb97ef94</errorID>
      <errorWord>;</errorWord>
      <group>L1_Format</group>
      <groupName>格式问题</groupName>
      <ability>L2_HalfPunc</ability>
      <abilityName>全半角检查</abilityName>
      <candidateList>
        <item>；</item>
      </candidateList>
      <explain>文本全半角错误。</explain>
      <paraID>50D3B84C</paraID>
      <start>111</start>
      <end>112</end>
      <status>unmodified</status>
      <modifiedWord/>
      <trackRevisions>false</trackRevisions>
    </reviewItem>
    <reviewItem>
      <errorID>b7428afb-0a9d-45c9-8c21-709b9b017f32</errorID>
      <errorWord>法律、法规</errorWord>
      <group>L1_Word</group>
      <groupName>字词问题</groupName>
      <ability>L2_Typo</ability>
      <abilityName>字词错误</abilityName>
      <candidateList>
        <item>法律法规</item>
      </candidateList>
      <explain/>
      <paraID>50D3B84C</paraID>
      <start>129</start>
      <end>134</end>
      <status>unmodified</status>
      <modifiedWord/>
      <trackRevisions>false</trackRevisions>
    </reviewItem>
    <reviewItem>
      <errorID>9ff71372-db78-4b4a-b9a4-e66f944be4c1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6E004E59</paraID>
      <start>0</start>
      <end>2</end>
      <status>unmodified</status>
      <modifiedWord/>
      <trackRevisions>false</trackRevisions>
    </reviewItem>
    <reviewItem>
      <errorID>897a3150-71fc-49e2-9005-b407e2d4db78</errorID>
      <errorWord>?</errorWord>
      <group>L1_Format</group>
      <groupName>格式问题</groupName>
      <ability>L2_HalfPunc</ability>
      <abilityName>全半角检查</abilityName>
      <candidateList>
        <item>？</item>
      </candidateList>
      <explain>文本全半角错误。</explain>
      <paraID>6E004E59</paraID>
      <start>19</start>
      <end>20</end>
      <status>unmodified</status>
      <modifiedWord/>
      <trackRevisions>false</trackRevisions>
    </reviewItem>
    <reviewItem>
      <errorID>f9470135-208c-43fc-bcf6-138e1949cbf8</errorID>
      <errorWord>;</errorWord>
      <group>L1_Format</group>
      <groupName>格式问题</groupName>
      <ability>L2_HalfPunc</ability>
      <abilityName>全半角检查</abilityName>
      <candidateList>
        <item>；</item>
      </candidateList>
      <explain>文本全半角错误。</explain>
      <paraID>6E004E59</paraID>
      <start>87</start>
      <end>88</end>
      <status>unmodified</status>
      <modifiedWord/>
      <trackRevisions>false</trackRevisions>
    </reviewItem>
    <reviewItem>
      <errorID>16a7544b-ee37-454a-9a99-bd2bf91c6f7b</errorID>
      <errorWord>?</errorWord>
      <group>L1_Format</group>
      <groupName>格式问题</groupName>
      <ability>L2_HalfPunc</ability>
      <abilityName>全半角检查</abilityName>
      <candidateList>
        <item>？</item>
      </candidateList>
      <explain>文本全半角错误。</explain>
      <paraID>6E004E59</paraID>
      <start>99</start>
      <end>100</end>
      <status>unmodified</status>
      <modifiedWord/>
      <trackRevisions>false</trackRevisions>
    </reviewItem>
    <reviewItem>
      <errorID>62ded70a-f961-48a4-a15f-fe456c0b2301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6F62949C</paraID>
      <start>0</start>
      <end>2</end>
      <status>unmodified</status>
      <modifiedWord/>
      <trackRevisions>false</trackRevisions>
    </reviewItem>
    <reviewItem>
      <errorID>12554943-de58-4534-8d07-58c65d7f9b27</errorID>
      <errorWord>:</errorWord>
      <group>L1_Format</group>
      <groupName>格式问题</groupName>
      <ability>L2_HalfPunc</ability>
      <abilityName>全半角检查</abilityName>
      <candidateList>
        <item>：</item>
      </candidateList>
      <explain>文本全半角错误。</explain>
      <paraID> 9E7AF58</paraID>
      <start>10</start>
      <end>11</end>
      <status>unmodified</status>
      <modifiedWord/>
      <trackRevisions>false</trackRevisions>
    </reviewItem>
    <reviewItem>
      <errorID>cbc8431a-fdab-46b5-87f3-62d095810835</errorID>
      <errorWord>;</errorWord>
      <group>L1_Format</group>
      <groupName>格式问题</groupName>
      <ability>L2_HalfPunc</ability>
      <abilityName>全半角检查</abilityName>
      <candidateList>
        <item>；</item>
      </candidateList>
      <explain>文本全半角错误。</explain>
      <paraID> 9E7AF58</paraID>
      <start>37</start>
      <end>38</end>
      <status>unmodified</status>
      <modifiedWord/>
      <trackRevisions>false</trackRevisions>
    </reviewItem>
    <reviewItem>
      <errorID>63e56195-f475-4e4d-a68c-1835d99c7271</errorID>
      <errorWord>?</errorWord>
      <group>L1_Format</group>
      <groupName>格式问题</groupName>
      <ability>L2_HalfPunc</ability>
      <abilityName>全半角检查</abilityName>
      <candidateList>
        <item>？</item>
      </candidateList>
      <explain>文本全半角错误。</explain>
      <paraID> 9E7AF58</paraID>
      <start>78</start>
      <end>79</end>
      <status>unmodified</status>
      <modifiedWord/>
      <trackRevisions>false</trackRevisions>
    </reviewItem>
    <reviewItem>
      <errorID>28e2c1f6-9d0f-4ae7-ab1e-3cd3ffa9fcfe</errorID>
      <errorWord>;</errorWord>
      <group>L1_Format</group>
      <groupName>格式问题</groupName>
      <ability>L2_HalfPunc</ability>
      <abilityName>全半角检查</abilityName>
      <candidateList>
        <item>；</item>
      </candidateList>
      <explain>文本全半角错误。</explain>
      <paraID>5A673484</paraID>
      <start>18</start>
      <end>19</end>
      <status>unmodified</status>
      <modifiedWord/>
      <trackRevisions>false</trackRevisions>
    </reviewItem>
    <reviewItem>
      <errorID>4c7a334c-54f0-48db-8066-2ad55e3e92ef</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59A2F752</paraID>
      <start>0</start>
      <end>2</end>
      <status>unmodified</status>
      <modifiedWord/>
      <trackRevisions>false</trackRevisions>
    </reviewItem>
    <reviewItem>
      <errorID>d857bbcc-a5f4-4cdf-8e6f-50884fc4a995</errorID>
      <errorWord>:</errorWord>
      <group>L1_Format</group>
      <groupName>格式问题</groupName>
      <ability>L2_HalfPunc</ability>
      <abilityName>全半角检查</abilityName>
      <candidateList>
        <item>：</item>
      </candidateList>
      <explain>文本全半角错误。</explain>
      <paraID>59A2F752</paraID>
      <start>8</start>
      <end>9</end>
      <status>unmodified</status>
      <modifiedWord/>
      <trackRevisions>false</trackRevisions>
    </reviewItem>
    <reviewItem>
      <errorID>cc7e20dd-abf6-4b6e-8234-002e696e9539</errorID>
      <errorWord>?</errorWord>
      <group>L1_Format</group>
      <groupName>格式问题</groupName>
      <ability>L2_HalfPunc</ability>
      <abilityName>全半角检查</abilityName>
      <candidateList>
        <item>？</item>
      </candidateList>
      <explain>文本全半角错误。</explain>
      <paraID>59A2F752</paraID>
      <start>38</start>
      <end>39</end>
      <status>unmodified</status>
      <modifiedWord/>
      <trackRevisions>false</trackRevisions>
    </reviewItem>
    <reviewItem>
      <errorID>d019f00f-e387-4be4-9ad1-e7a400c39be9</errorID>
      <errorWord>;</errorWord>
      <group>L1_Format</group>
      <groupName>格式问题</groupName>
      <ability>L2_HalfPunc</ability>
      <abilityName>全半角检查</abilityName>
      <candidateList>
        <item>；</item>
      </candidateList>
      <explain>文本全半角错误。</explain>
      <paraID>59A2F752</paraID>
      <start>40</start>
      <end>41</end>
      <status>unmodified</status>
      <modifiedWord/>
      <trackRevisions>false</trackRevisions>
    </reviewItem>
    <reviewItem>
      <errorID>c8758064-c661-4aa4-9143-6be24a18464b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6BA8095D</paraID>
      <start>0</start>
      <end>2</end>
      <status>unmodified</status>
      <modifiedWord/>
      <trackRevisions>false</trackRevisions>
    </reviewItem>
    <reviewItem>
      <errorID>cc0ba0ac-485e-4751-b099-ba9873259d54</errorID>
      <errorWord>:</errorWord>
      <group>L1_Format</group>
      <groupName>格式问题</groupName>
      <ability>L2_HalfPunc</ability>
      <abilityName>全半角检查</abilityName>
      <candidateList>
        <item>：</item>
      </candidateList>
      <explain>文本全半角错误。</explain>
      <paraID>6BA8095D</paraID>
      <start>4</start>
      <end>5</end>
      <status>unmodified</status>
      <modifiedWord/>
      <trackRevisions>false</trackRevisions>
    </reviewItem>
    <reviewItem>
      <errorID>21f4d557-ebd7-4dec-bfa8-85d19bbcdb25</errorID>
      <errorWord>;</errorWord>
      <group>L1_Format</group>
      <groupName>格式问题</groupName>
      <ability>L2_HalfPunc</ability>
      <abilityName>全半角检查</abilityName>
      <candidateList>
        <item>；</item>
      </candidateList>
      <explain>文本全半角错误。</explain>
      <paraID>6BA8095D</paraID>
      <start>36</start>
      <end>37</end>
      <status>unmodified</status>
      <modifiedWord/>
      <trackRevisions>false</trackRevisions>
    </reviewItem>
    <reviewItem>
      <errorID>5785ef2d-b053-4d6e-84f9-78c73decebec</errorID>
      <errorWord>;</errorWord>
      <group>L1_Format</group>
      <groupName>格式问题</groupName>
      <ability>L2_HalfPunc</ability>
      <abilityName>全半角检查</abilityName>
      <candidateList>
        <item>；</item>
      </candidateList>
      <explain>文本全半角错误。</explain>
      <paraID>6BA8095D</paraID>
      <start>53</start>
      <end>54</end>
      <status>unmodified</status>
      <modifiedWord/>
      <trackRevisions>false</trackRevisions>
    </reviewItem>
    <reviewItem>
      <errorID>836947a3-e390-410c-9469-e9200f2cf3a9</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8C1BA7F</paraID>
      <start>0</start>
      <end>2</end>
      <status>unmodified</status>
      <modifiedWord/>
      <trackRevisions>false</trackRevisions>
    </reviewItem>
    <reviewItem>
      <errorID>0c248925-4043-459d-b1f6-28021663a034</errorID>
      <errorWord>;</errorWord>
      <group>L1_Format</group>
      <groupName>格式问题</groupName>
      <ability>L2_HalfPunc</ability>
      <abilityName>全半角检查</abilityName>
      <candidateList>
        <item>；</item>
      </candidateList>
      <explain>文本全半角错误。</explain>
      <paraID>3E164308</paraID>
      <start>34</start>
      <end>35</end>
      <status>unmodified</status>
      <modifiedWord/>
      <trackRevisions>false</trackRevisions>
    </reviewItem>
    <reviewItem>
      <errorID>b5395645-966c-4cdc-9118-47bc978d8d09</errorID>
      <errorWord>?</errorWord>
      <group>L1_Format</group>
      <groupName>格式问题</groupName>
      <ability>L2_HalfPunc</ability>
      <abilityName>全半角检查</abilityName>
      <candidateList>
        <item>？</item>
      </candidateList>
      <explain>文本全半角错误。</explain>
      <paraID>3E164308</paraID>
      <start>62</start>
      <end>63</end>
      <status>unmodified</status>
      <modifiedWord/>
      <trackRevisions>false</trackRevisions>
    </reviewItem>
    <reviewItem>
      <errorID>244edc1a-f289-4329-99e0-45676fa004dc</errorID>
      <errorWord>;</errorWord>
      <group>L1_Format</group>
      <groupName>格式问题</groupName>
      <ability>L2_HalfPunc</ability>
      <abilityName>全半角检查</abilityName>
      <candidateList>
        <item>；</item>
      </candidateList>
      <explain>文本全半角错误。</explain>
      <paraID>3E164308</paraID>
      <start>88</start>
      <end>89</end>
      <status>unmodified</status>
      <modifiedWord/>
      <trackRevisions>false</trackRevisions>
    </reviewItem>
    <reviewItem>
      <errorID>97456b9a-20d6-48e1-b46a-c403fda77cbb</errorID>
      <errorWord>;</errorWord>
      <group>L1_Format</group>
      <groupName>格式问题</groupName>
      <ability>L2_HalfPunc</ability>
      <abilityName>全半角检查</abilityName>
      <candidateList>
        <item>；</item>
      </candidateList>
      <explain>文本全半角错误。</explain>
      <paraID> C3B83FD</paraID>
      <start>22</start>
      <end>23</end>
      <status>unmodified</status>
      <modifiedWord/>
      <trackRevisions>false</trackRevisions>
    </reviewItem>
    <reviewItem>
      <errorID>8f8a5148-7976-4dbc-8056-2c949b237df4</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789EBD9D</paraID>
      <start>0</start>
      <end>2</end>
      <status>unmodified</status>
      <modifiedWord/>
      <trackRevisions>false</trackRevisions>
    </reviewItem>
    <reviewItem>
      <errorID>5e67826f-da95-43be-9bdd-a0dd4663114d</errorID>
      <errorWord>-</errorWord>
      <group>L1_Format</group>
      <groupName>格式问题</groupName>
      <ability>L2_HalfPunc</ability>
      <abilityName>全半角检查</abilityName>
      <candidateList>
        <item>－</item>
      </candidateList>
      <explain>文本全半角错误。</explain>
      <paraID>6AE2F597</paraID>
      <start>22</start>
      <end>23</end>
      <status>unmodified</status>
      <modifiedWord/>
      <trackRevisions>false</trackRevisions>
    </reviewItem>
    <reviewItem>
      <errorID>5dacbee7-4e3d-4ff7-9309-44c6507dc8f5</errorID>
      <errorWord>与和</errorWord>
      <group>L1_Word</group>
      <groupName>字词问题</groupName>
      <ability>L2_Typo</ability>
      <abilityName>字词错误</abilityName>
      <candidateList>
        <item>与</item>
      </candidateList>
      <explain>（舆）yù参与：～会。</explain>
      <paraID>22666972</paraID>
      <start>13</start>
      <end>15</end>
      <status>unmodified</status>
      <modifiedWord/>
      <trackRevisions>false</trackRevisions>
    </reviewItem>
    <reviewItem>
      <errorID>d43117a5-bc34-4fb9-9af2-662b6d15b520</errorID>
      <errorWord>:</errorWord>
      <group>L1_Format</group>
      <groupName>格式问题</groupName>
      <ability>L2_HalfPunc</ability>
      <abilityName>全半角检查</abilityName>
      <candidateList>
        <item>：</item>
      </candidateList>
      <explain>文本全半角错误。</explain>
      <paraID>5CD280EE</paraID>
      <start>6</start>
      <end>7</end>
      <status>unmodified</status>
      <modifiedWord/>
      <trackRevisions>false</trackRevisions>
    </reviewItem>
    <reviewItem>
      <errorID>cb837fc8-5e04-408e-927d-c9f793cfd45f</errorID>
      <errorWord>;</errorWord>
      <group>L1_Format</group>
      <groupName>格式问题</groupName>
      <ability>L2_HalfPunc</ability>
      <abilityName>全半角检查</abilityName>
      <candidateList>
        <item>；</item>
      </candidateList>
      <explain>文本全半角错误。</explain>
      <paraID>5CD280EE</paraID>
      <start>31</start>
      <end>32</end>
      <status>unmodified</status>
      <modifiedWord/>
      <trackRevisions>false</trackRevisions>
    </reviewItem>
    <reviewItem>
      <errorID>88fabcf4-bb1d-4f64-bfbb-1443efc72a41</errorID>
      <errorWord>免于</errorWord>
      <group>L1_Word</group>
      <groupName>字词问题</groupName>
      <ability>L2_Typo</ability>
      <abilityName>字词错误</abilityName>
      <candidateList>
        <item>免予</item>
      </candidateList>
      <explain/>
      <paraID>5C06083A</paraID>
      <start>43</start>
      <end>45</end>
      <status>unmodified</status>
      <modifiedWord/>
      <trackRevisions>false</trackRevisions>
    </reviewItem>
    <reviewItem>
      <errorID>ebbe3326-0bd3-4409-a76d-08001cae946d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6B9583DA</paraID>
      <start>0</start>
      <end>2</end>
      <status>unmodified</status>
      <modifiedWord/>
      <trackRevisions>false</trackRevisions>
    </reviewItem>
    <reviewItem>
      <errorID>24747cbf-6844-4b34-916a-53f7366b2282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167CBA3D</paraID>
      <start>0</start>
      <end>2</end>
      <status>unmodified</status>
      <modifiedWord/>
      <trackRevisions>false</trackRevisions>
    </reviewItem>
    <reviewItem>
      <errorID>6d4d87e7-b282-493f-ac6a-17f9c81e6fba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6D73E634</paraID>
      <start>19</start>
      <end>20</end>
      <status>unmodified</status>
      <modifiedWord/>
      <trackRevisions>false</trackRevisions>
    </reviewItem>
    <reviewItem>
      <errorID>b94712e6-ad31-48fe-b518-3d0b3e3f8766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7E6FFBD9</paraID>
      <start>22</start>
      <end>23</end>
      <status>unmodified</status>
      <modifiedWord/>
      <trackRevisions>false</trackRevisions>
    </reviewItem>
    <reviewItem>
      <errorID>3bb81bce-b694-4a9b-9085-25fe257ed37f</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2CE82F2C</paraID>
      <start>0</start>
      <end>2</end>
      <status>unmodified</status>
      <modifiedWord/>
      <trackRevisions>false</trackRevisions>
    </reviewItem>
    <reviewItem>
      <errorID>d527089b-062a-49a6-9c45-b7126e6637d6</errorID>
      <errorWord>[2024]158号</errorWord>
      <group>L1_Knowledge</group>
      <groupName>知识性问题</groupName>
      <ability>L2_Knowledge</ability>
      <abilityName>其他知识</abilityName>
      <candidateList>
        <item>〔2024〕158号</item>
      </candidateList>
      <explain>发文字号格式错误。</explain>
      <paraID>362DF9BF</paraID>
      <start>56</start>
      <end>66</end>
      <status>modified</status>
      <modifiedWord>〔2024〕158号</modifiedWord>
      <trackRevisions>false</trackRevisions>
    </reviewItem>
    <reviewItem>
      <errorID>01883d44-c883-4040-81ce-1c60500f6b7c</errorID>
      <errorWord>上线</errorWord>
      <group>L1_Word</group>
      <groupName>字词问题</groupName>
      <ability>L2_Typo</ability>
      <abilityName>字词错误</abilityName>
      <candidateList>
        <item>上限</item>
      </candidateList>
      <explain/>
      <paraID>1578EC1F</paraID>
      <start>135</start>
      <end>137</end>
      <status>unmodified</status>
      <modifiedWord/>
      <trackRevisions>false</trackRevisions>
    </reviewItem>
    <reviewItem>
      <errorID>721baaeb-51ef-4917-8db6-a07b6b8e79ca</errorID>
      <errorWord>[2024]12号</errorWord>
      <group>L1_Knowledge</group>
      <groupName>知识性问题</groupName>
      <ability>L2_Knowledge</ability>
      <abilityName>其他知识</abilityName>
      <candidateList>
        <item>〔2024〕12号</item>
      </candidateList>
      <explain>发文字号格式错误。</explain>
      <paraID> 7DB6559</paraID>
      <start>44</start>
      <end>53</end>
      <status>unmodified</status>
      <modifiedWord/>
      <trackRevisions>false</trackRevisions>
    </reviewItem>
    <reviewItem>
      <errorID>c9194869-eb37-4329-a0fa-e53c7e0531bd</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1ACBA3BF</paraID>
      <start>0</start>
      <end>2</end>
      <status>unmodified</status>
      <modifiedWord/>
      <trackRevisions>false</trackRevisions>
    </reviewItem>
    <reviewItem>
      <errorID>9d729d15-8bee-4c8b-b3fd-5c120271e4a8</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6D63EC0</paraID>
      <start>63</start>
      <end>64</end>
      <status>unmodified</status>
      <modifiedWord/>
      <trackRevisions>false</trackRevisions>
    </reviewItem>
    <reviewItem>
      <errorID>73ded917-bc0d-4ab7-ad9e-fc7dea4295e9</errorID>
      <errorWord>[2021]14号</errorWord>
      <group>L1_Knowledge</group>
      <groupName>知识性问题</groupName>
      <ability>L2_Knowledge</ability>
      <abilityName>其他知识</abilityName>
      <candidateList>
        <item>〔2021〕14号</item>
      </candidateList>
      <explain>发文字号格式错误。</explain>
      <paraID>42D5D13C</paraID>
      <start>12</start>
      <end>21</end>
      <status>unmodified</status>
      <modifiedWord/>
      <trackRevisions>false</trackRevisions>
    </reviewItem>
    <reviewItem>
      <errorID>349ca643-0d2d-42e3-8292-11dc58f854d0</errorID>
      <errorWord>燃</errorWord>
      <group>L1_Word</group>
      <groupName>字词问题</groupName>
      <ability>L2_Typo</ability>
      <abilityName>字词错误</abilityName>
      <candidateList>
        <item>燃气</item>
      </candidateList>
      <explain/>
      <paraID>18871FDC</paraID>
      <start>9</start>
      <end>10</end>
      <status>unmodified</status>
      <modifiedWord/>
      <trackRevisions>false</trackRevisions>
    </reviewItem>
    <reviewItem>
      <errorID>ef1db99b-df7d-4e48-b66d-26c119f29f07</errorID>
      <errorWord>境</errorWord>
      <group>L1_Word</group>
      <groupName>字词问题</groupName>
      <ability>L2_Typo</ability>
      <abilityName>字词错误</abilityName>
      <candidateList>
        <item>境局</item>
      </candidateList>
      <explain/>
      <paraID>42E85A0E</paraID>
      <start>92</start>
      <end>93</end>
      <status>unmodified</status>
      <modifiedWord/>
      <trackRevisions>false</trackRevisions>
    </reviewItem>
    <reviewItem>
      <errorID>42c77e8f-9385-4f65-95ec-b1b92af3d337</errorID>
      <errorWord>县（市）区</errorWord>
      <group>L1_Punc</group>
      <groupName>标点问题</groupName>
      <ability>L2_Punc</ability>
      <abilityName>标点符号检查</abilityName>
      <candidateList>
        <item>县（市、区）</item>
      </candidateList>
      <explain/>
      <paraID>42E85A0E</paraID>
      <start>225</start>
      <end>230</end>
      <status>unmodified</status>
      <modifiedWord/>
      <trackRevisions>false</trackRevisions>
    </reviewItem>
    <reviewItem>
      <errorID>0bba91e3-adf4-42c7-b480-528bb19720c2</errorID>
      <errorWord>县（市）区</errorWord>
      <group>L1_Word</group>
      <groupName>字词问题</groupName>
      <ability>L2_Typo</ability>
      <abilityName>字词错误</abilityName>
      <candidateList>
        <item>县（市、区）</item>
      </candidateList>
      <explain/>
      <paraID>42E85A0E</paraID>
      <start>288</start>
      <end>293</end>
      <status>unmodified</status>
      <modifiedWord/>
      <trackRevisions>false</trackRevisions>
    </reviewItem>
    <reviewItem>
      <errorID>4769c429-682c-4da1-aded-a9e14a43c87d</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BF3600</paraID>
      <start>71</start>
      <end>72</end>
      <status>unmodified</status>
      <modifiedWord/>
      <trackRevisions>false</trackRevisions>
    </reviewItem>
    <reviewItem>
      <errorID>f1561944-2369-479a-865d-f7ffc9f46835</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BF3600</paraID>
      <start>73</start>
      <end>74</end>
      <status>unmodified</status>
      <modifiedWord/>
      <trackRevisions>false</trackRevisions>
    </reviewItem>
    <reviewItem>
      <errorID>5e26e46a-9d6d-42dc-b961-ed5a7410c8d6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79B8DAF8</paraID>
      <start>0</start>
      <end>2</end>
      <status>unmodified</status>
      <modifiedWord/>
      <trackRevisions>false</trackRevisions>
    </reviewItem>
    <reviewItem>
      <errorID>e6baf753-f9c5-41f8-9306-60ce30ce8e3c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29F1B513</paraID>
      <start>22</start>
      <end>23</end>
      <status>unmodified</status>
      <modifiedWord/>
      <trackRevisions>false</trackRevisions>
    </reviewItem>
    <reviewItem>
      <errorID>9e96005f-3806-461e-b4a0-c12e89b67c03</errorID>
      <errorWord>环保治理</errorWord>
      <group>L1_Word</group>
      <groupName>字词问题</groupName>
      <ability>L2_Typo</ability>
      <abilityName>字词错误</abilityName>
      <candidateList>
        <item>环境治理</item>
      </candidateList>
      <explain/>
      <paraID>4F51282B</paraID>
      <start>12</start>
      <end>16</end>
      <status>unmodified</status>
      <modifiedWord/>
      <trackRevisions>false</trackRevisions>
    </reviewItem>
    <reviewItem>
      <errorID>512a78f6-4f12-48de-96f2-769300da6d24</errorID>
      <errorWord>[2023]24号</errorWord>
      <group>L1_Knowledge</group>
      <groupName>知识性问题</groupName>
      <ability>L2_Knowledge</ability>
      <abilityName>其他知识</abilityName>
      <candidateList>
        <item>〔2023〕24号</item>
      </candidateList>
      <explain>发文字号格式错误。</explain>
      <paraID>6C2BC2A1</paraID>
      <start>31</start>
      <end>40</end>
      <status>unmodified</status>
      <modifiedWord/>
      <trackRevisions>false</trackRevisions>
    </reviewItem>
    <reviewItem>
      <errorID>540e9dd0-1669-4422-adbc-cb9aebfa07bc</errorID>
      <errorWord>[2023]24号</errorWord>
      <group>L1_Knowledge</group>
      <groupName>知识性问题</groupName>
      <ability>L2_Knowledge</ability>
      <abilityName>其他知识</abilityName>
      <candidateList>
        <item>〔2023〕24号</item>
      </candidateList>
      <explain>发文字号格式错误。</explain>
      <paraID>67951A88</paraID>
      <start>34</start>
      <end>43</end>
      <status>unmodified</status>
      <modifiedWord/>
      <trackRevisions>false</trackRevisions>
    </reviewItem>
    <reviewItem>
      <errorID>eb07c909-eae8-41f5-a317-f1b6cc5205c7</errorID>
      <errorWord>程</errorWord>
      <group>L1_Word</group>
      <groupName>字词问题</groupName>
      <ability>L2_Typo</ability>
      <abilityName>字词错误</abilityName>
      <candidateList>
        <item>程中</item>
      </candidateList>
      <explain/>
      <paraID>53E02B75</paraID>
      <start>37</start>
      <end>38</end>
      <status>unmodified</status>
      <modifiedWord/>
      <trackRevisions>false</trackRevisions>
    </reviewItem>
    <reviewItem>
      <errorID>31a2d4e9-3277-4511-8fe2-8921bdb8f008</errorID>
      <errorWord>[2024]8号</errorWord>
      <group>L1_Knowledge</group>
      <groupName>知识性问题</groupName>
      <ability>L2_Knowledge</ability>
      <abilityName>其他知识</abilityName>
      <candidateList>
        <item>〔2024〕8号</item>
      </candidateList>
      <explain>发文字号格式错误。</explain>
      <paraID>43A00849</paraID>
      <start>45</start>
      <end>53</end>
      <status>unmodified</status>
      <modifiedWord/>
      <trackRevisions>false</trackRevisions>
    </reviewItem>
    <reviewItem>
      <errorID>15a9dcde-f9f8-44fc-bd9e-3f389a2277c9</errorID>
      <errorWord>[2024]8号</errorWord>
      <group>L1_Knowledge</group>
      <groupName>知识性问题</groupName>
      <ability>L2_Knowledge</ability>
      <abilityName>其他知识</abilityName>
      <candidateList>
        <item>〔2024〕8号</item>
      </candidateList>
      <explain>发文字号格式错误。</explain>
      <paraID>53B273E1</paraID>
      <start>49</start>
      <end>57</end>
      <status>unmodified</status>
      <modifiedWord/>
      <trackRevisions>false</trackRevisions>
    </reviewItem>
    <reviewItem>
      <errorID>b5aef1e7-3c76-46fc-9e2e-51e148d8f255</errorID>
      <errorWord>ＶＯＣｓ</errorWord>
      <group>L1_Format</group>
      <groupName>格式问题</groupName>
      <ability>L2_HalfPunc</ability>
      <abilityName>全半角检查</abilityName>
      <candidateList>
        <item>VOCs</item>
      </candidateList>
      <explain>文本全半角错误。</explain>
      <paraID>129CC68B</paraID>
      <start>114</start>
      <end>118</end>
      <status>unmodified</status>
      <modifiedWord/>
      <trackRevisions>false</trackRevisions>
    </reviewItem>
    <reviewItem>
      <errorID>ddf63385-620a-4b03-a9e6-c0ab5b998488</errorID>
      <errorWord>,</errorWord>
      <group>L1_Format</group>
      <groupName>格式问题</groupName>
      <ability>L2_HalfPunc</ability>
      <abilityName>全半角检查</abilityName>
      <candidateList>
        <item>，</item>
      </candidateList>
      <explain>文本全半角错误。</explain>
      <paraID>2BFA07C6</paraID>
      <start>75</start>
      <end>76</end>
      <status>unmodified</status>
      <modifiedWord/>
      <trackRevisions>false</trackRevisions>
    </reviewItem>
    <reviewItem>
      <errorID>5f72d524-fae2-47b2-89a0-429eaf686532</errorID>
      <errorWord>减震</errorWord>
      <group>L1_Word</group>
      <groupName>字词问题</groupName>
      <ability>L2_Typo</ability>
      <abilityName>字词错误</abilityName>
      <candidateList>
        <item>减振</item>
      </candidateList>
      <explain>存在发音相同字词的误用。</explain>
      <paraID> B7942C1</paraID>
      <start>32</start>
      <end>34</end>
      <status>unmodified</status>
      <modifiedWord/>
      <trackRevisions>false</trackRevisions>
    </reviewItem>
    <reviewItem>
      <errorID>2cf602dc-1b9f-4c5c-b2f2-d9772f2fc23b</errorID>
      <errorWord>位</errorWord>
      <group>L1_Word</group>
      <groupName>字词问题</groupName>
      <ability>L2_Typo</ability>
      <abilityName>字词错误</abilityName>
      <candidateList>
        <item>位按</item>
      </candidateList>
      <explain/>
      <paraID> 261BC76</paraID>
      <start>86</start>
      <end>87</end>
      <status>unmodified</status>
      <modifiedWord/>
      <trackRevisions>false</trackRevisions>
    </reviewItem>
    <reviewItem>
      <errorID>50ca1309-a1e9-4e75-923f-4f365cf6e218</errorID>
      <errorWord>宗盛</errorWord>
      <group>L1_Word</group>
      <groupName>字词问题</groupName>
      <ability>L2_Typo</ability>
      <abilityName>字词错误</abilityName>
      <candidateList>
        <item>噪声</item>
      </candidateList>
      <explain/>
      <paraID>4BA3DA91</paraID>
      <start>38</start>
      <end>40</end>
      <status>modified</status>
      <modifiedWord>噪声</modifiedWord>
      <trackRevisions>false</trackRevisions>
    </reviewItem>
    <reviewItem>
      <errorID>5f57abec-10ba-4137-87bb-1c0a62e9711a</errorID>
      <errorWord>程</errorWord>
      <group>L1_Word</group>
      <groupName>字词问题</groupName>
      <ability>L2_Typo</ability>
      <abilityName>字词错误</abilityName>
      <candidateList>
        <item>程中</item>
      </candidateList>
      <explain/>
      <paraID> 38A2759</paraID>
      <start>20</start>
      <end>21</end>
      <status>unmodified</status>
      <modifiedWord/>
      <trackRevisions>false</trackRevisions>
    </reviewItem>
    <reviewItem>
      <errorID>44701814-0982-479a-b9a2-4671436d7d3d</errorID>
      <errorWord>“</errorWord>
      <group>L1_Punc</group>
      <groupName>标点问题</groupName>
      <ability>L2_Punc</ability>
      <abilityName>标点符号检查</abilityName>
      <candidateList>
        <item>‘</item>
      </candidateList>
      <explain>当引号中还需要使用引号时，外面一层用双引号，里面一层用单引号。</explain>
      <paraID>1E5F3A7F</paraID>
      <start>167</start>
      <end>168</end>
      <status>unmodified</status>
      <modifiedWord/>
      <trackRevisions>false</trackRevisions>
    </reviewItem>
    <reviewItem>
      <errorID>ba03e4be-e912-472d-bbf0-7f03197dab2b</errorID>
      <errorWord>”</errorWord>
      <group>L1_Punc</group>
      <groupName>标点问题</groupName>
      <ability>L2_Punc</ability>
      <abilityName>标点符号检查</abilityName>
      <candidateList>
        <item>’</item>
      </candidateList>
      <explain>当引号中还需要使用引号时，外面一层用双引号，里面一层用单引号。</explain>
      <paraID>1E5F3A7F</paraID>
      <start>197</start>
      <end>198</end>
      <status>unmodified</status>
      <modifiedWord/>
      <trackRevisions>false</trackRevisions>
    </reviewItem>
    <reviewItem>
      <errorID>63af75d8-7625-41d3-bda1-0ad10794f996</errorID>
      <errorWord>约为</errorWord>
      <group>L1_Word</group>
      <groupName>字词问题</groupName>
      <ability>L2_Typo</ability>
      <abilityName>字词错误</abilityName>
      <candidateList>
        <item>约</item>
      </candidateList>
      <explain/>
      <paraID>286A2808</paraID>
      <start>21</start>
      <end>23</end>
      <status>unmodified</status>
      <modifiedWord/>
      <trackRevisions>false</trackRevisions>
    </reviewItem>
    <reviewItem>
      <errorID>df54f49a-f442-4d0c-934a-59267646513c</errorID>
      <errorWord>（</errorWord>
      <group>L1_Format</group>
      <groupName>格式问题</groupName>
      <ability>L2_HalfPunc</ability>
      <abilityName>全半角检查</abilityName>
      <candidateList>
        <item>(</item>
      </candidateList>
      <explain>文本全半角错误。</explain>
      <paraID>14E015DA</paraID>
      <start>0</start>
      <end>1</end>
      <status>unmodified</status>
      <modifiedWord/>
      <trackRevisions>false</trackRevisions>
    </reviewItem>
    <reviewItem>
      <errorID>42f24c9a-7afb-46f4-8374-d2f91dcbbd3b</errorID>
      <errorWord>）</errorWord>
      <group>L1_Format</group>
      <groupName>格式问题</groupName>
      <ability>L2_HalfPunc</ability>
      <abilityName>全半角检查</abilityName>
      <candidateList>
        <item>)</item>
      </candidateList>
      <explain>文本全半角错误。</explain>
      <paraID>14E015DA</paraID>
      <start>3</start>
      <end>4</end>
      <status>unmodified</status>
      <modifiedWord/>
      <trackRevisions>false</trackRevisions>
    </reviewItem>
    <reviewItem>
      <errorID>b669e823-0b77-48be-8b93-dbb134429555</errorID>
      <errorWord>-</errorWord>
      <group>L1_Format</group>
      <groupName>格式问题</groupName>
      <ability>L2_HalfPunc</ability>
      <abilityName>全半角检查</abilityName>
      <candidateList>
        <item>－</item>
      </candidateList>
      <explain>文本全半角错误。</explain>
      <paraID>61138254</paraID>
      <start>3</start>
      <end>4</end>
      <status>unmodified</status>
      <modifiedWord/>
      <trackRevisions>false</trackRevisions>
    </reviewItem>
    <reviewItem>
      <errorID>b62a1792-622c-4914-9a00-507cf206f761</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21E59676</paraID>
      <start>183</start>
      <end>184</end>
      <status>unmodified</status>
      <modifiedWord/>
      <trackRevisions>false</trackRevisions>
    </reviewItem>
    <reviewItem>
      <errorID>953e8baa-e546-4e1b-90df-500413b80c95</errorID>
      <errorWord>，</errorWord>
      <group>L1_Format</group>
      <groupName>格式问题</groupName>
      <ability>L2_HalfPunc</ability>
      <abilityName>全半角检查</abilityName>
      <candidateList>
        <item>, </item>
      </candidateList>
      <explain>文本全半角错误。</explain>
      <paraID>18A1451C</paraID>
      <start>9</start>
      <end>10</end>
      <status>unmodified</status>
      <modifiedWord/>
      <trackRevisions>false</trackRevisions>
    </reviewItem>
    <reviewItem>
      <errorID>03fbd1aa-80eb-40cc-897f-8f4773e7e752</errorID>
      <errorWord>kw</errorWord>
      <group>L1_Word</group>
      <groupName>字词问题</groupName>
      <ability>L2_Typo</ability>
      <abilityName>字词错误</abilityName>
      <candidateList>
        <item>kW</item>
      </candidateList>
      <explain/>
      <paraID>4B1DAD8D</paraID>
      <start>16</start>
      <end>18</end>
      <status>unmodified</status>
      <modifiedWord/>
      <trackRevisions>false</trackRevisions>
    </reviewItem>
    <reviewItem>
      <errorID>70cf93f2-f049-4114-bfa5-f9f1ed07c120</errorID>
      <errorWord>，</errorWord>
      <group>L1_Format</group>
      <groupName>格式问题</groupName>
      <ability>L2_HalfPunc</ability>
      <abilityName>全半角检查</abilityName>
      <candidateList>
        <item>, </item>
      </candidateList>
      <explain>文本全半角错误。</explain>
      <paraID> 1657672</paraID>
      <start>7</start>
      <end>8</end>
      <status>unmodified</status>
      <modifiedWord/>
      <trackRevisions>false</trackRevisions>
    </reviewItem>
    <reviewItem>
      <errorID>78e77959-e6a2-46c9-b10e-4350dda1efe5</errorID>
      <errorWord>，</errorWord>
      <group>L1_Format</group>
      <groupName>格式问题</groupName>
      <ability>L2_HalfPunc</ability>
      <abilityName>全半角检查</abilityName>
      <candidateList>
        <item>, </item>
      </candidateList>
      <explain>文本全半角错误。</explain>
      <paraID> D685974</paraID>
      <start>7</start>
      <end>8</end>
      <status>unmodified</status>
      <modifiedWord/>
      <trackRevisions>false</trackRevisions>
    </reviewItem>
    <reviewItem>
      <errorID>64634caf-0ff0-4c4d-a927-3fff25be960c</errorID>
      <errorWord>，</errorWord>
      <group>L1_Format</group>
      <groupName>格式问题</groupName>
      <ability>L2_HalfPunc</ability>
      <abilityName>全半角检查</abilityName>
      <candidateList>
        <item>, </item>
      </candidateList>
      <explain>文本全半角错误。</explain>
      <paraID>16BC69CC</paraID>
      <start>8</start>
      <end>9</end>
      <status>unmodified</status>
      <modifiedWord/>
      <trackRevisions>false</trackRevisions>
    </reviewItem>
    <reviewItem>
      <errorID>8d9aaefa-32a6-4d7b-8dbb-cedfba1a1a62</errorID>
      <errorWord>，</errorWord>
      <group>L1_Format</group>
      <groupName>格式问题</groupName>
      <ability>L2_HalfPunc</ability>
      <abilityName>全半角检查</abilityName>
      <candidateList>
        <item>, </item>
      </candidateList>
      <explain>文本全半角错误。</explain>
      <paraID>37828BF8</paraID>
      <start>4</start>
      <end>5</end>
      <status>unmodified</status>
      <modifiedWord/>
      <trackRevisions>false</trackRevisions>
    </reviewItem>
    <reviewItem>
      <errorID>f234a968-1f8a-4510-96fb-73cd936e534b</errorID>
      <errorWord>，</errorWord>
      <group>L1_Format</group>
      <groupName>格式问题</groupName>
      <ability>L2_HalfPunc</ability>
      <abilityName>全半角检查</abilityName>
      <candidateList>
        <item>, </item>
      </candidateList>
      <explain>文本全半角错误。</explain>
      <paraID>7F43227B</paraID>
      <start>4</start>
      <end>5</end>
      <status>unmodified</status>
      <modifiedWord/>
      <trackRevisions>false</trackRevisions>
    </reviewItem>
    <reviewItem>
      <errorID>119a8f90-a893-4d38-97c9-01beee6573a4</errorID>
      <errorWord>，</errorWord>
      <group>L1_Format</group>
      <groupName>格式问题</groupName>
      <ability>L2_HalfPunc</ability>
      <abilityName>全半角检查</abilityName>
      <candidateList>
        <item>, </item>
      </candidateList>
      <explain>文本全半角错误。</explain>
      <paraID>31A72BD3</paraID>
      <start>6</start>
      <end>7</end>
      <status>unmodified</status>
      <modifiedWord/>
      <trackRevisions>false</trackRevisions>
    </reviewItem>
    <reviewItem>
      <errorID>466b77e0-7dd0-4045-b168-74f9378dac26</errorID>
      <errorWord>，</errorWord>
      <group>L1_Format</group>
      <groupName>格式问题</groupName>
      <ability>L2_HalfPunc</ability>
      <abilityName>全半角检查</abilityName>
      <candidateList>
        <item>, </item>
      </candidateList>
      <explain>文本全半角错误。</explain>
      <paraID>60615032</paraID>
      <start>6</start>
      <end>7</end>
      <status>unmodified</status>
      <modifiedWord/>
      <trackRevisions>false</trackRevisions>
    </reviewItem>
    <reviewItem>
      <errorID>c0f75441-2d4d-409c-bbb4-c0203703896a</errorID>
      <errorWord>KW</errorWord>
      <group>L1_Word</group>
      <groupName>字词问题</groupName>
      <ability>L2_Typo</ability>
      <abilityName>字词错误</abilityName>
      <candidateList>
        <item>kW</item>
      </candidateList>
      <explain/>
      <paraID>6D0D4EFF</paraID>
      <start>5</start>
      <end>7</end>
      <status>unmodified</status>
      <modifiedWord/>
      <trackRevisions>false</trackRevisions>
    </reviewItem>
    <reviewItem>
      <errorID>48c6f31a-59c1-4449-8350-994bc749acad</errorID>
      <errorWord>KW</errorWord>
      <group>L1_Word</group>
      <groupName>字词问题</groupName>
      <ability>L2_Typo</ability>
      <abilityName>字词错误</abilityName>
      <candidateList>
        <item>kW</item>
      </candidateList>
      <explain/>
      <paraID>3AB0E796</paraID>
      <start>5</start>
      <end>7</end>
      <status>unmodified</status>
      <modifiedWord/>
      <trackRevisions>false</trackRevisions>
    </reviewItem>
    <reviewItem>
      <errorID>2ab77a0e-e61a-423c-8571-cfaee9fa7ef6</errorID>
      <errorWord>，</errorWord>
      <group>L1_Format</group>
      <groupName>格式问题</groupName>
      <ability>L2_HalfPunc</ability>
      <abilityName>全半角检查</abilityName>
      <candidateList>
        <item>, </item>
      </candidateList>
      <explain>文本全半角错误。</explain>
      <paraID>2541F002</paraID>
      <start>14</start>
      <end>15</end>
      <status>unmodified</status>
      <modifiedWord/>
      <trackRevisions>false</trackRevisions>
    </reviewItem>
    <reviewItem>
      <errorID>31d84bba-a56a-41a9-8d1e-63c2398cfffe</errorID>
      <errorWord>，</errorWord>
      <group>L1_Format</group>
      <groupName>格式问题</groupName>
      <ability>L2_HalfPunc</ability>
      <abilityName>全半角检查</abilityName>
      <candidateList>
        <item>, </item>
      </candidateList>
      <explain>文本全半角错误。</explain>
      <paraID>3AD340A2</paraID>
      <start>14</start>
      <end>15</end>
      <status>unmodified</status>
      <modifiedWord/>
      <trackRevisions>false</trackRevisions>
    </reviewItem>
    <reviewItem>
      <errorID>162cd2d3-6b0c-4391-a578-c6e45bd03659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49BB640B</paraID>
      <start>0</start>
      <end>2</end>
      <status>unmodified</status>
      <modifiedWord/>
      <trackRevisions>false</trackRevisions>
    </reviewItem>
    <reviewItem>
      <errorID>3123bfc9-1974-46f0-b986-f160de421cbc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3FF403F</paraID>
      <start>0</start>
      <end>2</end>
      <status>unmodified</status>
      <modifiedWord/>
      <trackRevisions>false</trackRevisions>
    </reviewItem>
    <reviewItem>
      <errorID>00830adf-fe79-4c7b-b5a1-4660fd2c1ded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6CD9BA25</paraID>
      <start>0</start>
      <end>2</end>
      <status>unmodified</status>
      <modifiedWord/>
      <trackRevisions>false</trackRevisions>
    </reviewItem>
    <reviewItem>
      <errorID>e0d94cf6-7c75-49d0-b5f3-6343f46dd313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1EA3AF60</paraID>
      <start>0</start>
      <end>2</end>
      <status>unmodified</status>
      <modifiedWord/>
      <trackRevisions>false</trackRevisions>
    </reviewItem>
    <reviewItem>
      <errorID>096bc583-9cf4-48f9-8e30-fb0ef6eec3ad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14C25635</paraID>
      <start>0</start>
      <end>2</end>
      <status>unmodified</status>
      <modifiedWord/>
      <trackRevisions>false</trackRevisions>
    </reviewItem>
    <reviewItem>
      <errorID>7198b425-fcb1-46a1-96bc-d4d0fed6fc75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13149EA</paraID>
      <start>56</start>
      <end>59</end>
      <status>unmodified</status>
      <modifiedWord/>
      <trackRevisions>false</trackRevisions>
    </reviewItem>
    <reviewItem>
      <errorID>5fb6c60f-130a-4177-959f-64f7444bee2f</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32B8439E</paraID>
      <start>27</start>
      <end>28</end>
      <status>unmodified</status>
      <modifiedWord/>
      <trackRevisions>false</trackRevisions>
    </reviewItem>
    <reviewItem>
      <errorID>da401a88-6c1c-47b3-bfb7-c2ebaddc17eb</errorID>
      <errorWord>》（试行）</errorWord>
      <group>L1_Word</group>
      <groupName>字词问题</groupName>
      <ability>L2_Typo</ability>
      <abilityName>字词错误</abilityName>
      <candidateList>
        <item>（试行）》</item>
      </candidateList>
      <explain/>
      <paraID>1DAAFA1B</paraID>
      <start>27</start>
      <end>32</end>
      <status>unmodified</status>
      <modifiedWord/>
      <trackRevisions>false</trackRevisions>
    </reviewItem>
    <reviewItem>
      <errorID>e97276bf-e5db-4fa9-9ded-e55d041f808e</errorID>
      <errorWord>程</errorWord>
      <group>L1_Word</group>
      <groupName>字词问题</groupName>
      <ability>L2_Typo</ability>
      <abilityName>字词错误</abilityName>
      <candidateList>
        <item>程中</item>
      </candidateList>
      <explain/>
      <paraID>4BD56D0B</paraID>
      <start>64</start>
      <end>65</end>
      <status>unmodified</status>
      <modifiedWord/>
      <trackRevisions>false</trackRevisions>
    </reviewItem>
    <reviewItem>
      <errorID>ef57f2b1-4826-4599-9cba-892ec3ea5e89</errorID>
      <errorWord>程</errorWord>
      <group>L1_Word</group>
      <groupName>字词问题</groupName>
      <ability>L2_Typo</ability>
      <abilityName>字词错误</abilityName>
      <candidateList>
        <item>程中</item>
      </candidateList>
      <explain/>
      <paraID>31FCD2E7</paraID>
      <start>65</start>
      <end>66</end>
      <status>unmodified</status>
      <modifiedWord/>
      <trackRevisions>false</trackRevisions>
    </reviewItem>
    <reviewItem>
      <errorID>17c1ab65-eb69-4af6-90ab-cafea070bc41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44124FD2</paraID>
      <start>0</start>
      <end>2</end>
      <status>unmodified</status>
      <modifiedWord/>
      <trackRevisions>false</trackRevisions>
    </reviewItem>
    <reviewItem>
      <errorID>58817977-e668-4526-9348-c937431f4d4c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30A80467</paraID>
      <start>0</start>
      <end>2</end>
      <status>unmodified</status>
      <modifiedWord/>
      <trackRevisions>false</trackRevisions>
    </reviewItem>
    <reviewItem>
      <errorID>dfc06419-8e3d-4cf3-a182-c5c85db00ca9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2131A263</paraID>
      <start>0</start>
      <end>2</end>
      <status>unmodified</status>
      <modifiedWord/>
      <trackRevisions>false</trackRevisions>
    </reviewItem>
    <reviewItem>
      <errorID>865ecebe-7972-4bbb-9f2d-4ee12c50ae14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23CE4762</paraID>
      <start>0</start>
      <end>2</end>
      <status>unmodified</status>
      <modifiedWord/>
      <trackRevisions>false</trackRevisions>
    </reviewItem>
    <reviewItem>
      <errorID>9c405b96-b838-4a51-999c-258f3cc326c9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110D0E47</paraID>
      <start>0</start>
      <end>2</end>
      <status>unmodified</status>
      <modifiedWord/>
      <trackRevisions>false</trackRevisions>
    </reviewItem>
    <reviewItem>
      <errorID>0765eb71-01f5-4988-adad-4e3e1c3e10e9</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3F6B9875</paraID>
      <start>3</start>
      <end>4</end>
      <status>unmodified</status>
      <modifiedWord/>
      <trackRevisions>false</trackRevisions>
    </reviewItem>
    <reviewItem>
      <errorID>6caee97c-2b95-401d-8ffd-12a22dfd4381</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7E845FA</paraID>
      <start>3</start>
      <end>4</end>
      <status>unmodified</status>
      <modifiedWord/>
      <trackRevisions>false</trackRevisions>
    </reviewItem>
    <reviewItem>
      <errorID>b3739f89-5fbb-4cf6-bb64-5b23390ad48a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7D6BBBA0</paraID>
      <start>0</start>
      <end>2</end>
      <status>unmodified</status>
      <modifiedWord/>
      <trackRevisions>false</trackRevisions>
    </reviewItem>
    <reviewItem>
      <errorID>93103135-47b9-416a-b848-815bbb200d98</errorID>
      <errorWord>（</errorWord>
      <group>L1_Format</group>
      <groupName>格式问题</groupName>
      <ability>L2_HalfPunc</ability>
      <abilityName>全半角检查</abilityName>
      <candidateList>
        <item>(</item>
      </candidateList>
      <explain>文本全半角错误。</explain>
      <paraID>1F4644B0</paraID>
      <start>9</start>
      <end>10</end>
      <status>unmodified</status>
      <modifiedWord/>
      <trackRevisions>false</trackRevisions>
    </reviewItem>
    <reviewItem>
      <errorID>322b9d3a-7c4a-4a2e-b8b6-f6f05a319c1b</errorID>
      <errorWord>）</errorWord>
      <group>L1_Format</group>
      <groupName>格式问题</groupName>
      <ability>L2_HalfPunc</ability>
      <abilityName>全半角检查</abilityName>
      <candidateList>
        <item>)</item>
      </candidateList>
      <explain>文本全半角错误。</explain>
      <paraID>1F4644B0</paraID>
      <start>13</start>
      <end>14</end>
      <status>unmodified</status>
      <modifiedWord/>
      <trackRevisions>false</trackRevisions>
    </reviewItem>
    <reviewItem>
      <errorID>690d5533-db0d-4c89-91e9-a6138b36d901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82457D9</paraID>
      <start>0</start>
      <end>2</end>
      <status>unmodified</status>
      <modifiedWord/>
      <trackRevisions>false</trackRevisions>
    </reviewItem>
    <reviewItem>
      <errorID>8c3f77d7-96ff-4d45-b47a-213b924b348d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22A5E8CE</paraID>
      <start>0</start>
      <end>2</end>
      <status>unmodified</status>
      <modifiedWord/>
      <trackRevisions>false</trackRevisions>
    </reviewItem>
    <reviewItem>
      <errorID>3d8b5636-67a4-4689-a7b8-da43ffd951f5</errorID>
      <errorWord>程</errorWord>
      <group>L1_Word</group>
      <groupName>字词问题</groupName>
      <ability>L2_Typo</ability>
      <abilityName>字词错误</abilityName>
      <candidateList>
        <item>程中</item>
      </candidateList>
      <explain/>
      <paraID>5575088B</paraID>
      <start>24</start>
      <end>25</end>
      <status>unmodified</status>
      <modifiedWord/>
      <trackRevisions>false</trackRevisions>
    </reviewItem>
    <reviewItem>
      <errorID>e7c399fd-10e0-4406-82bc-94398d67b14b</errorID>
      <errorWord>抛洒</errorWord>
      <group>L1_Word</group>
      <groupName>字词问题</groupName>
      <ability>L2_Typo</ability>
      <abilityName>字词错误</abilityName>
      <candidateList>
        <item>抛撒</item>
      </candidateList>
      <explain/>
      <paraID>464B8D41</paraID>
      <start>31</start>
      <end>33</end>
      <status>unmodified</status>
      <modifiedWord/>
      <trackRevisions>false</trackRevisions>
    </reviewItem>
    <reviewItem>
      <errorID>8ec65177-5e9f-4a21-b84a-4959d79bf340</errorID>
      <errorWord>~</errorWord>
      <group>L1_Format</group>
      <groupName>格式问题</groupName>
      <ability>L2_HalfPunc</ability>
      <abilityName>全半角检查</abilityName>
      <candidateList>
        <item>～</item>
      </candidateList>
      <explain>文本全半角错误。</explain>
      <paraID>396703C6</paraID>
      <start>28</start>
      <end>29</end>
      <status>unmodified</status>
      <modifiedWord/>
      <trackRevisions>false</trackRevisions>
    </reviewItem>
    <reviewItem>
      <errorID>619c4988-bc57-4105-8a28-b79a1b742a62</errorID>
      <errorWord>-</errorWord>
      <group>L1_Format</group>
      <groupName>格式问题</groupName>
      <ability>L2_HalfPunc</ability>
      <abilityName>全半角检查</abilityName>
      <candidateList>
        <item>－</item>
      </candidateList>
      <explain>文本全半角错误。</explain>
      <paraID>6D7D83E1</paraID>
      <start>15</start>
      <end>16</end>
      <status>unmodified</status>
      <modifiedWord/>
      <trackRevisions>false</trackRevisions>
    </reviewItem>
    <reviewItem>
      <errorID>cf91fab1-fcd0-406a-ae90-095a067a240f</errorID>
      <errorWord>-</errorWord>
      <group>L1_Format</group>
      <groupName>格式问题</groupName>
      <ability>L2_HalfPunc</ability>
      <abilityName>全半角检查</abilityName>
      <candidateList>
        <item>－</item>
      </candidateList>
      <explain>文本全半角错误。</explain>
      <paraID>44C52892</paraID>
      <start>24</start>
      <end>25</end>
      <status>unmodified</status>
      <modifiedWord/>
      <trackRevisions>false</trackRevisions>
    </reviewItem>
    <reviewItem>
      <errorID>6dba81e7-b3ee-401b-98f4-2bbf21f7c5fd</errorID>
      <errorWord>料</errorWord>
      <group>L1_Word</group>
      <groupName>字词问题</groupName>
      <ability>L2_Typo</ability>
      <abilityName>字词错误</abilityName>
      <candidateList>
        <item>料消</item>
      </candidateList>
      <explain/>
      <paraID>181CDE7B</paraID>
      <start>13</start>
      <end>14</end>
      <status>unmodified</status>
      <modifiedWord/>
      <trackRevisions>false</trackRevisions>
    </reviewItem>
    <reviewItem>
      <errorID>7c8c5e21-92f7-4d38-8142-28a7b3544fe1</errorID>
      <errorWord>（</errorWord>
      <group>L1_Format</group>
      <groupName>格式问题</groupName>
      <ability>L2_HalfPunc</ability>
      <abilityName>全半角检查</abilityName>
      <candidateList>
        <item>(</item>
      </candidateList>
      <explain>文本全半角错误。</explain>
      <paraID>7738D831</paraID>
      <start>1</start>
      <end>2</end>
      <status>unmodified</status>
      <modifiedWord/>
      <trackRevisions>false</trackRevisions>
    </reviewItem>
    <reviewItem>
      <errorID>47c67526-35ed-49b9-a371-55e4abac406c</errorID>
      <errorWord>）</errorWord>
      <group>L1_Format</group>
      <groupName>格式问题</groupName>
      <ability>L2_HalfPunc</ability>
      <abilityName>全半角检查</abilityName>
      <candidateList>
        <item>)</item>
      </candidateList>
      <explain>文本全半角错误。</explain>
      <paraID>7738D831</paraID>
      <start>3</start>
      <end>4</end>
      <status>unmodified</status>
      <modifiedWord/>
      <trackRevisions>false</trackRevisions>
    </reviewItem>
    <reviewItem>
      <errorID>e6fbe7b2-31ad-4c2b-8a7d-0731c9e97b8d</errorID>
      <errorWord>（</errorWord>
      <group>L1_Format</group>
      <groupName>格式问题</groupName>
      <ability>L2_HalfPunc</ability>
      <abilityName>全半角检查</abilityName>
      <candidateList>
        <item>(</item>
      </candidateList>
      <explain>文本全半角错误。</explain>
      <paraID>6383BF34</paraID>
      <start>3</start>
      <end>4</end>
      <status>unmodified</status>
      <modifiedWord/>
      <trackRevisions>false</trackRevisions>
    </reviewItem>
    <reviewItem>
      <errorID>875afcfa-2704-4070-9a7e-168507a80526</errorID>
      <errorWord>）</errorWord>
      <group>L1_Format</group>
      <groupName>格式问题</groupName>
      <ability>L2_HalfPunc</ability>
      <abilityName>全半角检查</abilityName>
      <candidateList>
        <item>)</item>
      </candidateList>
      <explain>文本全半角错误。</explain>
      <paraID>6383BF34</paraID>
      <start>5</start>
      <end>6</end>
      <status>unmodified</status>
      <modifiedWord/>
      <trackRevisions>false</trackRevisions>
    </reviewItem>
    <reviewItem>
      <errorID>b4ca260b-4a97-4f97-804d-178cb7f78dc9</errorID>
      <errorWord>（</errorWord>
      <group>L1_Format</group>
      <groupName>格式问题</groupName>
      <ability>L2_HalfPunc</ability>
      <abilityName>全半角检查</abilityName>
      <candidateList>
        <item>(</item>
      </candidateList>
      <explain>文本全半角错误。</explain>
      <paraID>3F8294C6</paraID>
      <start>3</start>
      <end>4</end>
      <status>unmodified</status>
      <modifiedWord/>
      <trackRevisions>false</trackRevisions>
    </reviewItem>
    <reviewItem>
      <errorID>ab4dc4a4-e300-4572-b35b-3d04987f66e9</errorID>
      <errorWord>）</errorWord>
      <group>L1_Format</group>
      <groupName>格式问题</groupName>
      <ability>L2_HalfPunc</ability>
      <abilityName>全半角检查</abilityName>
      <candidateList>
        <item>)</item>
      </candidateList>
      <explain>文本全半角错误。</explain>
      <paraID>3F8294C6</paraID>
      <start>5</start>
      <end>6</end>
      <status>unmodified</status>
      <modifiedWord/>
      <trackRevisions>false</trackRevisions>
    </reviewItem>
    <reviewItem>
      <errorID>5593e0a3-66be-4481-bb03-edae69f5638c</errorID>
      <errorWord>（</errorWord>
      <group>L1_Format</group>
      <groupName>格式问题</groupName>
      <ability>L2_HalfPunc</ability>
      <abilityName>全半角检查</abilityName>
      <candidateList>
        <item>(</item>
      </candidateList>
      <explain>文本全半角错误。</explain>
      <paraID>508DD082</paraID>
      <start>2</start>
      <end>3</end>
      <status>unmodified</status>
      <modifiedWord/>
      <trackRevisions>false</trackRevisions>
    </reviewItem>
    <reviewItem>
      <errorID>0058dd85-f461-4fc6-b657-784968f4c390</errorID>
      <errorWord>）</errorWord>
      <group>L1_Format</group>
      <groupName>格式问题</groupName>
      <ability>L2_HalfPunc</ability>
      <abilityName>全半角检查</abilityName>
      <candidateList>
        <item>)</item>
      </candidateList>
      <explain>文本全半角错误。</explain>
      <paraID>508DD082</paraID>
      <start>4</start>
      <end>5</end>
      <status>unmodified</status>
      <modifiedWord/>
      <trackRevisions>false</trackRevisions>
    </reviewItem>
    <reviewItem>
      <errorID>d5ab857d-d306-40f9-82c6-3396e0ef16cb</errorID>
      <errorWord>（</errorWord>
      <group>L1_Format</group>
      <groupName>格式问题</groupName>
      <ability>L2_HalfPunc</ability>
      <abilityName>全半角检查</abilityName>
      <candidateList>
        <item>(</item>
      </candidateList>
      <explain>文本全半角错误。</explain>
      <paraID>5BA1C8CC</paraID>
      <start>3</start>
      <end>4</end>
      <status>unmodified</status>
      <modifiedWord/>
      <trackRevisions>false</trackRevisions>
    </reviewItem>
    <reviewItem>
      <errorID>422e8151-db35-4820-b9e5-ad090c38afa3</errorID>
      <errorWord>）</errorWord>
      <group>L1_Format</group>
      <groupName>格式问题</groupName>
      <ability>L2_HalfPunc</ability>
      <abilityName>全半角检查</abilityName>
      <candidateList>
        <item>)</item>
      </candidateList>
      <explain>文本全半角错误。</explain>
      <paraID>5BA1C8CC</paraID>
      <start>5</start>
      <end>6</end>
      <status>unmodified</status>
      <modifiedWord/>
      <trackRevisions>false</trackRevisions>
    </reviewItem>
    <reviewItem>
      <errorID>5fbee17a-4efa-46b6-80e7-4759e6cfddf2</errorID>
      <errorWord>（</errorWord>
      <group>L1_Format</group>
      <groupName>格式问题</groupName>
      <ability>L2_HalfPunc</ability>
      <abilityName>全半角检查</abilityName>
      <candidateList>
        <item>(</item>
      </candidateList>
      <explain>文本全半角错误。</explain>
      <paraID>78AAA87B</paraID>
      <start>2</start>
      <end>3</end>
      <status>unmodified</status>
      <modifiedWord/>
      <trackRevisions>false</trackRevisions>
    </reviewItem>
    <reviewItem>
      <errorID>ffa11edb-5f2f-4498-9d88-e8c3cdcc6cd2</errorID>
      <errorWord>）</errorWord>
      <group>L1_Format</group>
      <groupName>格式问题</groupName>
      <ability>L2_HalfPunc</ability>
      <abilityName>全半角检查</abilityName>
      <candidateList>
        <item>)</item>
      </candidateList>
      <explain>文本全半角错误。</explain>
      <paraID>78AAA87B</paraID>
      <start>6</start>
      <end>7</end>
      <status>unmodified</status>
      <modifiedWord/>
      <trackRevisions>false</trackRevisions>
    </reviewItem>
    <reviewItem>
      <errorID>bc6dffeb-deef-46b3-a568-3c537b78b7b5</errorID>
      <errorWord>料</errorWord>
      <group>L1_Word</group>
      <groupName>字词问题</groupName>
      <ability>L2_Typo</ability>
      <abilityName>字词错误</abilityName>
      <candidateList>
        <item>料消</item>
      </candidateList>
      <explain/>
      <paraID>623D2786</paraID>
      <start>13</start>
      <end>14</end>
      <status>unmodified</status>
      <modifiedWord/>
      <trackRevisions>false</trackRevisions>
    </reviewItem>
    <reviewItem>
      <errorID>e25f2458-2e16-4f76-a046-d081f6a63645</errorID>
      <errorWord>-</errorWord>
      <group>L1_Format</group>
      <groupName>格式问题</groupName>
      <ability>L2_HalfPunc</ability>
      <abilityName>全半角检查</abilityName>
      <candidateList>
        <item>－</item>
      </candidateList>
      <explain>文本全半角错误。</explain>
      <paraID>3B0AA5E1</paraID>
      <start>2</start>
      <end>3</end>
      <status>unmodified</status>
      <modifiedWord/>
      <trackRevisions>false</trackRevisions>
    </reviewItem>
    <reviewItem>
      <errorID>cc13c708-83ad-43d1-b2ed-583965249200</errorID>
      <errorWord>（</errorWord>
      <group>L1_Format</group>
      <groupName>格式问题</groupName>
      <ability>L2_HalfPunc</ability>
      <abilityName>全半角检查</abilityName>
      <candidateList>
        <item>(</item>
      </candidateList>
      <explain>文本全半角错误。</explain>
      <paraID>7333D597</paraID>
      <start>1</start>
      <end>2</end>
      <status>unmodified</status>
      <modifiedWord/>
      <trackRevisions>false</trackRevisions>
    </reviewItem>
    <reviewItem>
      <errorID>6e5bf1a4-746a-49ff-85af-b95a3149ac56</errorID>
      <errorWord>）</errorWord>
      <group>L1_Format</group>
      <groupName>格式问题</groupName>
      <ability>L2_HalfPunc</ability>
      <abilityName>全半角检查</abilityName>
      <candidateList>
        <item>)</item>
      </candidateList>
      <explain>文本全半角错误。</explain>
      <paraID>7333D597</paraID>
      <start>3</start>
      <end>4</end>
      <status>unmodified</status>
      <modifiedWord/>
      <trackRevisions>false</trackRevisions>
    </reviewItem>
    <reviewItem>
      <errorID>08a37145-8dd2-4b0d-898f-edc226633abb</errorID>
      <errorWord>（</errorWord>
      <group>L1_Format</group>
      <groupName>格式问题</groupName>
      <ability>L2_HalfPunc</ability>
      <abilityName>全半角检查</abilityName>
      <candidateList>
        <item>(</item>
      </candidateList>
      <explain>文本全半角错误。</explain>
      <paraID> 2B476B5</paraID>
      <start>3</start>
      <end>4</end>
      <status>unmodified</status>
      <modifiedWord/>
      <trackRevisions>false</trackRevisions>
    </reviewItem>
    <reviewItem>
      <errorID>3a17e47f-b1bd-48c4-9c8c-a55760489855</errorID>
      <errorWord>）</errorWord>
      <group>L1_Format</group>
      <groupName>格式问题</groupName>
      <ability>L2_HalfPunc</ability>
      <abilityName>全半角检查</abilityName>
      <candidateList>
        <item>)</item>
      </candidateList>
      <explain>文本全半角错误。</explain>
      <paraID> 2B476B5</paraID>
      <start>5</start>
      <end>6</end>
      <status>unmodified</status>
      <modifiedWord/>
      <trackRevisions>false</trackRevisions>
    </reviewItem>
    <reviewItem>
      <errorID>d1955921-e87f-45d5-a033-6dd06a5284ab</errorID>
      <errorWord>（</errorWord>
      <group>L1_Format</group>
      <groupName>格式问题</groupName>
      <ability>L2_HalfPunc</ability>
      <abilityName>全半角检查</abilityName>
      <candidateList>
        <item>(</item>
      </candidateList>
      <explain>文本全半角错误。</explain>
      <paraID>7899490D</paraID>
      <start>2</start>
      <end>3</end>
      <status>unmodified</status>
      <modifiedWord/>
      <trackRevisions>false</trackRevisions>
    </reviewItem>
    <reviewItem>
      <errorID>b6265b10-393c-412a-b3dc-21e745d0371e</errorID>
      <errorWord>）</errorWord>
      <group>L1_Format</group>
      <groupName>格式问题</groupName>
      <ability>L2_HalfPunc</ability>
      <abilityName>全半角检查</abilityName>
      <candidateList>
        <item>)</item>
      </candidateList>
      <explain>文本全半角错误。</explain>
      <paraID>7899490D</paraID>
      <start>4</start>
      <end>5</end>
      <status>unmodified</status>
      <modifiedWord/>
      <trackRevisions>false</trackRevisions>
    </reviewItem>
    <reviewItem>
      <errorID>400b37a4-7e07-4f23-81b4-3bb9445437a2</errorID>
      <errorWord>（</errorWord>
      <group>L1_Format</group>
      <groupName>格式问题</groupName>
      <ability>L2_HalfPunc</ability>
      <abilityName>全半角检查</abilityName>
      <candidateList>
        <item>(</item>
      </candidateList>
      <explain>文本全半角错误。</explain>
      <paraID>7A1780C3</paraID>
      <start>2</start>
      <end>3</end>
      <status>unmodified</status>
      <modifiedWord/>
      <trackRevisions>false</trackRevisions>
    </reviewItem>
    <reviewItem>
      <errorID>b28ea1f9-a73b-462d-a77c-8341b72f9391</errorID>
      <errorWord>）</errorWord>
      <group>L1_Format</group>
      <groupName>格式问题</groupName>
      <ability>L2_HalfPunc</ability>
      <abilityName>全半角检查</abilityName>
      <candidateList>
        <item>)</item>
      </candidateList>
      <explain>文本全半角错误。</explain>
      <paraID>7A1780C3</paraID>
      <start>4</start>
      <end>5</end>
      <status>unmodified</status>
      <modifiedWord/>
      <trackRevisions>false</trackRevisions>
    </reviewItem>
    <reviewItem>
      <errorID>1cd3a472-3617-4bae-8e98-f134c3e63df0</errorID>
      <errorWord>（</errorWord>
      <group>L1_Format</group>
      <groupName>格式问题</groupName>
      <ability>L2_HalfPunc</ability>
      <abilityName>全半角检查</abilityName>
      <candidateList>
        <item>(</item>
      </candidateList>
      <explain>文本全半角错误。</explain>
      <paraID>4E937CB8</paraID>
      <start>4</start>
      <end>5</end>
      <status>unmodified</status>
      <modifiedWord/>
      <trackRevisions>false</trackRevisions>
    </reviewItem>
    <reviewItem>
      <errorID>9300a79f-f7b5-402c-9268-e0ee9916592b</errorID>
      <errorWord>）</errorWord>
      <group>L1_Format</group>
      <groupName>格式问题</groupName>
      <ability>L2_HalfPunc</ability>
      <abilityName>全半角检查</abilityName>
      <candidateList>
        <item>)</item>
      </candidateList>
      <explain>文本全半角错误。</explain>
      <paraID>4E937CB8</paraID>
      <start>8</start>
      <end>9</end>
      <status>unmodified</status>
      <modifiedWord/>
      <trackRevisions>false</trackRevisions>
    </reviewItem>
    <reviewItem>
      <errorID>5d1956ac-7548-4933-bdf3-dd1b1104331d</errorID>
      <errorWord>-</errorWord>
      <group>L1_Format</group>
      <groupName>格式问题</groupName>
      <ability>L2_HalfPunc</ability>
      <abilityName>全半角检查</abilityName>
      <candidateList>
        <item>－</item>
      </candidateList>
      <explain>文本全半角错误。</explain>
      <paraID>281CA26C</paraID>
      <start>3</start>
      <end>4</end>
      <status>unmodified</status>
      <modifiedWord/>
      <trackRevisions>false</trackRevisions>
    </reviewItem>
    <reviewItem>
      <errorID>6e2fdb86-012a-4c52-819b-6026411466df</errorID>
      <errorWord>（</errorWord>
      <group>L1_Format</group>
      <groupName>格式问题</groupName>
      <ability>L2_HalfPunc</ability>
      <abilityName>全半角检查</abilityName>
      <candidateList>
        <item>(</item>
      </candidateList>
      <explain>文本全半角错误。</explain>
      <paraID>61A2E8AE</paraID>
      <start>1</start>
      <end>2</end>
      <status>unmodified</status>
      <modifiedWord/>
      <trackRevisions>false</trackRevisions>
    </reviewItem>
    <reviewItem>
      <errorID>d06ec71d-ad65-44f1-9250-66b427d9f532</errorID>
      <errorWord>）</errorWord>
      <group>L1_Format</group>
      <groupName>格式问题</groupName>
      <ability>L2_HalfPunc</ability>
      <abilityName>全半角检查</abilityName>
      <candidateList>
        <item>)</item>
      </candidateList>
      <explain>文本全半角错误。</explain>
      <paraID>61A2E8AE</paraID>
      <start>3</start>
      <end>4</end>
      <status>unmodified</status>
      <modifiedWord/>
      <trackRevisions>false</trackRevisions>
    </reviewItem>
    <reviewItem>
      <errorID>1f70851a-4b1d-42b1-8733-7e23f723cb3c</errorID>
      <errorWord>（</errorWord>
      <group>L1_Format</group>
      <groupName>格式问题</groupName>
      <ability>L2_HalfPunc</ability>
      <abilityName>全半角检查</abilityName>
      <candidateList>
        <item>(</item>
      </candidateList>
      <explain>文本全半角错误。</explain>
      <paraID>156D9641</paraID>
      <start>4</start>
      <end>5</end>
      <status>unmodified</status>
      <modifiedWord/>
      <trackRevisions>false</trackRevisions>
    </reviewItem>
    <reviewItem>
      <errorID>9523a2f7-de53-4719-aacd-3f858a5e5a43</errorID>
      <errorWord>）</errorWord>
      <group>L1_Format</group>
      <groupName>格式问题</groupName>
      <ability>L2_HalfPunc</ability>
      <abilityName>全半角检查</abilityName>
      <candidateList>
        <item>)</item>
      </candidateList>
      <explain>文本全半角错误。</explain>
      <paraID>156D9641</paraID>
      <start>8</start>
      <end>9</end>
      <status>unmodified</status>
      <modifiedWord/>
      <trackRevisions>false</trackRevisions>
    </reviewItem>
    <reviewItem>
      <errorID>8a7e6bf6-7f98-41fb-9c89-7482d579a319</errorID>
      <errorWord>/）</errorWord>
      <group>L1_Punc</group>
      <groupName>标点问题</groupName>
      <ability>L2_Punc</ability>
      <abilityName>标点符号检查</abilityName>
      <candidateList>
        <item>）</item>
      </candidateList>
      <explain/>
      <paraID>2AA396B3</paraID>
      <start>21</start>
      <end>23</end>
      <status>unmodified</status>
      <modifiedWord/>
      <trackRevisions>false</trackRevisions>
    </reviewItem>
    <reviewItem>
      <errorID>dbc577f1-8744-4ebe-b1b4-057bda9d0784</errorID>
      <errorWord>玉米玉米</errorWord>
      <group>L1_Word</group>
      <groupName>字词问题</groupName>
      <ability>L2_Typo</ability>
      <abilityName>字词错误</abilityName>
      <candidateList>
        <item>玉米</item>
      </candidateList>
      <explain/>
      <paraID>79C74678</paraID>
      <start>167</start>
      <end>169</end>
      <status>modified</status>
      <modifiedWord>玉米</modifiedWord>
      <trackRevisions>false</trackRevisions>
    </reviewItem>
    <reviewItem>
      <errorID>aa6ce486-b429-47b6-965a-068aaffed98b</errorID>
      <errorWord>）</errorWord>
      <group>L1_Punc</group>
      <groupName>标点问题</groupName>
      <ability>L2_Punc</ability>
      <abilityName>标点符号检查</abilityName>
      <candidateList/>
      <explain/>
      <paraID>3639F74D</paraID>
      <start>0</start>
      <end>1</end>
      <status>unmodified</status>
      <modifiedWord/>
      <trackRevisions>false</trackRevisions>
    </reviewItem>
    <reviewItem>
      <errorID>5c6ed0a4-ab7f-4f55-82d5-3ec5a2fc9214</errorID>
      <errorWord>与和</errorWord>
      <group>L1_Word</group>
      <groupName>字词问题</groupName>
      <ability>L2_Typo</ability>
      <abilityName>字词错误</abilityName>
      <candidateList>
        <item>与</item>
      </candidateList>
      <explain>（舆）yù参与：～会。</explain>
      <paraID>3174D60A</paraID>
      <start>10</start>
      <end>12</end>
      <status>unmodified</status>
      <modifiedWord/>
      <trackRevisions>false</trackRevisions>
    </reviewItem>
    <reviewItem>
      <errorID>c6378b67-f3c4-428a-91ba-24a3465f9ecd</errorID>
      <errorWord>企业应</errorWord>
      <group>L1_Word</group>
      <groupName>字词问题</groupName>
      <ability>L2_Typo</ability>
      <abilityName>字词错误</abilityName>
      <candidateList>
        <item>企业</item>
      </candidateList>
      <explain>〈名〉从事生产、运输、贸易等经济活动的部门，如工厂、矿山、铁路、公司等。</explain>
      <paraID> DC96CDE</paraID>
      <start>57</start>
      <end>60</end>
      <status>unmodified</status>
      <modifiedWord/>
      <trackRevisions>false</trackRevisions>
    </reviewItem>
    <reviewItem>
      <errorID>19abd4f0-49bc-46d4-906b-43ce40834b3f</errorID>
      <errorWord>也应</errorWord>
      <group>L1_Word</group>
      <groupName>字词问题</groupName>
      <ability>L2_Typo</ability>
      <abilityName>字词错误</abilityName>
      <candidateList>
        <item>也</item>
      </candidateList>
      <explain>〈副〉❶表示同样：水库可以灌溉、发电，～可以养鱼。❷单用或叠用，强调两事并列或对待：他会英语，～会法语｜游客里面～有坐车的，～有步行的。❸叠用，表示无论这样或那样，结果都相同：你去我～去，你不去我～去｜他左想～不是，右想～不是。❹用在转折或让步的句子里（常跟上文的“虽然、即使”等呼应），隐含结果相同的意思：虽然雨下得很大，他～来了｜即使你不说，我～知道（你说了，我知道；你不说，我也同样知道）。</explain>
      <paraID> DC96CDE</paraID>
      <start>118</start>
      <end>120</end>
      <status>unmodified</status>
      <modifiedWord/>
      <trackRevisions>false</trackRevisions>
    </reviewItem>
    <reviewItem>
      <errorID>3aaa5357-d265-4a8c-a534-ca15c25a6ba6</errorID>
      <errorWord>：</errorWord>
      <group>L1_Format</group>
      <groupName>格式问题</groupName>
      <ability>L2_HalfPunc</ability>
      <abilityName>全半角检查</abilityName>
      <candidateList>
        <item>:</item>
      </candidateList>
      <explain>文本全半角错误。</explain>
      <paraID>71480B1F</paraID>
      <start>55</start>
      <end>56</end>
      <status>unmodified</status>
      <modifiedWord/>
      <trackRevisions>false</trackRevisions>
    </reviewItem>
    <reviewItem>
      <errorID>a627d20a-4c10-4a69-b2f6-00d0bd52e0a5</errorID>
      <errorWord>（</errorWord>
      <group>L1_Format</group>
      <groupName>格式问题</groupName>
      <ability>L2_HalfPunc</ability>
      <abilityName>全半角检查</abilityName>
      <candidateList>
        <item>(</item>
      </candidateList>
      <explain>文本全半角错误。</explain>
      <paraID>28BFEF6B</paraID>
      <start>2</start>
      <end>3</end>
      <status>unmodified</status>
      <modifiedWord/>
      <trackRevisions>false</trackRevisions>
    </reviewItem>
    <reviewItem>
      <errorID>9b41a063-ffad-450d-a322-164b80ea5327</errorID>
      <errorWord>）</errorWord>
      <group>L1_Format</group>
      <groupName>格式问题</groupName>
      <ability>L2_HalfPunc</ability>
      <abilityName>全半角检查</abilityName>
      <candidateList>
        <item>)</item>
      </candidateList>
      <explain>文本全半角错误。</explain>
      <paraID>28BFEF6B</paraID>
      <start>4</start>
      <end>5</end>
      <status>unmodified</status>
      <modifiedWord/>
      <trackRevisions>false</trackRevisions>
    </reviewItem>
    <reviewItem>
      <errorID>46b7bee1-d4d7-482c-bbc4-46843062a7f1</errorID>
      <errorWord>料</errorWord>
      <group>L1_Word</group>
      <groupName>字词问题</groupName>
      <ability>L2_Typo</ability>
      <abilityName>字词错误</abilityName>
      <candidateList>
        <item>料消</item>
      </candidateList>
      <explain/>
      <paraID>59F5B825</paraID>
      <start>11</start>
      <end>12</end>
      <status>unmodified</status>
      <modifiedWord/>
      <trackRevisions>false</trackRevisions>
    </reviewItem>
    <reviewItem>
      <errorID>58b4c95b-4b87-44c3-a331-c7259047a3d1</errorID>
      <errorWord>（</errorWord>
      <group>L1_Format</group>
      <groupName>格式问题</groupName>
      <ability>L2_HalfPunc</ability>
      <abilityName>全半角检查</abilityName>
      <candidateList>
        <item>(</item>
      </candidateList>
      <explain>文本全半角错误。</explain>
      <paraID>37C3046B</paraID>
      <start>1</start>
      <end>2</end>
      <status>unmodified</status>
      <modifiedWord/>
      <trackRevisions>false</trackRevisions>
    </reviewItem>
    <reviewItem>
      <errorID>e6c8d447-cc60-44ef-b26e-4e9d91de3c6a</errorID>
      <errorWord>）</errorWord>
      <group>L1_Format</group>
      <groupName>格式问题</groupName>
      <ability>L2_HalfPunc</ability>
      <abilityName>全半角检查</abilityName>
      <candidateList>
        <item>)</item>
      </candidateList>
      <explain>文本全半角错误。</explain>
      <paraID>37C3046B</paraID>
      <start>3</start>
      <end>4</end>
      <status>unmodified</status>
      <modifiedWord/>
      <trackRevisions>false</trackRevisions>
    </reviewItem>
    <reviewItem>
      <errorID>61c02be5-60b5-4dad-a1fe-1aa514df25c0</errorID>
      <errorWord>（</errorWord>
      <group>L1_Format</group>
      <groupName>格式问题</groupName>
      <ability>L2_HalfPunc</ability>
      <abilityName>全半角检查</abilityName>
      <candidateList>
        <item>(</item>
      </candidateList>
      <explain>文本全半角错误。</explain>
      <paraID>46022646</paraID>
      <start>3</start>
      <end>4</end>
      <status>unmodified</status>
      <modifiedWord/>
      <trackRevisions>false</trackRevisions>
    </reviewItem>
    <reviewItem>
      <errorID>e5bb21e7-933d-44fa-9793-2dc71fb5e4e0</errorID>
      <errorWord>）</errorWord>
      <group>L1_Format</group>
      <groupName>格式问题</groupName>
      <ability>L2_HalfPunc</ability>
      <abilityName>全半角检查</abilityName>
      <candidateList>
        <item>)</item>
      </candidateList>
      <explain>文本全半角错误。</explain>
      <paraID>46022646</paraID>
      <start>5</start>
      <end>6</end>
      <status>unmodified</status>
      <modifiedWord/>
      <trackRevisions>false</trackRevisions>
    </reviewItem>
    <reviewItem>
      <errorID>c7878184-df3f-4f2b-8b7a-51244392795c</errorID>
      <errorWord>（</errorWord>
      <group>L1_Format</group>
      <groupName>格式问题</groupName>
      <ability>L2_HalfPunc</ability>
      <abilityName>全半角检查</abilityName>
      <candidateList>
        <item>(</item>
      </candidateList>
      <explain>文本全半角错误。</explain>
      <paraID>25A2BB44</paraID>
      <start>2</start>
      <end>3</end>
      <status>unmodified</status>
      <modifiedWord/>
      <trackRevisions>false</trackRevisions>
    </reviewItem>
    <reviewItem>
      <errorID>1e1f2574-ec69-4978-ba29-6de2af3b7cd3</errorID>
      <errorWord>）</errorWord>
      <group>L1_Format</group>
      <groupName>格式问题</groupName>
      <ability>L2_HalfPunc</ability>
      <abilityName>全半角检查</abilityName>
      <candidateList>
        <item>)</item>
      </candidateList>
      <explain>文本全半角错误。</explain>
      <paraID>25A2BB44</paraID>
      <start>4</start>
      <end>5</end>
      <status>unmodified</status>
      <modifiedWord/>
      <trackRevisions>false</trackRevisions>
    </reviewItem>
    <reviewItem>
      <errorID>3ccf0da9-5cdb-4c57-a070-c59fd3f825d0</errorID>
      <errorWord>（</errorWord>
      <group>L1_Format</group>
      <groupName>格式问题</groupName>
      <ability>L2_HalfPunc</ability>
      <abilityName>全半角检查</abilityName>
      <candidateList>
        <item>(</item>
      </candidateList>
      <explain>文本全半角错误。</explain>
      <paraID>1325B954</paraID>
      <start>7</start>
      <end>8</end>
      <status>unmodified</status>
      <modifiedWord/>
      <trackRevisions>false</trackRevisions>
    </reviewItem>
    <reviewItem>
      <errorID>4ddd548f-3521-49b2-8135-401df271bb87</errorID>
      <errorWord>）</errorWord>
      <group>L1_Format</group>
      <groupName>格式问题</groupName>
      <ability>L2_HalfPunc</ability>
      <abilityName>全半角检查</abilityName>
      <candidateList>
        <item>)</item>
      </candidateList>
      <explain>文本全半角错误。</explain>
      <paraID>1325B954</paraID>
      <start>13</start>
      <end>14</end>
      <status>unmodified</status>
      <modifiedWord/>
      <trackRevisions>false</trackRevisions>
    </reviewItem>
    <reviewItem>
      <errorID>810a5b00-a282-4cb2-a7c2-97c507cf0de6</errorID>
      <errorWord>（</errorWord>
      <group>L1_Format</group>
      <groupName>格式问题</groupName>
      <ability>L2_HalfPunc</ability>
      <abilityName>全半角检查</abilityName>
      <candidateList>
        <item>(</item>
      </candidateList>
      <explain>文本全半角错误。</explain>
      <paraID>698A13BE</paraID>
      <start>3</start>
      <end>4</end>
      <status>unmodified</status>
      <modifiedWord/>
      <trackRevisions>false</trackRevisions>
    </reviewItem>
    <reviewItem>
      <errorID>76caccde-d034-4e1d-bf1f-dbe0f2c59032</errorID>
      <errorWord>）</errorWord>
      <group>L1_Format</group>
      <groupName>格式问题</groupName>
      <ability>L2_HalfPunc</ability>
      <abilityName>全半角检查</abilityName>
      <candidateList>
        <item>)</item>
      </candidateList>
      <explain>文本全半角错误。</explain>
      <paraID>698A13BE</paraID>
      <start>7</start>
      <end>8</end>
      <status>unmodified</status>
      <modifiedWord/>
      <trackRevisions>false</trackRevisions>
    </reviewItem>
    <reviewItem>
      <errorID>8a0ba406-05d6-4263-b53f-57a3f50a2ed4</errorID>
      <errorWord>程</errorWord>
      <group>L1_Word</group>
      <groupName>字词问题</groupName>
      <ability>L2_Typo</ability>
      <abilityName>字词错误</abilityName>
      <candidateList>
        <item>程中</item>
      </candidateList>
      <explain/>
      <paraID>2375EE53</paraID>
      <start>23</start>
      <end>24</end>
      <status>unmodified</status>
      <modifiedWord/>
      <trackRevisions>false</trackRevisions>
    </reviewItem>
    <reviewItem>
      <errorID>23004912-d530-4182-9262-932e44c74c18</errorID>
      <errorWord>更换更换</errorWord>
      <group>L1_Word</group>
      <groupName>字词问题</groupName>
      <ability>L2_Typo</ability>
      <abilityName>字词错误</abilityName>
      <candidateList>
        <item>更换</item>
      </candidateList>
      <explain>〈动〉变换；替换：～位置｜～衣裳｜～值班人员｜展览馆里的展品不断～。</explain>
      <paraID>5239A061</paraID>
      <start>52</start>
      <end>54</end>
      <status>modified</status>
      <modifiedWord>更换</modifiedWord>
      <trackRevisions>false</trackRevisions>
    </reviewItem>
    <reviewItem>
      <errorID>7145f7a8-7f41-414d-a184-ab51c538f630</errorID>
      <errorWord>[2017]4号</errorWord>
      <group>L1_Knowledge</group>
      <groupName>知识性问题</groupName>
      <ability>L2_Knowledge</ability>
      <abilityName>其他知识</abilityName>
      <candidateList>
        <item>〔2017〕4号</item>
      </candidateList>
      <explain>发文字号格式错误。</explain>
      <paraID>7FCBB236</paraID>
      <start>26</start>
      <end>34</end>
      <status>unmodified</status>
      <modifiedWord/>
      <trackRevisions>false</trackRevisions>
    </reviewItem>
    <reviewItem>
      <errorID>ae1554e1-4812-4459-92b9-9d7fa986a3ac</errorID>
      <errorWord>[2017]84号</errorWord>
      <group>L1_Knowledge</group>
      <groupName>知识性问题</groupName>
      <ability>L2_Knowledge</ability>
      <abilityName>其他知识</abilityName>
      <candidateList>
        <item>〔2017〕84号</item>
      </candidateList>
      <explain>发文字号格式错误。</explain>
      <paraID>4181A1F5</paraID>
      <start>45</start>
      <end>54</end>
      <status>unmodified</status>
      <modifiedWord/>
      <trackRevisions>false</trackRevisions>
    </reviewItem>
    <reviewItem>
      <errorID>7ec14fbd-358f-4fc5-9370-88f5c5fb1e58</errorID>
      <errorWord>报告表</errorWord>
      <group>L1_Word</group>
      <groupName>字词问题</groupName>
      <ability>L2_Typo</ability>
      <abilityName>字词错误</abilityName>
      <candidateList>
        <item>报告</item>
      </candidateList>
      <explain>❶〈动〉把事情或意见正式告诉上级或群众：你应当把事情的经过向领导～｜大会主席～了开会宗旨。❷〈名〉用口头或书面的形式向上级或群众所做的正式陈述：总结～｜动员～。</explain>
      <paraID>4509FC4F</paraID>
      <start>153</start>
      <end>155</end>
      <status>modified</status>
      <modifiedWord>报告</modifiedWord>
      <trackRevisions>false</trackRevisions>
    </reviewItem>
    <reviewItem>
      <errorID>e3a4b5a8-81ae-4e49-8d57-121b56e6d1a3</errorID>
      <errorWord>三线一单</errorWord>
      <group>L1_Political</group>
      <groupName>政治性问题</groupName>
      <ability>L2_Keyword</ability>
      <abilityName>固定表述</abilityName>
      <candidateList>
        <item>“三线一单”</item>
      </candidateList>
      <explain>注意检查当前固定表述标点是否使用规范。</explain>
      <paraID>50CF45D1</paraID>
      <start>8</start>
      <end>12</end>
      <status>unmodified</status>
      <modifiedWord/>
      <trackRevisions>false</trackRevisions>
    </reviewItem>
    <reviewItem>
      <errorID>f4819c60-dc39-4168-b94b-cadaaa854d5c</errorID>
      <errorWord>三线一单</errorWord>
      <group>L1_Political</group>
      <groupName>政治性问题</groupName>
      <ability>L2_Keyword</ability>
      <abilityName>固定表述</abilityName>
      <candidateList>
        <item>“三线一单”</item>
      </candidateList>
      <explain>注意检查当前固定表述标点是否使用规范。</explain>
      <paraID> 9030268</paraID>
      <start>9</start>
      <end>13</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7cb01e-ff33-43b8-99d5-c9ed1f12438a}">
  <ds:schemaRefs/>
</ds:datastoreItem>
</file>

<file path=docProps/app.xml><?xml version="1.0" encoding="utf-8"?>
<Properties xmlns="http://schemas.openxmlformats.org/officeDocument/2006/extended-properties" xmlns:vt="http://schemas.openxmlformats.org/officeDocument/2006/docPropsVTypes">
  <Template>Normal</Template>
  <Pages>65</Pages>
  <Words>16685</Words>
  <Characters>17163</Characters>
  <Lines>348</Lines>
  <Paragraphs>98</Paragraphs>
  <TotalTime>214</TotalTime>
  <ScaleCrop>false</ScaleCrop>
  <LinksUpToDate>false</LinksUpToDate>
  <CharactersWithSpaces>17217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2021-01-04T04:42:00Z</dcterms:created>
  <dc:creator>Administrator</dc:creator>
  <cp:lastModifiedBy>宽广伟岸</cp:lastModifiedBy>
  <cp:lastPrinted>2026-02-05T08:21:00Z</cp:lastPrinted>
  <dcterms:modified xsi:type="dcterms:W3CDTF">2026-04-01T03:12:16Z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5FACF48F1C1D43B8BCA848E95BE89709_13</vt:lpwstr>
  </property>
  <property fmtid="{D5CDD505-2E9C-101B-9397-08002B2CF9AE}" pid="4" name="KSOTemplateDocerSaveRecord">
    <vt:lpwstr>eyJoZGlkIjoiNWIwN2Y3OTExNzg4OWRlMGZjYjY3ZjdhYjEyNmIwMGUiLCJ1c2VySWQiOiIzOTc1ODU0OTUifQ==</vt:lpwstr>
  </property>
</Properties>
</file>