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A7A64">
      <w:pPr>
        <w:rPr>
          <w:sz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-450215</wp:posOffset>
                </wp:positionH>
                <wp:positionV relativeFrom="paragraph">
                  <wp:posOffset>805180</wp:posOffset>
                </wp:positionV>
                <wp:extent cx="6565900" cy="1156970"/>
                <wp:effectExtent l="0" t="0" r="0" b="0"/>
                <wp:wrapNone/>
                <wp:docPr id="2" name="文本框 2"/>
                <wp:cNvGraphicFramePr/>
                <a:graphic xmlns:a="http://schemas.openxmlformats.org/drawingml/2006/main">
                  <a:graphicData uri="http://schemas.microsoft.com/office/word/2010/wordprocessingShape">
                    <wps:wsp>
                      <wps:cNvSpPr txBox="1"/>
                      <wps:spPr>
                        <a:xfrm>
                          <a:off x="385445" y="3507740"/>
                          <a:ext cx="6565900" cy="1156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538CFC">
                            <w:pPr>
                              <w:keepNext w:val="0"/>
                              <w:keepLines w:val="0"/>
                              <w:pageBreakBefore w:val="0"/>
                              <w:widowControl w:val="0"/>
                              <w:shd w:val="clear"/>
                              <w:kinsoku/>
                              <w:wordWrap/>
                              <w:overflowPunct/>
                              <w:topLinePunct w:val="0"/>
                              <w:autoSpaceDE/>
                              <w:autoSpaceDN/>
                              <w:bidi w:val="0"/>
                              <w:adjustRightInd/>
                              <w:snapToGrid/>
                              <w:spacing w:line="1600" w:lineRule="exact"/>
                              <w:ind w:left="0" w:leftChars="0" w:firstLine="0" w:firstLineChars="0"/>
                              <w:textAlignment w:val="auto"/>
                              <w:rPr>
                                <w:rFonts w:hint="eastAsia" w:ascii="方正小标宋简体" w:hAnsi="方正小标宋简体" w:eastAsia="方正小标宋简体" w:cs="方正小标宋简体"/>
                                <w:color w:val="FF0000"/>
                                <w:spacing w:val="11"/>
                                <w:w w:val="66"/>
                                <w:sz w:val="140"/>
                                <w:szCs w:val="140"/>
                                <w:lang w:val="en-US" w:eastAsia="zh-CN"/>
                              </w:rPr>
                            </w:pPr>
                            <w:r>
                              <w:rPr>
                                <w:rFonts w:hint="eastAsia" w:ascii="方正小标宋简体" w:hAnsi="方正小标宋简体" w:eastAsia="方正小标宋简体" w:cs="方正小标宋简体"/>
                                <w:color w:val="FF0000"/>
                                <w:spacing w:val="11"/>
                                <w:w w:val="66"/>
                                <w:sz w:val="140"/>
                                <w:szCs w:val="140"/>
                                <w:lang w:val="en-US" w:eastAsia="zh-CN"/>
                              </w:rPr>
                              <w:t>吉林市生态环境局文件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5pt;margin-top:63.4pt;height:91.1pt;width:517pt;z-index:251660288;mso-width-relative:page;mso-height-relative:page;" filled="f" stroked="f" coordsize="21600,21600" o:gfxdata="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LBCjbAAAACwEAAA8AAAAAAAAA&#10;AQAgAAAAIgAAAGRycy9kb3ducmV2LnhtbFBLAQIUABQAAAAIAIdO4kBneIemRwIAAHIEAAAOAAAA&#10;AAAAAAEAIAAAACoBAABkcnMvZTJvRG9jLnhtbFBLBQYAAAAABgAGAFkBAADjBQAAAAA=&#10;">
                <v:fill on="f" focussize="0,0"/>
                <v:stroke on="f" weight="0.5pt"/>
                <v:imagedata o:title=""/>
                <o:lock v:ext="edit" aspectratio="f"/>
                <v:textbox>
                  <w:txbxContent>
                    <w:p w14:paraId="41538CFC">
                      <w:pPr>
                        <w:keepNext w:val="0"/>
                        <w:keepLines w:val="0"/>
                        <w:pageBreakBefore w:val="0"/>
                        <w:widowControl w:val="0"/>
                        <w:shd w:val="clear"/>
                        <w:kinsoku/>
                        <w:wordWrap/>
                        <w:overflowPunct/>
                        <w:topLinePunct w:val="0"/>
                        <w:autoSpaceDE/>
                        <w:autoSpaceDN/>
                        <w:bidi w:val="0"/>
                        <w:adjustRightInd/>
                        <w:snapToGrid/>
                        <w:spacing w:line="1600" w:lineRule="exact"/>
                        <w:ind w:left="0" w:leftChars="0" w:firstLine="0" w:firstLineChars="0"/>
                        <w:textAlignment w:val="auto"/>
                        <w:rPr>
                          <w:rFonts w:hint="eastAsia" w:ascii="方正小标宋简体" w:hAnsi="方正小标宋简体" w:eastAsia="方正小标宋简体" w:cs="方正小标宋简体"/>
                          <w:color w:val="FF0000"/>
                          <w:spacing w:val="11"/>
                          <w:w w:val="66"/>
                          <w:sz w:val="140"/>
                          <w:szCs w:val="140"/>
                          <w:lang w:val="en-US" w:eastAsia="zh-CN"/>
                        </w:rPr>
                      </w:pPr>
                      <w:r>
                        <w:rPr>
                          <w:rFonts w:hint="eastAsia" w:ascii="方正小标宋简体" w:hAnsi="方正小标宋简体" w:eastAsia="方正小标宋简体" w:cs="方正小标宋简体"/>
                          <w:color w:val="FF0000"/>
                          <w:spacing w:val="11"/>
                          <w:w w:val="66"/>
                          <w:sz w:val="140"/>
                          <w:szCs w:val="140"/>
                          <w:lang w:val="en-US" w:eastAsia="zh-CN"/>
                        </w:rPr>
                        <w:t>吉林市生态环境局文件</w:t>
                      </w:r>
                    </w:p>
                  </w:txbxContent>
                </v:textbox>
              </v:shape>
            </w:pict>
          </mc:Fallback>
        </mc:AlternateContent>
      </w:r>
    </w:p>
    <w:p w14:paraId="3C5E8A71">
      <w:pPr>
        <w:bidi w:val="0"/>
        <w:rPr>
          <w:rFonts w:hint="eastAsia" w:ascii="仿宋_GB2312" w:hAnsi="仿宋_GB2312" w:eastAsia="仿宋_GB2312" w:cs="Times New Roman"/>
          <w:kern w:val="2"/>
          <w:sz w:val="32"/>
          <w:szCs w:val="32"/>
          <w:lang w:val="en-US" w:eastAsia="zh-CN" w:bidi="ar-SA"/>
        </w:rPr>
      </w:pPr>
    </w:p>
    <w:p w14:paraId="1016AFF1">
      <w:pPr>
        <w:bidi w:val="0"/>
        <w:rPr>
          <w:rFonts w:hint="eastAsia"/>
          <w:lang w:val="en-US" w:eastAsia="zh-CN"/>
        </w:rPr>
      </w:pPr>
    </w:p>
    <w:p w14:paraId="1C5B43AA">
      <w:pPr>
        <w:bidi w:val="0"/>
        <w:rPr>
          <w:rFonts w:hint="eastAsia"/>
          <w:lang w:val="en-US" w:eastAsia="zh-CN"/>
        </w:rPr>
      </w:pPr>
    </w:p>
    <w:p w14:paraId="04C2E550">
      <w:pPr>
        <w:bidi w:val="0"/>
        <w:rPr>
          <w:rFonts w:hint="eastAsia"/>
          <w:lang w:val="en-US" w:eastAsia="zh-CN"/>
        </w:rPr>
      </w:pPr>
    </w:p>
    <w:p w14:paraId="00F65928">
      <w:pPr>
        <w:bidi w:val="0"/>
        <w:rPr>
          <w:rFonts w:hint="eastAsia"/>
          <w:lang w:val="en-US" w:eastAsia="zh-CN"/>
        </w:rPr>
      </w:pPr>
    </w:p>
    <w:p w14:paraId="4B0547D0">
      <w:pPr>
        <w:bidi w:val="0"/>
        <w:rPr>
          <w:rFonts w:hint="eastAsia"/>
          <w:lang w:val="en-US" w:eastAsia="zh-CN"/>
        </w:rPr>
      </w:pPr>
    </w:p>
    <w:p w14:paraId="3544FAB4">
      <w:pPr>
        <w:bidi w:val="0"/>
        <w:ind w:left="0" w:leftChars="0" w:firstLine="0" w:firstLineChars="0"/>
        <w:jc w:val="center"/>
        <w:rPr>
          <w:rFonts w:hint="eastAsia" w:ascii="仿宋_GB2312" w:hAnsi="仿宋_GB2312" w:eastAsia="仿宋_GB2312" w:cs="仿宋_GB2312"/>
          <w:spacing w:val="-20"/>
          <w:sz w:val="32"/>
          <w:szCs w:val="32"/>
        </w:rPr>
      </w:pPr>
    </w:p>
    <w:p w14:paraId="78D9AC42">
      <w:pPr>
        <w:spacing w:line="576" w:lineRule="exact"/>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吉市（昌）环建（表）字〔202</w:t>
      </w:r>
      <w:r>
        <w:rPr>
          <w:rFonts w:hint="eastAsia" w:cs="仿宋_GB2312"/>
          <w:lang w:val="en-US" w:eastAsia="zh-CN"/>
        </w:rPr>
        <w:t>6</w:t>
      </w:r>
      <w:r>
        <w:rPr>
          <w:rFonts w:hint="eastAsia" w:ascii="仿宋_GB2312" w:hAnsi="仿宋_GB2312" w:eastAsia="仿宋_GB2312" w:cs="仿宋_GB2312"/>
        </w:rPr>
        <w:t>〕</w:t>
      </w:r>
      <w:r>
        <w:rPr>
          <w:rFonts w:hint="eastAsia" w:cs="仿宋_GB2312"/>
          <w:lang w:val="en-US" w:eastAsia="zh-CN"/>
        </w:rPr>
        <w:t>2</w:t>
      </w:r>
      <w:r>
        <w:rPr>
          <w:rFonts w:hint="eastAsia" w:ascii="仿宋_GB2312" w:hAnsi="仿宋_GB2312" w:eastAsia="仿宋_GB2312" w:cs="仿宋_GB2312"/>
        </w:rPr>
        <w:t>号</w:t>
      </w:r>
    </w:p>
    <w:p w14:paraId="65E5A4EB">
      <w:pPr>
        <w:bidi w:val="0"/>
        <w:ind w:left="0" w:leftChars="0" w:firstLine="0" w:firstLineChars="0"/>
        <w:jc w:val="both"/>
        <w:rPr>
          <w:rFonts w:hint="eastAsia" w:ascii="仿宋_GB2312" w:hAnsi="仿宋_GB2312" w:eastAsia="仿宋_GB2312" w:cs="仿宋_GB2312"/>
          <w:spacing w:val="-20"/>
          <w:sz w:val="32"/>
          <w:szCs w:val="32"/>
        </w:rPr>
      </w:pPr>
    </w:p>
    <w:p w14:paraId="22E6EB1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w w:val="90"/>
          <w:kern w:val="2"/>
          <w:sz w:val="44"/>
          <w:szCs w:val="44"/>
          <w:lang w:val="en-US" w:eastAsia="zh-CN" w:bidi="ar-SA"/>
        </w:rPr>
      </w:pPr>
      <w:r>
        <w:rPr>
          <w:rFonts w:hint="eastAsia" w:ascii="方正小标宋简体" w:hAnsi="方正小标宋简体" w:eastAsia="方正小标宋简体" w:cs="方正小标宋简体"/>
          <w:b w:val="0"/>
          <w:bCs w:val="0"/>
          <w:w w:val="90"/>
          <w:kern w:val="2"/>
          <w:sz w:val="44"/>
          <w:szCs w:val="44"/>
          <w:lang w:val="en-US" w:eastAsia="zh-CN" w:bidi="ar-SA"/>
        </w:rPr>
        <mc:AlternateContent>
          <mc:Choice Requires="wps">
            <w:drawing>
              <wp:anchor distT="0" distB="0" distL="114300" distR="114300" simplePos="0" relativeHeight="251661312" behindDoc="0" locked="0" layoutInCell="1" allowOverlap="1">
                <wp:simplePos x="0" y="0"/>
                <wp:positionH relativeFrom="margin">
                  <wp:posOffset>5715</wp:posOffset>
                </wp:positionH>
                <wp:positionV relativeFrom="page">
                  <wp:posOffset>4178300</wp:posOffset>
                </wp:positionV>
                <wp:extent cx="5603240" cy="10160"/>
                <wp:effectExtent l="0" t="17780" r="16510" b="29210"/>
                <wp:wrapNone/>
                <wp:docPr id="8" name="直接连接符 8"/>
                <wp:cNvGraphicFramePr/>
                <a:graphic xmlns:a="http://schemas.openxmlformats.org/drawingml/2006/main">
                  <a:graphicData uri="http://schemas.microsoft.com/office/word/2010/wordprocessingShape">
                    <wps:wsp>
                      <wps:cNvCnPr/>
                      <wps:spPr>
                        <a:xfrm>
                          <a:off x="0" y="0"/>
                          <a:ext cx="5603447" cy="10211"/>
                        </a:xfrm>
                        <a:prstGeom prst="line">
                          <a:avLst/>
                        </a:prstGeom>
                        <a:ln w="35999" cap="flat" cmpd="sng">
                          <a:solidFill>
                            <a:srgbClr val="FF0000"/>
                          </a:solidFill>
                          <a:prstDash val="solid"/>
                          <a:miter/>
                          <a:headEnd type="none" w="med" len="med"/>
                          <a:tailEnd type="none" w="med" len="med"/>
                        </a:ln>
                        <a:effectLst/>
                      </wps:spPr>
                      <wps:bodyPr/>
                    </wps:wsp>
                  </a:graphicData>
                </a:graphic>
              </wp:anchor>
            </w:drawing>
          </mc:Choice>
          <mc:Fallback>
            <w:pict>
              <v:line id="_x0000_s1026" o:spid="_x0000_s1026" o:spt="20" style="position:absolute;left:0pt;margin-left:0.45pt;margin-top:329pt;height:0.8pt;width:441.2pt;mso-position-horizontal-relative:margin;mso-position-vertical-relative:page;z-index:251661312;mso-width-relative:page;mso-height-relative:page;" filled="f" stroked="t" coordsize="21600,21600" o:gfxdata="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Wi2ELXAAAACAEAAA8AAAAAAAAAAQAgAAAAIgAAAGRycy9kb3ducmV2&#10;LnhtbFBLAQIUABQAAAAIAIdO4kA7xIpH/QEAAPUDAAAOAAAAAAAAAAEAIAAAACYBAABkcnMvZTJv&#10;RG9jLnhtbFBLBQYAAAAABgAGAFkBAACVBQAAAAA=&#10;">
                <v:fill on="f" focussize="0,0"/>
                <v:stroke weight="2.83456692913386pt" color="#FF0000" joinstyle="miter"/>
                <v:imagedata o:title=""/>
                <o:lock v:ext="edit" aspectratio="f"/>
              </v:line>
            </w:pict>
          </mc:Fallback>
        </mc:AlternateContent>
      </w:r>
      <w:r>
        <w:rPr>
          <w:rFonts w:hint="eastAsia" w:ascii="方正小标宋简体" w:hAnsi="方正小标宋简体" w:eastAsia="方正小标宋简体" w:cs="方正小标宋简体"/>
          <w:b w:val="0"/>
          <w:bCs w:val="0"/>
          <w:w w:val="90"/>
          <w:kern w:val="2"/>
          <w:sz w:val="44"/>
          <w:szCs w:val="44"/>
          <w:lang w:val="en-US" w:eastAsia="zh-CN" w:bidi="ar-SA"/>
        </w:rPr>
        <w:t>关于吉林市昌邑区百顺粮食收购站</w:t>
      </w:r>
    </w:p>
    <w:p w14:paraId="11821B6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w w:val="90"/>
          <w:kern w:val="2"/>
          <w:sz w:val="44"/>
          <w:szCs w:val="44"/>
          <w:lang w:val="en-US" w:eastAsia="zh-CN" w:bidi="ar-SA"/>
        </w:rPr>
      </w:pPr>
      <w:r>
        <w:rPr>
          <w:rFonts w:hint="eastAsia" w:ascii="方正小标宋简体" w:hAnsi="方正小标宋简体" w:eastAsia="方正小标宋简体" w:cs="方正小标宋简体"/>
          <w:b w:val="0"/>
          <w:bCs w:val="0"/>
          <w:w w:val="90"/>
          <w:kern w:val="2"/>
          <w:sz w:val="44"/>
          <w:szCs w:val="44"/>
          <w:lang w:val="en-US" w:eastAsia="zh-CN" w:bidi="ar-SA"/>
        </w:rPr>
        <w:t>粮食烘干项目环境影响报告表的批复</w:t>
      </w:r>
    </w:p>
    <w:p w14:paraId="171316EF">
      <w:pPr>
        <w:pStyle w:val="8"/>
        <w:ind w:left="0" w:leftChars="0" w:firstLine="0" w:firstLineChars="0"/>
        <w:jc w:val="center"/>
        <w:rPr>
          <w:rFonts w:hint="eastAsia" w:ascii="仿宋_GB2312" w:hAnsi="仿宋_GB2312" w:eastAsia="仿宋_GB2312" w:cs="仿宋_GB2312"/>
          <w:kern w:val="2"/>
          <w:sz w:val="32"/>
          <w:szCs w:val="32"/>
          <w:lang w:val="en-US" w:eastAsia="zh-CN" w:bidi="ar-SA"/>
        </w:rPr>
      </w:pPr>
    </w:p>
    <w:p w14:paraId="7C48143E">
      <w:pPr>
        <w:keepNext w:val="0"/>
        <w:keepLines w:val="0"/>
        <w:pageBreakBefore w:val="0"/>
        <w:widowControl/>
        <w:kinsoku/>
        <w:wordWrap/>
        <w:overflowPunct/>
        <w:topLinePunct w:val="0"/>
        <w:autoSpaceDE/>
        <w:autoSpaceDN/>
        <w:bidi w:val="0"/>
        <w:snapToGrid w:val="0"/>
        <w:spacing w:line="576" w:lineRule="exact"/>
        <w:ind w:left="0" w:leftChars="0" w:firstLine="0" w:firstLineChars="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Times New Roman" w:hAnsi="Times New Roman" w:eastAsia="仿宋" w:cs="Times New Roman"/>
          <w:bCs/>
          <w:color w:val="auto"/>
          <w:sz w:val="32"/>
          <w:szCs w:val="32"/>
          <w:lang w:val="en-US" w:eastAsia="zh-CN"/>
        </w:rPr>
        <w:t>吉林市昌邑区百顺粮食收购站</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 xml:space="preserve"> </w:t>
      </w:r>
    </w:p>
    <w:p w14:paraId="19CE6445">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你单位《关于〈</w:t>
      </w:r>
      <w:r>
        <w:rPr>
          <w:rFonts w:hint="eastAsia" w:ascii="Times New Roman" w:hAnsi="Times New Roman" w:eastAsia="仿宋" w:cs="Times New Roman"/>
          <w:bCs/>
          <w:color w:val="auto"/>
          <w:sz w:val="32"/>
          <w:szCs w:val="32"/>
          <w:lang w:val="en-US" w:eastAsia="zh-CN"/>
        </w:rPr>
        <w:t>吉林市昌邑区百顺粮食收购站粮食烘干项目</w:t>
      </w:r>
      <w:r>
        <w:rPr>
          <w:rFonts w:hint="eastAsia" w:ascii="仿宋_GB2312" w:hAnsi="仿宋_GB2312" w:eastAsia="仿宋_GB2312" w:cs="仿宋_GB2312"/>
          <w:sz w:val="32"/>
          <w:szCs w:val="32"/>
          <w:lang w:val="en-US" w:eastAsia="zh-CN"/>
        </w:rPr>
        <w:t>环境影响报告表〉审查的申请》及委托</w:t>
      </w:r>
      <w:r>
        <w:rPr>
          <w:rFonts w:hint="default" w:ascii="Times New Roman" w:hAnsi="Times New Roman" w:eastAsia="仿宋" w:cs="Times New Roman"/>
          <w:kern w:val="0"/>
          <w:sz w:val="32"/>
          <w:szCs w:val="32"/>
        </w:rPr>
        <w:t>吉林东北煤炭工业环保研究有限公司</w:t>
      </w:r>
      <w:r>
        <w:rPr>
          <w:rFonts w:hint="eastAsia" w:ascii="仿宋_GB2312" w:hAnsi="仿宋_GB2312" w:eastAsia="仿宋_GB2312" w:cs="仿宋_GB2312"/>
          <w:sz w:val="32"/>
          <w:szCs w:val="32"/>
          <w:lang w:val="en-US" w:eastAsia="zh-CN"/>
        </w:rPr>
        <w:t>编制的环境影响报告表（报批版）收悉。经审查，现批复如下：</w:t>
      </w:r>
    </w:p>
    <w:p w14:paraId="239BC501">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一、项目概况</w:t>
      </w:r>
    </w:p>
    <w:p w14:paraId="7C3F501D">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项目建设地点为吉林市昌邑区左家镇河湾子振兴街北段。厂界东侧为左家镇区居民，最近距离25</w:t>
      </w:r>
      <w:r>
        <w:rPr>
          <w:rFonts w:hint="eastAsia" w:cs="仿宋_GB2312"/>
          <w:sz w:val="32"/>
          <w:szCs w:val="32"/>
          <w:lang w:val="en-US" w:eastAsia="zh-CN"/>
        </w:rPr>
        <w:t>米</w:t>
      </w:r>
      <w:r>
        <w:rPr>
          <w:rFonts w:hint="eastAsia" w:ascii="仿宋_GB2312" w:hAnsi="仿宋_GB2312" w:eastAsia="仿宋_GB2312" w:cs="仿宋_GB2312"/>
          <w:sz w:val="32"/>
          <w:szCs w:val="32"/>
          <w:lang w:val="en-US" w:eastAsia="zh-CN"/>
        </w:rPr>
        <w:t>；南侧为一处废弃厂房；西侧紧邻1户居民；北侧隔振兴街为左家镇区居民，最近距离为20</w:t>
      </w:r>
      <w:r>
        <w:rPr>
          <w:rFonts w:hint="eastAsia" w:cs="仿宋_GB2312"/>
          <w:sz w:val="32"/>
          <w:szCs w:val="32"/>
          <w:lang w:val="en-US" w:eastAsia="zh-CN"/>
        </w:rPr>
        <w:t>米</w:t>
      </w:r>
      <w:r>
        <w:rPr>
          <w:rFonts w:hint="eastAsia" w:ascii="仿宋_GB2312" w:hAnsi="仿宋_GB2312" w:eastAsia="仿宋_GB2312" w:cs="仿宋_GB2312"/>
          <w:sz w:val="32"/>
          <w:szCs w:val="32"/>
          <w:lang w:val="en-US" w:eastAsia="zh-CN"/>
        </w:rPr>
        <w:t>。该项目将原有热风炉改造为生物质热风炉，建设</w:t>
      </w:r>
      <w:r>
        <w:rPr>
          <w:rFonts w:hint="default" w:ascii="仿宋_GB2312" w:hAnsi="仿宋_GB2312" w:eastAsia="仿宋_GB2312" w:cs="仿宋_GB2312"/>
          <w:sz w:val="32"/>
          <w:szCs w:val="32"/>
          <w:lang w:val="en-US" w:eastAsia="zh-CN"/>
        </w:rPr>
        <w:t>1套</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00吨/日烘干系统</w:t>
      </w:r>
      <w:r>
        <w:rPr>
          <w:rFonts w:hint="eastAsia" w:ascii="仿宋_GB2312" w:hAnsi="仿宋_GB2312" w:eastAsia="仿宋_GB2312" w:cs="仿宋_GB2312"/>
          <w:sz w:val="32"/>
          <w:szCs w:val="32"/>
          <w:lang w:val="en-US" w:eastAsia="zh-CN"/>
        </w:rPr>
        <w:t>，含热风炉锅炉房、烘干塔主体、烘后计量装置、塔前清理设备、提升设备、热风系统，配备生物质热风炉、生物质燃料仓及烟气除尘系统设备等。项目建成后年烘干玉米20000</w:t>
      </w:r>
      <w:r>
        <w:rPr>
          <w:rFonts w:hint="eastAsia" w:cs="仿宋_GB2312"/>
          <w:sz w:val="32"/>
          <w:szCs w:val="32"/>
          <w:lang w:val="en-US" w:eastAsia="zh-CN"/>
        </w:rPr>
        <w:t>吨</w:t>
      </w:r>
      <w:r>
        <w:rPr>
          <w:rFonts w:hint="eastAsia" w:ascii="仿宋_GB2312" w:hAnsi="仿宋_GB2312" w:eastAsia="仿宋_GB2312" w:cs="仿宋_GB2312"/>
          <w:sz w:val="32"/>
          <w:szCs w:val="32"/>
          <w:lang w:val="en-US" w:eastAsia="zh-CN"/>
        </w:rPr>
        <w:t>。</w:t>
      </w:r>
    </w:p>
    <w:p w14:paraId="545BBE50">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该项目符合国家产业政策，符合“三线一单”管理要求，符合区域环境功能区划，根据环境影响报告表评价结论和吉林市环境保护科学研究院关于《吉林市昌邑区百顺粮食收购站粮食烘干项目环境影响报告表》的评估意见(吉市环科字评估〔202</w:t>
      </w:r>
      <w:r>
        <w:rPr>
          <w:rFonts w:hint="eastAsia" w:cs="仿宋_GB2312"/>
          <w:sz w:val="32"/>
          <w:szCs w:val="32"/>
          <w:lang w:val="en-US" w:eastAsia="zh-CN"/>
        </w:rPr>
        <w:t>6</w:t>
      </w:r>
      <w:r>
        <w:rPr>
          <w:rFonts w:hint="eastAsia" w:ascii="仿宋_GB2312" w:hAnsi="仿宋_GB2312" w:eastAsia="仿宋_GB2312" w:cs="仿宋_GB2312"/>
          <w:sz w:val="32"/>
          <w:szCs w:val="32"/>
          <w:lang w:val="en-US" w:eastAsia="zh-CN"/>
        </w:rPr>
        <w:t>〕</w:t>
      </w:r>
      <w:r>
        <w:rPr>
          <w:rFonts w:hint="eastAsia" w:cs="仿宋_GB2312"/>
          <w:sz w:val="32"/>
          <w:szCs w:val="32"/>
          <w:lang w:val="en-US" w:eastAsia="zh-CN"/>
        </w:rPr>
        <w:t>31</w:t>
      </w:r>
      <w:r>
        <w:rPr>
          <w:rFonts w:hint="eastAsia" w:ascii="仿宋_GB2312" w:hAnsi="仿宋_GB2312" w:eastAsia="仿宋_GB2312" w:cs="仿宋_GB2312"/>
          <w:sz w:val="32"/>
          <w:szCs w:val="32"/>
          <w:lang w:val="en-US" w:eastAsia="zh-CN"/>
        </w:rPr>
        <w:t>号),在全面落实本报告表提出的各项生态环境保护及环境风险防范措施、污染物排放控制在环评文件核定排污水平以内的前提下，从生态环境保护角度分析，我局原则同意该项目建设及环境影响报告表所列建设项目的</w:t>
      </w:r>
      <w:r>
        <w:rPr>
          <w:rFonts w:hint="eastAsia" w:cs="仿宋_GB2312"/>
          <w:sz w:val="32"/>
          <w:szCs w:val="32"/>
          <w:lang w:val="en-US" w:eastAsia="zh-CN"/>
        </w:rPr>
        <w:t>性</w:t>
      </w:r>
      <w:r>
        <w:rPr>
          <w:rFonts w:hint="eastAsia" w:ascii="仿宋_GB2312" w:hAnsi="仿宋_GB2312" w:eastAsia="仿宋_GB2312" w:cs="仿宋_GB2312"/>
          <w:sz w:val="32"/>
          <w:szCs w:val="32"/>
          <w:lang w:val="en-US" w:eastAsia="zh-CN"/>
        </w:rPr>
        <w:t xml:space="preserve">质、地点、工艺、规模和拟采取的环境保护措施。 </w:t>
      </w:r>
    </w:p>
    <w:p w14:paraId="76184355">
      <w:pPr>
        <w:pStyle w:val="31"/>
        <w:keepNext w:val="0"/>
        <w:keepLines w:val="0"/>
        <w:pageBreakBefore w:val="0"/>
        <w:tabs>
          <w:tab w:val="left" w:pos="1260"/>
        </w:tabs>
        <w:kinsoku/>
        <w:wordWrap/>
        <w:overflowPunct/>
        <w:topLinePunct w:val="0"/>
        <w:bidi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二、项目建设应重点做好以下工作</w:t>
      </w:r>
    </w:p>
    <w:p w14:paraId="7C229644">
      <w:pPr>
        <w:pStyle w:val="31"/>
        <w:keepNext w:val="0"/>
        <w:keepLines w:val="0"/>
        <w:pageBreakBefore w:val="0"/>
        <w:tabs>
          <w:tab w:val="left" w:pos="1260"/>
        </w:tabs>
        <w:kinsoku/>
        <w:wordWrap/>
        <w:overflowPunct/>
        <w:topLinePunct w:val="0"/>
        <w:bidi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kern w:val="2"/>
          <w:sz w:val="32"/>
          <w:szCs w:val="32"/>
          <w:lang w:val="en-US" w:eastAsia="zh-CN" w:bidi="ar-SA"/>
        </w:rPr>
        <w:t>（一）严格落实施工期各项污染防治措施</w:t>
      </w:r>
    </w:p>
    <w:p w14:paraId="20257AD3">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施工单位应依法依规组织施工，认真落实环保措施，把环境影响降低到最低程度。</w:t>
      </w:r>
      <w:r>
        <w:rPr>
          <w:rFonts w:hint="eastAsia" w:ascii="仿宋_GB2312" w:hAnsi="仿宋_GB2312" w:eastAsia="仿宋_GB2312" w:cs="仿宋_GB2312"/>
          <w:sz w:val="32"/>
          <w:szCs w:val="32"/>
          <w:lang w:val="en-US" w:eastAsia="zh-CN"/>
        </w:rPr>
        <w:t>施工人员生活污水排入防渗旱厕，定期清掏还田，不外排</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严格执行《建筑施工场界噪环境声排放标准》（GB12523-20</w:t>
      </w:r>
      <w:r>
        <w:rPr>
          <w:rFonts w:hint="eastAsia" w:cs="仿宋_GB2312"/>
          <w:sz w:val="32"/>
          <w:szCs w:val="32"/>
          <w:lang w:val="en-US" w:eastAsia="zh-CN"/>
        </w:rPr>
        <w:t>25）</w:t>
      </w:r>
      <w:r>
        <w:rPr>
          <w:rFonts w:hint="eastAsia" w:ascii="仿宋_GB2312" w:hAnsi="仿宋_GB2312" w:eastAsia="仿宋_GB2312" w:cs="仿宋_GB2312"/>
          <w:sz w:val="32"/>
          <w:szCs w:val="32"/>
          <w:lang w:val="en-US" w:eastAsia="zh-CN"/>
        </w:rPr>
        <w:t>中规定的各种施工阶段的噪声限值要求。严格控制强噪声设备的作业时间，选择低噪声的机械设备，做好机械和车辆的维护保养，车辆运输中禁止鸣笛；禁止夜间施工。建筑垃圾分类收集，钢筋、钢板、木材等下脚料由废品回收站回收利用，不能回收的建筑垃圾及时清运至指定建筑填埋场填埋，严禁乱倒。生活垃圾由环卫部门收集，统一处置。</w:t>
      </w:r>
    </w:p>
    <w:p w14:paraId="4965594B">
      <w:pPr>
        <w:pStyle w:val="31"/>
        <w:keepNext w:val="0"/>
        <w:keepLines w:val="0"/>
        <w:pageBreakBefore w:val="0"/>
        <w:tabs>
          <w:tab w:val="left" w:pos="1260"/>
        </w:tabs>
        <w:kinsoku/>
        <w:wordWrap/>
        <w:overflowPunct/>
        <w:topLinePunct w:val="0"/>
        <w:bidi w:val="0"/>
        <w:snapToGrid/>
        <w:spacing w:line="480" w:lineRule="exact"/>
        <w:ind w:firstLine="640" w:firstLineChars="200"/>
        <w:textAlignment w:val="auto"/>
        <w:rPr>
          <w:rFonts w:hint="eastAsia" w:ascii="Times New Roman" w:hAnsi="Times New Roman" w:eastAsia="仿宋" w:cs="Times New Roman"/>
          <w:bCs/>
          <w:color w:val="auto"/>
          <w:kern w:val="0"/>
          <w:sz w:val="32"/>
          <w:szCs w:val="32"/>
          <w:lang w:val="en-US" w:eastAsia="zh-CN" w:bidi="ar-SA"/>
        </w:rPr>
      </w:pPr>
      <w:r>
        <w:rPr>
          <w:rFonts w:hint="default" w:ascii="仿宋_GB2312" w:hAnsi="仿宋_GB2312" w:eastAsia="仿宋_GB2312" w:cs="仿宋_GB2312"/>
          <w:color w:val="auto"/>
          <w:kern w:val="2"/>
          <w:sz w:val="32"/>
          <w:szCs w:val="32"/>
          <w:lang w:val="en-US" w:eastAsia="zh-CN" w:bidi="ar-SA"/>
        </w:rPr>
        <w:t>（二）严格落实运营期污染防治措施</w:t>
      </w:r>
    </w:p>
    <w:p w14:paraId="02F4A834">
      <w:pPr>
        <w:pStyle w:val="31"/>
        <w:keepNext w:val="0"/>
        <w:keepLines w:val="0"/>
        <w:pageBreakBefore w:val="0"/>
        <w:numPr>
          <w:ilvl w:val="0"/>
          <w:numId w:val="3"/>
        </w:numPr>
        <w:tabs>
          <w:tab w:val="left" w:pos="1260"/>
        </w:tabs>
        <w:kinsoku/>
        <w:wordWrap/>
        <w:overflowPunct/>
        <w:topLinePunct w:val="0"/>
        <w:bidi w:val="0"/>
        <w:snapToGrid/>
        <w:spacing w:line="480" w:lineRule="exact"/>
        <w:ind w:firstLine="640" w:firstLineChars="200"/>
        <w:textAlignment w:val="auto"/>
        <w:rPr>
          <w:rFonts w:hint="default" w:ascii="Times New Roman" w:hAnsi="Times New Roman" w:eastAsia="仿宋" w:cs="Times New Roman"/>
          <w:color w:val="auto"/>
          <w:kern w:val="0"/>
          <w:sz w:val="32"/>
          <w:szCs w:val="32"/>
          <w:lang w:val="en-US" w:eastAsia="zh-CN"/>
        </w:rPr>
      </w:pPr>
      <w:r>
        <w:rPr>
          <w:rFonts w:hint="eastAsia" w:ascii="仿宋_GB2312" w:hAnsi="仿宋_GB2312" w:cs="仿宋_GB2312"/>
          <w:color w:val="auto"/>
          <w:kern w:val="2"/>
          <w:sz w:val="32"/>
          <w:szCs w:val="32"/>
          <w:lang w:val="en-US" w:eastAsia="zh-CN" w:bidi="ar-SA"/>
        </w:rPr>
        <w:t>严格落实</w:t>
      </w:r>
      <w:r>
        <w:rPr>
          <w:rFonts w:ascii="Times New Roman" w:hAnsi="Times New Roman" w:eastAsia="楷体" w:cs="Times New Roman"/>
          <w:bCs/>
          <w:color w:val="auto"/>
          <w:kern w:val="0"/>
          <w:sz w:val="32"/>
          <w:szCs w:val="32"/>
          <w:lang w:val="en-US" w:eastAsia="zh-CN" w:bidi="ar-SA"/>
        </w:rPr>
        <w:t>大气污染防治措施。</w:t>
      </w:r>
    </w:p>
    <w:p w14:paraId="124F93E5">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 w:cs="Times New Roman"/>
          <w:color w:val="auto"/>
          <w:kern w:val="0"/>
          <w:sz w:val="32"/>
          <w:szCs w:val="32"/>
          <w:lang w:val="en-US" w:eastAsia="zh-CN" w:bidi="ar-SA"/>
        </w:rPr>
        <w:t>热风炉需采用低氮燃烧器，燃用生物质成型燃料，有组织烟气经重力降尘室+布袋除尘器后，通过22米高烟囱（DA001）排放</w:t>
      </w:r>
      <w:r>
        <w:rPr>
          <w:rFonts w:hint="default" w:ascii="Times New Roman" w:hAnsi="Times New Roman" w:eastAsia="仿宋" w:cs="Times New Roman"/>
          <w:color w:val="auto"/>
          <w:kern w:val="0"/>
          <w:sz w:val="32"/>
          <w:szCs w:val="32"/>
          <w:lang w:val="en-US" w:eastAsia="zh-CN" w:bidi="ar-SA"/>
        </w:rPr>
        <w:t>。</w:t>
      </w:r>
      <w:r>
        <w:rPr>
          <w:rFonts w:hint="eastAsia" w:ascii="Times New Roman" w:hAnsi="Times New Roman" w:eastAsia="仿宋" w:cs="Times New Roman"/>
          <w:color w:val="auto"/>
          <w:kern w:val="0"/>
          <w:sz w:val="32"/>
          <w:szCs w:val="32"/>
          <w:lang w:val="en-US" w:eastAsia="zh-CN" w:bidi="ar-SA"/>
        </w:rPr>
        <w:t>确保热风炉烟气中烟尘、二氧化硫排放浓度满足《工业炉窑大气污染物排放标准》（GB9078-1996）中排放限值要求，氮氧化物排放浓度和排放速率满足《大气污染物综合排放标准》（GB16297-1996）中表2排放浓度限</w:t>
      </w:r>
      <w:r>
        <w:rPr>
          <w:rFonts w:hint="eastAsia" w:ascii="仿宋_GB2312" w:hAnsi="仿宋_GB2312" w:eastAsia="仿宋_GB2312" w:cs="仿宋_GB2312"/>
          <w:sz w:val="32"/>
          <w:szCs w:val="32"/>
          <w:lang w:val="en-US" w:eastAsia="zh-CN"/>
        </w:rPr>
        <w:t>值要求。</w:t>
      </w:r>
    </w:p>
    <w:p w14:paraId="259A2B16">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烘干塔内部设置重力沉降室，塔体两侧排气孔设置折流挡板，烘干粉尘受折流挡板隔挡后在重力作用下回落到烘干塔底部收尘设施。采取减小装卸高度、封闭输送等措施抑制装卸粉尘。采取全封闭滚筒筛、底部设置收集袋措施收集筛分粉尘，集中外卖饲料厂做原料。</w:t>
      </w:r>
      <w:r>
        <w:rPr>
          <w:rFonts w:hint="eastAsia" w:cs="仿宋_GB2312"/>
          <w:sz w:val="32"/>
          <w:szCs w:val="32"/>
          <w:lang w:val="en-US" w:eastAsia="zh-CN"/>
        </w:rPr>
        <w:t>装卸粮食需在密闭厂房中进行，</w:t>
      </w:r>
      <w:r>
        <w:rPr>
          <w:rFonts w:hint="eastAsia" w:ascii="仿宋_GB2312" w:hAnsi="仿宋_GB2312" w:eastAsia="仿宋_GB2312" w:cs="仿宋_GB2312"/>
          <w:sz w:val="32"/>
          <w:szCs w:val="32"/>
          <w:lang w:val="en-US" w:eastAsia="zh-CN"/>
        </w:rPr>
        <w:t>厂区内禁止开展粮食晾晒，防</w:t>
      </w:r>
      <w:bookmarkStart w:id="0" w:name="_GoBack"/>
      <w:bookmarkEnd w:id="0"/>
      <w:r>
        <w:rPr>
          <w:rFonts w:hint="eastAsia" w:ascii="仿宋_GB2312" w:hAnsi="仿宋_GB2312" w:eastAsia="仿宋_GB2312" w:cs="仿宋_GB2312"/>
          <w:sz w:val="32"/>
          <w:szCs w:val="32"/>
          <w:lang w:val="en-US" w:eastAsia="zh-CN"/>
        </w:rPr>
        <w:t>止扬尘</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确保厂界无组织颗粒物排放浓度可满足《大气污染物综合排放标准》（GB16297-1996）无组织排放浓度监控限值要求。</w:t>
      </w:r>
    </w:p>
    <w:p w14:paraId="13FD8A76">
      <w:pPr>
        <w:pStyle w:val="36"/>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楷体" w:cs="Times New Roman"/>
          <w:b w:val="0"/>
          <w:bCs w:val="0"/>
          <w:color w:val="auto"/>
          <w:kern w:val="0"/>
          <w:sz w:val="32"/>
          <w:szCs w:val="32"/>
          <w:lang w:val="en-US" w:eastAsia="zh-CN"/>
        </w:rPr>
      </w:pPr>
      <w:r>
        <w:rPr>
          <w:rFonts w:hint="eastAsia" w:ascii="Times New Roman" w:hAnsi="Times New Roman" w:eastAsia="楷体" w:cs="Times New Roman"/>
          <w:b w:val="0"/>
          <w:bCs w:val="0"/>
          <w:color w:val="auto"/>
          <w:kern w:val="0"/>
          <w:sz w:val="32"/>
          <w:szCs w:val="32"/>
          <w:lang w:val="en-US" w:eastAsia="zh-CN"/>
        </w:rPr>
        <w:t>2、严格落实地表水污染防治措施</w:t>
      </w:r>
      <w:r>
        <w:rPr>
          <w:rFonts w:hint="default" w:ascii="Times New Roman" w:hAnsi="Times New Roman" w:eastAsia="楷体" w:cs="Times New Roman"/>
          <w:b w:val="0"/>
          <w:bCs w:val="0"/>
          <w:color w:val="auto"/>
          <w:kern w:val="0"/>
          <w:sz w:val="32"/>
          <w:szCs w:val="32"/>
          <w:lang w:val="en-US" w:eastAsia="zh-CN"/>
        </w:rPr>
        <w:t>。</w:t>
      </w:r>
    </w:p>
    <w:p w14:paraId="2BA1892F">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napToGrid/>
          <w:color w:val="auto"/>
          <w:kern w:val="0"/>
          <w:sz w:val="32"/>
          <w:szCs w:val="32"/>
          <w:lang w:val="en-US" w:eastAsia="zh-CN" w:bidi="ar-SA"/>
        </w:rPr>
      </w:pPr>
      <w:r>
        <w:rPr>
          <w:rFonts w:hint="eastAsia" w:ascii="Times New Roman" w:hAnsi="Times New Roman" w:eastAsia="仿宋" w:cs="Times New Roman"/>
          <w:snapToGrid/>
          <w:color w:val="auto"/>
          <w:kern w:val="0"/>
          <w:sz w:val="32"/>
          <w:szCs w:val="32"/>
          <w:lang w:val="en-US" w:eastAsia="zh-CN" w:bidi="ar-SA"/>
        </w:rPr>
        <w:t>该项目运营期</w:t>
      </w:r>
      <w:r>
        <w:rPr>
          <w:rFonts w:hint="default" w:ascii="Times New Roman" w:hAnsi="Times New Roman" w:eastAsia="仿宋" w:cs="Times New Roman"/>
          <w:snapToGrid/>
          <w:color w:val="auto"/>
          <w:kern w:val="0"/>
          <w:sz w:val="32"/>
          <w:szCs w:val="32"/>
          <w:lang w:val="en-US" w:eastAsia="zh-CN" w:bidi="ar-SA"/>
        </w:rPr>
        <w:t>生活污水</w:t>
      </w:r>
      <w:r>
        <w:rPr>
          <w:rFonts w:hint="eastAsia" w:ascii="Times New Roman" w:hAnsi="Times New Roman" w:eastAsia="仿宋" w:cs="Times New Roman"/>
          <w:snapToGrid/>
          <w:color w:val="auto"/>
          <w:kern w:val="0"/>
          <w:sz w:val="32"/>
          <w:szCs w:val="32"/>
          <w:lang w:val="en-US" w:eastAsia="zh-CN" w:bidi="ar-SA"/>
        </w:rPr>
        <w:t>利用原</w:t>
      </w:r>
      <w:r>
        <w:rPr>
          <w:rFonts w:hint="eastAsia"/>
          <w:lang w:eastAsia="zh-CN"/>
        </w:rPr>
        <w:t>有</w:t>
      </w:r>
      <w:r>
        <w:rPr>
          <w:rFonts w:hint="eastAsia" w:ascii="Times New Roman" w:hAnsi="Times New Roman" w:eastAsia="仿宋" w:cs="Times New Roman"/>
          <w:snapToGrid/>
          <w:color w:val="auto"/>
          <w:kern w:val="0"/>
          <w:sz w:val="32"/>
          <w:szCs w:val="32"/>
          <w:lang w:val="en-US" w:eastAsia="zh-CN" w:bidi="ar-SA"/>
        </w:rPr>
        <w:t>防渗旱厕，定期清掏，外运做农肥。</w:t>
      </w:r>
    </w:p>
    <w:p w14:paraId="0D62921E">
      <w:pPr>
        <w:pStyle w:val="36"/>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楷体" w:cs="Times New Roman"/>
          <w:b w:val="0"/>
          <w:bCs w:val="0"/>
          <w:color w:val="auto"/>
          <w:kern w:val="0"/>
          <w:sz w:val="32"/>
          <w:szCs w:val="32"/>
        </w:rPr>
      </w:pPr>
      <w:r>
        <w:rPr>
          <w:rFonts w:hint="eastAsia" w:ascii="Times New Roman" w:hAnsi="Times New Roman" w:eastAsia="楷体" w:cs="Times New Roman"/>
          <w:b w:val="0"/>
          <w:bCs w:val="0"/>
          <w:color w:val="auto"/>
          <w:kern w:val="0"/>
          <w:sz w:val="32"/>
          <w:szCs w:val="32"/>
          <w:lang w:val="en-US" w:eastAsia="zh-CN"/>
        </w:rPr>
        <w:t>3、严格落实</w:t>
      </w:r>
      <w:r>
        <w:rPr>
          <w:rFonts w:ascii="Times New Roman" w:hAnsi="Times New Roman" w:eastAsia="楷体" w:cs="Times New Roman"/>
          <w:b w:val="0"/>
          <w:bCs w:val="0"/>
          <w:color w:val="auto"/>
          <w:kern w:val="0"/>
          <w:sz w:val="32"/>
          <w:szCs w:val="32"/>
        </w:rPr>
        <w:t>噪声污染防治措施</w:t>
      </w:r>
      <w:r>
        <w:rPr>
          <w:rFonts w:hint="default" w:ascii="Times New Roman" w:hAnsi="Times New Roman" w:eastAsia="楷体" w:cs="Times New Roman"/>
          <w:b w:val="0"/>
          <w:bCs w:val="0"/>
          <w:color w:val="auto"/>
          <w:kern w:val="0"/>
          <w:sz w:val="32"/>
          <w:szCs w:val="32"/>
        </w:rPr>
        <w:t>。</w:t>
      </w:r>
    </w:p>
    <w:p w14:paraId="238A2E73">
      <w:pPr>
        <w:keepNext w:val="0"/>
        <w:keepLines w:val="0"/>
        <w:pageBreakBefore w:val="0"/>
        <w:widowControl/>
        <w:suppressLineNumbers w:val="0"/>
        <w:kinsoku/>
        <w:wordWrap/>
        <w:overflowPunct/>
        <w:topLinePunct w:val="0"/>
        <w:bidi w:val="0"/>
        <w:snapToGrid/>
        <w:spacing w:line="48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采用低噪声设备，</w:t>
      </w:r>
      <w:r>
        <w:rPr>
          <w:rFonts w:hint="default" w:ascii="仿宋_GB2312" w:hAnsi="仿宋_GB2312" w:eastAsia="仿宋_GB2312" w:cs="仿宋_GB2312"/>
          <w:sz w:val="32"/>
          <w:szCs w:val="32"/>
          <w:lang w:val="en-US" w:eastAsia="zh-CN"/>
        </w:rPr>
        <w:t>采取</w:t>
      </w:r>
      <w:r>
        <w:rPr>
          <w:rFonts w:hint="eastAsia" w:ascii="仿宋_GB2312" w:hAnsi="仿宋_GB2312" w:eastAsia="仿宋_GB2312" w:cs="仿宋_GB2312"/>
          <w:sz w:val="32"/>
          <w:szCs w:val="32"/>
          <w:lang w:val="en-US" w:eastAsia="zh-CN"/>
        </w:rPr>
        <w:t>基础减振</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同时利用热风炉房的建筑隔音，避免夜间运输、装卸</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确保厂界噪声贡献值满足《工业企业厂界环境噪声排放标准》（GB12348-2008）2类区标准要求。确保厂界周边敏感点声环境质量满足《声环境质量标准》（GB3096-2008）中的2类区标准要求。</w:t>
      </w:r>
    </w:p>
    <w:p w14:paraId="1EEA794D">
      <w:pPr>
        <w:pStyle w:val="36"/>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imes New Roman" w:hAnsi="Times New Roman" w:eastAsia="楷体" w:cs="Times New Roman"/>
          <w:b w:val="0"/>
          <w:bCs w:val="0"/>
          <w:color w:val="auto"/>
          <w:kern w:val="0"/>
          <w:sz w:val="32"/>
          <w:szCs w:val="32"/>
          <w:lang w:val="en-US" w:eastAsia="zh-CN"/>
        </w:rPr>
      </w:pPr>
      <w:r>
        <w:rPr>
          <w:rFonts w:hint="eastAsia" w:ascii="Times New Roman" w:hAnsi="Times New Roman" w:eastAsia="楷体" w:cs="Times New Roman"/>
          <w:b w:val="0"/>
          <w:bCs w:val="0"/>
          <w:color w:val="auto"/>
          <w:kern w:val="0"/>
          <w:sz w:val="32"/>
          <w:szCs w:val="32"/>
          <w:lang w:val="en-US" w:eastAsia="zh-CN"/>
        </w:rPr>
        <w:t>4、严格落实固体废物处理措施。</w:t>
      </w:r>
    </w:p>
    <w:p w14:paraId="659CA8A5">
      <w:pPr>
        <w:pStyle w:val="36"/>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imes New Roman" w:hAnsi="Times New Roman" w:eastAsia="楷体" w:cs="Times New Roman"/>
          <w:b w:val="0"/>
          <w:bCs w:val="0"/>
          <w:color w:val="auto"/>
          <w:kern w:val="0"/>
          <w:sz w:val="32"/>
          <w:szCs w:val="32"/>
          <w:lang w:val="en-US" w:eastAsia="zh-CN"/>
        </w:rPr>
      </w:pPr>
      <w:r>
        <w:rPr>
          <w:rFonts w:hint="default" w:ascii="Times New Roman" w:hAnsi="Times New Roman" w:eastAsia="楷体" w:cs="Times New Roman"/>
          <w:b w:val="0"/>
          <w:bCs w:val="0"/>
          <w:color w:val="auto"/>
          <w:kern w:val="0"/>
          <w:sz w:val="32"/>
          <w:szCs w:val="32"/>
          <w:lang w:val="en-US" w:eastAsia="zh-CN"/>
        </w:rPr>
        <w:t>筛选废物</w:t>
      </w:r>
      <w:r>
        <w:rPr>
          <w:rFonts w:hint="eastAsia" w:ascii="Times New Roman" w:hAnsi="Times New Roman" w:eastAsia="楷体" w:cs="Times New Roman"/>
          <w:b w:val="0"/>
          <w:bCs w:val="0"/>
          <w:color w:val="auto"/>
          <w:kern w:val="0"/>
          <w:sz w:val="32"/>
          <w:szCs w:val="32"/>
          <w:lang w:val="en-US" w:eastAsia="zh-CN"/>
        </w:rPr>
        <w:t>、</w:t>
      </w:r>
      <w:r>
        <w:rPr>
          <w:rFonts w:hint="default" w:ascii="Times New Roman" w:hAnsi="Times New Roman" w:eastAsia="楷体" w:cs="Times New Roman"/>
          <w:b w:val="0"/>
          <w:bCs w:val="0"/>
          <w:color w:val="auto"/>
          <w:kern w:val="0"/>
          <w:sz w:val="32"/>
          <w:szCs w:val="32"/>
          <w:lang w:val="en-US" w:eastAsia="zh-CN"/>
        </w:rPr>
        <w:t>烘干拦截粉尘集中收集后，</w:t>
      </w:r>
      <w:r>
        <w:rPr>
          <w:rFonts w:hint="eastAsia" w:ascii="Times New Roman" w:hAnsi="Times New Roman" w:eastAsia="楷体" w:cs="Times New Roman"/>
          <w:b w:val="0"/>
          <w:bCs w:val="0"/>
          <w:color w:val="auto"/>
          <w:kern w:val="0"/>
          <w:sz w:val="32"/>
          <w:szCs w:val="32"/>
          <w:lang w:val="en-US" w:eastAsia="zh-CN"/>
        </w:rPr>
        <w:t>外售给饲料厂；</w:t>
      </w:r>
      <w:r>
        <w:rPr>
          <w:rFonts w:hint="default" w:ascii="Times New Roman" w:hAnsi="Times New Roman" w:eastAsia="楷体" w:cs="Times New Roman"/>
          <w:b w:val="0"/>
          <w:bCs w:val="0"/>
          <w:color w:val="auto"/>
          <w:kern w:val="0"/>
          <w:sz w:val="32"/>
          <w:szCs w:val="32"/>
          <w:lang w:val="en-US" w:eastAsia="zh-CN"/>
        </w:rPr>
        <w:t>灰渣</w:t>
      </w:r>
      <w:r>
        <w:rPr>
          <w:rFonts w:hint="eastAsia" w:ascii="Times New Roman" w:hAnsi="Times New Roman" w:eastAsia="楷体" w:cs="Times New Roman"/>
          <w:b w:val="0"/>
          <w:bCs w:val="0"/>
          <w:color w:val="auto"/>
          <w:kern w:val="0"/>
          <w:sz w:val="32"/>
          <w:szCs w:val="32"/>
          <w:lang w:val="en-US" w:eastAsia="zh-CN"/>
        </w:rPr>
        <w:t>、</w:t>
      </w:r>
      <w:r>
        <w:rPr>
          <w:rFonts w:hint="default" w:ascii="Times New Roman" w:hAnsi="Times New Roman" w:eastAsia="楷体" w:cs="Times New Roman"/>
          <w:b w:val="0"/>
          <w:bCs w:val="0"/>
          <w:color w:val="auto"/>
          <w:kern w:val="0"/>
          <w:sz w:val="32"/>
          <w:szCs w:val="32"/>
          <w:lang w:val="en-US" w:eastAsia="zh-CN"/>
        </w:rPr>
        <w:t>除尘灰</w:t>
      </w:r>
      <w:r>
        <w:rPr>
          <w:rFonts w:hint="eastAsia" w:ascii="Times New Roman" w:hAnsi="Times New Roman" w:eastAsia="楷体" w:cs="Times New Roman"/>
          <w:b w:val="0"/>
          <w:bCs w:val="0"/>
          <w:color w:val="auto"/>
          <w:kern w:val="0"/>
          <w:sz w:val="32"/>
          <w:szCs w:val="32"/>
          <w:lang w:val="en-US" w:eastAsia="zh-CN"/>
        </w:rPr>
        <w:t>集中收集，定期送有机肥厂做原料；</w:t>
      </w:r>
      <w:r>
        <w:rPr>
          <w:rFonts w:hint="default" w:ascii="Times New Roman" w:hAnsi="Times New Roman" w:eastAsia="楷体" w:cs="Times New Roman"/>
          <w:b w:val="0"/>
          <w:bCs w:val="0"/>
          <w:color w:val="auto"/>
          <w:kern w:val="0"/>
          <w:sz w:val="32"/>
          <w:szCs w:val="32"/>
          <w:lang w:val="en-US" w:eastAsia="zh-CN"/>
        </w:rPr>
        <w:t>生活垃圾集中收集后，交由环卫部门统一处理</w:t>
      </w:r>
      <w:r>
        <w:rPr>
          <w:rFonts w:hint="eastAsia" w:ascii="Times New Roman" w:hAnsi="Times New Roman" w:eastAsia="楷体" w:cs="Times New Roman"/>
          <w:b w:val="0"/>
          <w:bCs w:val="0"/>
          <w:color w:val="auto"/>
          <w:kern w:val="0"/>
          <w:sz w:val="32"/>
          <w:szCs w:val="32"/>
          <w:lang w:val="en-US" w:eastAsia="zh-CN"/>
        </w:rPr>
        <w:t>；</w:t>
      </w:r>
      <w:r>
        <w:rPr>
          <w:rFonts w:hint="default" w:ascii="Times New Roman" w:hAnsi="Times New Roman" w:eastAsia="楷体" w:cs="Times New Roman"/>
          <w:b w:val="0"/>
          <w:bCs w:val="0"/>
          <w:color w:val="auto"/>
          <w:kern w:val="0"/>
          <w:sz w:val="32"/>
          <w:szCs w:val="32"/>
          <w:lang w:val="en-US" w:eastAsia="zh-CN"/>
        </w:rPr>
        <w:t>废布袋</w:t>
      </w:r>
      <w:r>
        <w:rPr>
          <w:rFonts w:hint="eastAsia" w:ascii="Times New Roman" w:hAnsi="Times New Roman" w:eastAsia="楷体" w:cs="Times New Roman"/>
          <w:b w:val="0"/>
          <w:bCs w:val="0"/>
          <w:color w:val="auto"/>
          <w:kern w:val="0"/>
          <w:sz w:val="32"/>
          <w:szCs w:val="32"/>
          <w:lang w:val="en-US" w:eastAsia="zh-CN"/>
        </w:rPr>
        <w:t>、</w:t>
      </w:r>
      <w:r>
        <w:rPr>
          <w:rFonts w:hint="default" w:ascii="Times New Roman" w:hAnsi="Times New Roman" w:eastAsia="楷体" w:cs="Times New Roman"/>
          <w:b w:val="0"/>
          <w:bCs w:val="0"/>
          <w:color w:val="auto"/>
          <w:kern w:val="0"/>
          <w:sz w:val="32"/>
          <w:szCs w:val="32"/>
          <w:lang w:val="en-US" w:eastAsia="zh-CN"/>
        </w:rPr>
        <w:t>废包装袋</w:t>
      </w:r>
      <w:r>
        <w:rPr>
          <w:rFonts w:hint="eastAsia" w:ascii="Times New Roman" w:hAnsi="Times New Roman" w:eastAsia="楷体" w:cs="Times New Roman"/>
          <w:b w:val="0"/>
          <w:bCs w:val="0"/>
          <w:color w:val="auto"/>
          <w:kern w:val="0"/>
          <w:sz w:val="32"/>
          <w:szCs w:val="32"/>
          <w:lang w:val="en-US" w:eastAsia="zh-CN"/>
        </w:rPr>
        <w:t>集中收集，同生活垃圾一起处理。</w:t>
      </w:r>
    </w:p>
    <w:p w14:paraId="6CE34162">
      <w:pPr>
        <w:pStyle w:val="36"/>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imes New Roman" w:hAnsi="Times New Roman" w:eastAsia="仿宋" w:cs="Times New Roman"/>
          <w:color w:val="auto"/>
          <w:kern w:val="0"/>
          <w:sz w:val="32"/>
          <w:szCs w:val="32"/>
          <w:highlight w:val="none"/>
          <w:lang w:val="en-US" w:eastAsia="zh-CN"/>
        </w:rPr>
      </w:pPr>
      <w:r>
        <w:rPr>
          <w:rFonts w:hint="eastAsia" w:ascii="Times New Roman" w:hAnsi="Times New Roman" w:eastAsia="楷体" w:cs="Times New Roman"/>
          <w:color w:val="auto"/>
          <w:kern w:val="0"/>
          <w:sz w:val="32"/>
          <w:szCs w:val="32"/>
          <w:lang w:val="en-US" w:eastAsia="zh-CN"/>
        </w:rPr>
        <w:t>5、严格落实</w:t>
      </w:r>
      <w:r>
        <w:rPr>
          <w:rFonts w:hint="default" w:ascii="Times New Roman" w:hAnsi="Times New Roman" w:eastAsia="楷体" w:cs="Times New Roman"/>
          <w:color w:val="auto"/>
          <w:kern w:val="0"/>
          <w:sz w:val="32"/>
          <w:szCs w:val="32"/>
          <w:lang w:val="en-US" w:eastAsia="zh-CN"/>
        </w:rPr>
        <w:t>土壤及地下水污染防治措施</w:t>
      </w:r>
      <w:r>
        <w:rPr>
          <w:rFonts w:hint="eastAsia" w:ascii="Times New Roman" w:hAnsi="Times New Roman" w:eastAsia="楷体" w:cs="Times New Roman"/>
          <w:color w:val="auto"/>
          <w:kern w:val="0"/>
          <w:sz w:val="32"/>
          <w:szCs w:val="32"/>
          <w:lang w:val="en-US" w:eastAsia="zh-CN"/>
        </w:rPr>
        <w:t>。</w:t>
      </w:r>
      <w:r>
        <w:rPr>
          <w:rFonts w:hint="eastAsia" w:ascii="Times New Roman" w:hAnsi="Times New Roman" w:eastAsia="仿宋" w:cs="Times New Roman"/>
          <w:color w:val="auto"/>
          <w:kern w:val="0"/>
          <w:sz w:val="32"/>
          <w:szCs w:val="32"/>
          <w:highlight w:val="none"/>
          <w:lang w:eastAsia="zh-CN"/>
        </w:rPr>
        <w:t>对厂区进行地面硬化，防止土壤及地下水污染。</w:t>
      </w:r>
    </w:p>
    <w:p w14:paraId="61A0169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color w:val="auto"/>
          <w:kern w:val="0"/>
          <w:sz w:val="32"/>
          <w:szCs w:val="32"/>
        </w:rPr>
      </w:pPr>
      <w:r>
        <w:rPr>
          <w:rFonts w:hint="eastAsia" w:ascii="Times New Roman" w:hAnsi="Times New Roman" w:eastAsia="楷体" w:cs="Times New Roman"/>
          <w:color w:val="auto"/>
          <w:kern w:val="0"/>
          <w:sz w:val="32"/>
          <w:szCs w:val="32"/>
          <w:lang w:val="en-US" w:eastAsia="zh-CN"/>
        </w:rPr>
        <w:t>6、严格落实</w:t>
      </w:r>
      <w:r>
        <w:rPr>
          <w:rFonts w:ascii="Times New Roman" w:hAnsi="Times New Roman" w:eastAsia="楷体" w:cs="Times New Roman"/>
          <w:color w:val="auto"/>
          <w:kern w:val="0"/>
          <w:sz w:val="32"/>
          <w:szCs w:val="32"/>
        </w:rPr>
        <w:t>风险防范措施</w:t>
      </w:r>
      <w:r>
        <w:rPr>
          <w:rFonts w:hint="default" w:ascii="Times New Roman" w:hAnsi="Times New Roman" w:eastAsia="楷体" w:cs="Times New Roman"/>
          <w:color w:val="auto"/>
          <w:kern w:val="0"/>
          <w:sz w:val="32"/>
          <w:szCs w:val="32"/>
        </w:rPr>
        <w:t>。</w:t>
      </w:r>
    </w:p>
    <w:p w14:paraId="7B695A6A">
      <w:pPr>
        <w:pStyle w:val="31"/>
        <w:keepNext w:val="0"/>
        <w:keepLines w:val="0"/>
        <w:pageBreakBefore w:val="0"/>
        <w:numPr>
          <w:numId w:val="0"/>
        </w:numPr>
        <w:tabs>
          <w:tab w:val="left" w:pos="1260"/>
        </w:tabs>
        <w:kinsoku/>
        <w:wordWrap/>
        <w:overflowPunct/>
        <w:topLinePunct w:val="0"/>
        <w:bidi w:val="0"/>
        <w:snapToGrid/>
        <w:spacing w:line="480" w:lineRule="exact"/>
        <w:ind w:firstLine="640" w:firstLineChars="200"/>
        <w:textAlignment w:val="auto"/>
        <w:rPr>
          <w:rFonts w:hint="default" w:ascii="Times New Roman" w:hAnsi="Times New Roman" w:eastAsia="仿宋" w:cs="Times New Roman"/>
          <w:color w:val="auto"/>
          <w:kern w:val="0"/>
          <w:sz w:val="32"/>
          <w:szCs w:val="32"/>
          <w:lang w:val="en-US" w:eastAsia="zh-CN"/>
        </w:rPr>
      </w:pPr>
      <w:r>
        <w:rPr>
          <w:rFonts w:hint="eastAsia" w:ascii="Times New Roman" w:hAnsi="Times New Roman" w:eastAsia="仿宋" w:cs="Times New Roman"/>
          <w:color w:val="auto"/>
          <w:kern w:val="0"/>
          <w:sz w:val="32"/>
          <w:szCs w:val="32"/>
          <w:lang w:val="en-US" w:eastAsia="zh-CN"/>
        </w:rPr>
        <w:t>完善消防管理制度，设置火灾报警装置，加强消防设施的日常管理，确保事故时消防设施能够正常使用；加强厂区的安全管理，进行教育培训；对原料堆场进行地面硬化；制定环境风险防范措施以及切实可行的风险事故应急预案。</w:t>
      </w:r>
    </w:p>
    <w:p w14:paraId="155B0C65">
      <w:pPr>
        <w:pStyle w:val="31"/>
        <w:keepNext w:val="0"/>
        <w:keepLines w:val="0"/>
        <w:pageBreakBefore w:val="0"/>
        <w:numPr>
          <w:ilvl w:val="0"/>
          <w:numId w:val="4"/>
        </w:numPr>
        <w:tabs>
          <w:tab w:val="left" w:pos="1260"/>
        </w:tabs>
        <w:kinsoku/>
        <w:wordWrap/>
        <w:overflowPunct/>
        <w:topLinePunct w:val="0"/>
        <w:bidi w:val="0"/>
        <w:snapToGrid/>
        <w:spacing w:line="480" w:lineRule="exact"/>
        <w:ind w:firstLine="640" w:firstLineChars="200"/>
        <w:textAlignment w:val="auto"/>
        <w:rPr>
          <w:rFonts w:hint="eastAsia" w:ascii="Times New Roman" w:hAnsi="Times New Roman" w:eastAsia="仿宋" w:cs="Times New Roman"/>
          <w:color w:val="auto"/>
          <w:kern w:val="0"/>
          <w:sz w:val="32"/>
          <w:szCs w:val="32"/>
          <w:lang w:val="en-US" w:eastAsia="zh-CN"/>
        </w:rPr>
      </w:pPr>
      <w:r>
        <w:rPr>
          <w:rFonts w:hint="eastAsia" w:ascii="Times New Roman" w:hAnsi="Times New Roman" w:eastAsia="仿宋" w:cs="Times New Roman"/>
          <w:color w:val="auto"/>
          <w:kern w:val="0"/>
          <w:sz w:val="32"/>
          <w:szCs w:val="32"/>
          <w:lang w:val="en-US" w:eastAsia="zh-CN"/>
        </w:rPr>
        <w:t>规范固体废物管理，一般固废贮存场地需满足《一般工业固体废物贮存和填埋污染控制标准》（GB18599-2020）标准要求，日常管理须符合《一般工业固体废物管理台账制定指南（试行）》（公告2021年第82号）的要求。</w:t>
      </w:r>
    </w:p>
    <w:p w14:paraId="358D8D83">
      <w:pPr>
        <w:pStyle w:val="31"/>
        <w:keepNext w:val="0"/>
        <w:keepLines w:val="0"/>
        <w:pageBreakBefore w:val="0"/>
        <w:numPr>
          <w:ilvl w:val="0"/>
          <w:numId w:val="4"/>
        </w:numPr>
        <w:tabs>
          <w:tab w:val="left" w:pos="1260"/>
        </w:tabs>
        <w:kinsoku/>
        <w:wordWrap/>
        <w:overflowPunct/>
        <w:topLinePunct w:val="0"/>
        <w:bidi w:val="0"/>
        <w:snapToGrid/>
        <w:spacing w:line="480" w:lineRule="exact"/>
        <w:ind w:firstLine="640" w:firstLineChars="200"/>
        <w:textAlignment w:val="auto"/>
        <w:rPr>
          <w:rFonts w:hint="eastAsia" w:ascii="Times New Roman" w:hAnsi="Times New Roman" w:eastAsia="仿宋" w:cs="Times New Roman"/>
          <w:color w:val="auto"/>
          <w:kern w:val="0"/>
          <w:sz w:val="32"/>
          <w:szCs w:val="32"/>
          <w:lang w:val="en-US" w:eastAsia="zh-CN"/>
        </w:rPr>
      </w:pPr>
      <w:r>
        <w:rPr>
          <w:rFonts w:hint="eastAsia" w:ascii="Times New Roman" w:hAnsi="Times New Roman" w:eastAsia="仿宋" w:cs="Times New Roman"/>
          <w:color w:val="auto"/>
          <w:kern w:val="0"/>
          <w:sz w:val="32"/>
          <w:szCs w:val="32"/>
          <w:lang w:val="en-US" w:eastAsia="zh-CN"/>
        </w:rPr>
        <w:t>四、严格落实环评文件中提出的环境管理和监测计划，定期委托有资质的监测机构对废气行监测，发现超标现象，须及时采取整改措施，确保污染物达标排放。</w:t>
      </w:r>
    </w:p>
    <w:p w14:paraId="3603142E">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cs="仿宋_GB2312"/>
          <w:color w:val="auto"/>
          <w:kern w:val="0"/>
          <w:sz w:val="32"/>
          <w:szCs w:val="32"/>
          <w:lang w:val="en-US" w:eastAsia="zh-CN" w:bidi="ar-SA"/>
        </w:rPr>
        <w:t>五</w:t>
      </w:r>
      <w:r>
        <w:rPr>
          <w:rFonts w:hint="eastAsia" w:ascii="仿宋_GB2312" w:hAnsi="仿宋_GB2312" w:eastAsia="仿宋_GB2312" w:cs="仿宋_GB2312"/>
          <w:color w:val="auto"/>
          <w:kern w:val="0"/>
          <w:sz w:val="32"/>
          <w:szCs w:val="32"/>
          <w:lang w:val="en-US" w:eastAsia="zh-CN" w:bidi="ar-SA"/>
        </w:rPr>
        <w:t>、建设单位应建立企业内部生态环境管理机构和制度，明确人员和职责</w:t>
      </w:r>
      <w:r>
        <w:rPr>
          <w:rFonts w:hint="eastAsia"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项目建设必须严格执行配套建设的环境保护设施与主体工程同时设计、同时施工、同时投入使用的环境保护“三同时”制度。项目竣工后，建设单位必须按规定程序进行环境保护验收。配套建设的环境保护设施经验收合格后，项目方可正式投入运行。</w:t>
      </w:r>
    </w:p>
    <w:p w14:paraId="7ECEA9E5">
      <w:pPr>
        <w:pStyle w:val="31"/>
        <w:keepNext w:val="0"/>
        <w:keepLines w:val="0"/>
        <w:pageBreakBefore w:val="0"/>
        <w:numPr>
          <w:ilvl w:val="0"/>
          <w:numId w:val="0"/>
        </w:numPr>
        <w:tabs>
          <w:tab w:val="left" w:pos="1260"/>
        </w:tabs>
        <w:kinsoku/>
        <w:wordWrap/>
        <w:overflowPunct/>
        <w:topLinePunct w:val="0"/>
        <w:bidi w:val="0"/>
        <w:snapToGrid/>
        <w:spacing w:line="480" w:lineRule="exact"/>
        <w:ind w:firstLine="640" w:firstLineChars="200"/>
        <w:textAlignment w:val="auto"/>
        <w:rPr>
          <w:rFonts w:hint="eastAsia" w:ascii="Times New Roman" w:hAnsi="Times New Roman" w:eastAsia="仿宋" w:cs="Times New Roman"/>
          <w:color w:val="auto"/>
          <w:kern w:val="0"/>
          <w:sz w:val="32"/>
          <w:szCs w:val="32"/>
          <w:lang w:val="en-US" w:eastAsia="zh-CN"/>
        </w:rPr>
      </w:pPr>
      <w:r>
        <w:rPr>
          <w:rFonts w:hint="eastAsia" w:ascii="Times New Roman" w:hAnsi="Times New Roman" w:eastAsia="仿宋" w:cs="Times New Roman"/>
          <w:color w:val="auto"/>
          <w:kern w:val="0"/>
          <w:sz w:val="32"/>
          <w:szCs w:val="32"/>
          <w:lang w:val="en-US" w:eastAsia="zh-CN"/>
        </w:rPr>
        <w:t>六、建设项目的环境影响评价文件经批准后，建设项目性质、规模、地点、采用的生产工艺或者防止污染、防止生态破坏的措施发生重大变动的，建设单位应当重新报批建设项目的环境影响评价文件。自环境影响评价文件批复文件批准之日起，如超过5年决定工程开工建设的，环境影响评价文件应当报我局重新审核。</w:t>
      </w:r>
    </w:p>
    <w:p w14:paraId="46C3D491">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cs="仿宋_GB2312"/>
          <w:color w:val="auto"/>
          <w:kern w:val="0"/>
          <w:sz w:val="32"/>
          <w:szCs w:val="32"/>
          <w:lang w:val="en-US" w:eastAsia="zh-CN" w:bidi="ar-SA"/>
        </w:rPr>
        <w:t>七</w:t>
      </w:r>
      <w:r>
        <w:rPr>
          <w:rFonts w:hint="eastAsia" w:ascii="仿宋_GB2312" w:hAnsi="仿宋_GB2312" w:eastAsia="仿宋_GB2312" w:cs="仿宋_GB2312"/>
          <w:color w:val="auto"/>
          <w:kern w:val="0"/>
          <w:sz w:val="32"/>
          <w:szCs w:val="32"/>
          <w:lang w:val="en-US" w:eastAsia="zh-CN" w:bidi="ar-SA"/>
        </w:rPr>
        <w:t>、由吉林市生态环境保护综合行政执法支队昌邑执法大队负责按照《建设项目环境保护事中事后监督管理办法（试行）》（环发【2015】163号）的规定，负责本建设项目事中事后的环境监督管理工作。</w:t>
      </w:r>
    </w:p>
    <w:p w14:paraId="7DA621DB">
      <w:pPr>
        <w:rPr>
          <w:rFonts w:hint="eastAsia" w:ascii="仿宋_GB2312" w:hAnsi="仿宋_GB2312" w:eastAsia="仿宋_GB2312" w:cs="仿宋_GB2312"/>
          <w:color w:val="auto"/>
          <w:kern w:val="0"/>
          <w:sz w:val="32"/>
          <w:szCs w:val="32"/>
          <w:lang w:val="en-US" w:eastAsia="zh-CN" w:bidi="ar-SA"/>
        </w:rPr>
      </w:pPr>
    </w:p>
    <w:p w14:paraId="6CC6B833">
      <w:pPr>
        <w:pStyle w:val="25"/>
        <w:rPr>
          <w:rFonts w:hint="default"/>
          <w:lang w:val="en-US" w:eastAsia="zh-CN"/>
        </w:rPr>
      </w:pPr>
      <w:r>
        <w:rPr>
          <w:rFonts w:hint="eastAsia"/>
          <w:lang w:val="en-US" w:eastAsia="zh-CN"/>
        </w:rPr>
        <w:t xml:space="preserve">              </w:t>
      </w:r>
    </w:p>
    <w:p w14:paraId="00BD5F6B">
      <w:pPr>
        <w:keepNext w:val="0"/>
        <w:keepLines w:val="0"/>
        <w:pageBreakBefore w:val="0"/>
        <w:widowControl/>
        <w:kinsoku/>
        <w:wordWrap/>
        <w:overflowPunct/>
        <w:topLinePunct w:val="0"/>
        <w:autoSpaceDE/>
        <w:autoSpaceDN/>
        <w:bidi w:val="0"/>
        <w:adjustRightInd/>
        <w:snapToGrid w:val="0"/>
        <w:spacing w:line="440" w:lineRule="exact"/>
        <w:ind w:firstLine="5120" w:firstLineChars="1600"/>
        <w:jc w:val="both"/>
        <w:textAlignment w:val="baseline"/>
        <w:rPr>
          <w:rFonts w:hint="eastAsia" w:ascii="仿宋_GB2312" w:hAnsi="仿宋_GB2312" w:eastAsia="仿宋_GB2312" w:cs="仿宋_GB2312"/>
          <w:sz w:val="32"/>
          <w:szCs w:val="32"/>
        </w:rPr>
      </w:pPr>
    </w:p>
    <w:p w14:paraId="68F29A18">
      <w:pPr>
        <w:keepNext w:val="0"/>
        <w:keepLines w:val="0"/>
        <w:pageBreakBefore w:val="0"/>
        <w:widowControl/>
        <w:kinsoku/>
        <w:wordWrap/>
        <w:overflowPunct/>
        <w:topLinePunct w:val="0"/>
        <w:autoSpaceDE/>
        <w:autoSpaceDN/>
        <w:bidi w:val="0"/>
        <w:adjustRightInd/>
        <w:snapToGrid w:val="0"/>
        <w:spacing w:line="440" w:lineRule="exact"/>
        <w:ind w:firstLine="5120" w:firstLineChars="16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吉林市生态环境局</w:t>
      </w:r>
    </w:p>
    <w:p w14:paraId="18C50257">
      <w:pPr>
        <w:keepNext w:val="0"/>
        <w:keepLines w:val="0"/>
        <w:pageBreakBefore w:val="0"/>
        <w:widowControl/>
        <w:kinsoku/>
        <w:wordWrap/>
        <w:overflowPunct/>
        <w:topLinePunct w:val="0"/>
        <w:autoSpaceDE/>
        <w:autoSpaceDN/>
        <w:bidi w:val="0"/>
        <w:adjustRightInd/>
        <w:snapToGrid w:val="0"/>
        <w:spacing w:line="440" w:lineRule="exact"/>
        <w:ind w:firstLine="5120" w:firstLineChars="1600"/>
        <w:jc w:val="both"/>
        <w:textAlignment w:val="baseline"/>
        <w:rPr>
          <w:rFonts w:hint="eastAsia" w:ascii="仿宋_GB2312" w:hAnsi="仿宋_GB2312" w:eastAsia="仿宋_GB2312" w:cs="仿宋_GB2312"/>
          <w:sz w:val="32"/>
          <w:szCs w:val="32"/>
        </w:rPr>
      </w:pPr>
    </w:p>
    <w:tbl>
      <w:tblPr>
        <w:tblStyle w:val="21"/>
        <w:tblpPr w:vertAnchor="page" w:horzAnchor="page" w:tblpX="1852" w:tblpY="14059"/>
        <w:tblOverlap w:val="never"/>
        <w:tblW w:w="886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30"/>
        <w:gridCol w:w="4431"/>
      </w:tblGrid>
      <w:tr w14:paraId="1FB62BC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blHeader/>
        </w:trPr>
        <w:tc>
          <w:tcPr>
            <w:tcW w:w="8861" w:type="dxa"/>
            <w:gridSpan w:val="2"/>
            <w:shd w:val="clear" w:color="auto" w:fill="auto"/>
          </w:tcPr>
          <w:p w14:paraId="3F2EDAEB">
            <w:pPr>
              <w:keepNext w:val="0"/>
              <w:keepLines w:val="0"/>
              <w:pageBreakBefore w:val="0"/>
              <w:widowControl w:val="0"/>
              <w:kinsoku/>
              <w:wordWrap/>
              <w:overflowPunct/>
              <w:topLinePunct w:val="0"/>
              <w:bidi w:val="0"/>
              <w:snapToGrid/>
              <w:spacing w:line="500" w:lineRule="exact"/>
              <w:ind w:left="1160" w:leftChars="100" w:hanging="840" w:hangingChars="3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抄送：吉林市生态环境保护综合行政执法支队</w:t>
            </w:r>
            <w:r>
              <w:rPr>
                <w:rFonts w:hint="eastAsia" w:cs="仿宋_GB2312"/>
                <w:sz w:val="28"/>
                <w:szCs w:val="28"/>
                <w:lang w:val="en-US" w:eastAsia="zh-CN"/>
              </w:rPr>
              <w:t>昌邑</w:t>
            </w:r>
            <w:r>
              <w:rPr>
                <w:rFonts w:hint="eastAsia" w:ascii="仿宋_GB2312" w:hAnsi="仿宋_GB2312" w:eastAsia="仿宋_GB2312" w:cs="仿宋_GB2312"/>
                <w:sz w:val="28"/>
                <w:szCs w:val="28"/>
              </w:rPr>
              <w:t>大队</w:t>
            </w:r>
          </w:p>
        </w:tc>
      </w:tr>
      <w:tr w14:paraId="0106B56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rPr>
        <w:tc>
          <w:tcPr>
            <w:tcW w:w="4430" w:type="dxa"/>
            <w:shd w:val="clear" w:color="auto" w:fill="auto"/>
          </w:tcPr>
          <w:p w14:paraId="2D4EF0D5">
            <w:pPr>
              <w:keepNext w:val="0"/>
              <w:keepLines w:val="0"/>
              <w:pageBreakBefore w:val="0"/>
              <w:widowControl w:val="0"/>
              <w:kinsoku/>
              <w:wordWrap/>
              <w:overflowPunct/>
              <w:topLinePunct w:val="0"/>
              <w:bidi w:val="0"/>
              <w:snapToGrid/>
              <w:spacing w:line="500" w:lineRule="exact"/>
              <w:ind w:left="0" w:leftChars="0" w:firstLine="280" w:firstLineChars="1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吉林市生态环境局</w:t>
            </w:r>
            <w:r>
              <w:rPr>
                <w:rFonts w:hint="eastAsia" w:ascii="仿宋_GB2312" w:hAnsi="仿宋_GB2312" w:eastAsia="仿宋_GB2312" w:cs="仿宋_GB2312"/>
                <w:sz w:val="28"/>
                <w:szCs w:val="28"/>
                <w:lang w:val="en-US" w:eastAsia="zh-CN"/>
              </w:rPr>
              <mc:AlternateContent>
                <mc:Choice Requires="wps">
                  <w:drawing>
                    <wp:anchor distT="0" distB="0" distL="114300" distR="114300" simplePos="0" relativeHeight="251662336" behindDoc="0" locked="0" layoutInCell="1" allowOverlap="1">
                      <wp:simplePos x="0" y="0"/>
                      <wp:positionH relativeFrom="column">
                        <wp:posOffset>7620</wp:posOffset>
                      </wp:positionH>
                      <wp:positionV relativeFrom="paragraph">
                        <wp:posOffset>5715</wp:posOffset>
                      </wp:positionV>
                      <wp:extent cx="562229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22290"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6pt;margin-top:0.45pt;height:0pt;width:442.7pt;z-index:251662336;mso-width-relative:page;mso-height-relative:page;" filled="f" stroked="t" coordsize="21600,21600" o:gfxdata="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SjzS+NAAAAADAQAA&#10;DwAAAAAAAAABACAAAAAiAAAAZHJzL2Rvd25yZXYueG1sUEsBAhQAFAAAAAgAh07iQG9CWz7oAQAA&#10;vwMAAA4AAAAAAAAAAQAgAAAAHwEAAGRycy9lMm9Eb2MueG1sUEsFBgAAAAAGAAYAWQEAAHkFAAAA&#10;AA==&#10;">
                      <v:fill on="f" focussize="0,0"/>
                      <v:stroke weight="0.5pt" color="#000000" miterlimit="8" joinstyle="miter"/>
                      <v:imagedata o:title=""/>
                      <o:lock v:ext="edit" aspectratio="f"/>
                    </v:line>
                  </w:pict>
                </mc:Fallback>
              </mc:AlternateContent>
            </w:r>
          </w:p>
        </w:tc>
        <w:tc>
          <w:tcPr>
            <w:tcW w:w="4431" w:type="dxa"/>
            <w:shd w:val="clear" w:color="auto" w:fill="auto"/>
          </w:tcPr>
          <w:p w14:paraId="36C4BC14">
            <w:pPr>
              <w:keepNext w:val="0"/>
              <w:keepLines w:val="0"/>
              <w:pageBreakBefore w:val="0"/>
              <w:widowControl w:val="0"/>
              <w:tabs>
                <w:tab w:val="left" w:pos="4160"/>
              </w:tabs>
              <w:kinsoku/>
              <w:wordWrap/>
              <w:overflowPunct/>
              <w:topLinePunct w:val="0"/>
              <w:bidi w:val="0"/>
              <w:snapToGrid/>
              <w:spacing w:line="500" w:lineRule="exact"/>
              <w:ind w:right="320" w:rightChars="1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lang w:val="en-US" w:eastAsia="zh-CN"/>
              </w:rPr>
              <w:t>202</w:t>
            </w:r>
            <w:r>
              <w:rPr>
                <w:rFonts w:hint="eastAsia" w:cs="仿宋_GB2312"/>
                <w:color w:val="auto"/>
                <w:sz w:val="28"/>
                <w:szCs w:val="28"/>
                <w:lang w:val="en-US" w:eastAsia="zh-CN"/>
              </w:rPr>
              <w:t>6</w:t>
            </w:r>
            <w:r>
              <w:rPr>
                <w:rFonts w:hint="eastAsia" w:ascii="仿宋_GB2312" w:hAnsi="仿宋_GB2312" w:eastAsia="仿宋_GB2312" w:cs="仿宋_GB2312"/>
                <w:color w:val="auto"/>
                <w:sz w:val="28"/>
                <w:szCs w:val="28"/>
              </w:rPr>
              <w:t>年</w:t>
            </w:r>
            <w:r>
              <w:rPr>
                <w:rFonts w:hint="eastAsia" w:cs="仿宋_GB2312"/>
                <w:color w:val="auto"/>
                <w:sz w:val="28"/>
                <w:szCs w:val="28"/>
                <w:lang w:val="en-US" w:eastAsia="zh-CN"/>
              </w:rPr>
              <w:t>3</w:t>
            </w:r>
            <w:r>
              <w:rPr>
                <w:rFonts w:hint="eastAsia" w:ascii="仿宋_GB2312" w:hAnsi="仿宋_GB2312" w:eastAsia="仿宋_GB2312" w:cs="仿宋_GB2312"/>
                <w:color w:val="auto"/>
                <w:sz w:val="28"/>
                <w:szCs w:val="28"/>
              </w:rPr>
              <w:t>月</w:t>
            </w:r>
            <w:r>
              <w:rPr>
                <w:rFonts w:hint="eastAsia" w:cs="仿宋_GB2312"/>
                <w:color w:val="auto"/>
                <w:sz w:val="28"/>
                <w:szCs w:val="28"/>
                <w:lang w:val="en-US" w:eastAsia="zh-CN"/>
              </w:rPr>
              <w:t>30</w:t>
            </w:r>
            <w:r>
              <w:rPr>
                <w:rFonts w:hint="eastAsia" w:ascii="仿宋_GB2312" w:hAnsi="仿宋_GB2312" w:eastAsia="仿宋_GB2312" w:cs="仿宋_GB2312"/>
                <w:color w:val="auto"/>
                <w:sz w:val="28"/>
                <w:szCs w:val="28"/>
              </w:rPr>
              <w:t>日印发</w:t>
            </w:r>
          </w:p>
        </w:tc>
      </w:tr>
    </w:tbl>
    <w:p w14:paraId="6CA253D8">
      <w:pPr>
        <w:keepNext w:val="0"/>
        <w:keepLines w:val="0"/>
        <w:pageBreakBefore w:val="0"/>
        <w:widowControl/>
        <w:kinsoku/>
        <w:wordWrap/>
        <w:overflowPunct/>
        <w:topLinePunct w:val="0"/>
        <w:autoSpaceDE/>
        <w:autoSpaceDN/>
        <w:bidi w:val="0"/>
        <w:adjustRightInd/>
        <w:snapToGrid w:val="0"/>
        <w:spacing w:line="440" w:lineRule="exact"/>
        <w:ind w:firstLine="5440" w:firstLineChars="1700"/>
        <w:jc w:val="both"/>
        <w:textAlignment w:val="baseline"/>
        <w:rPr>
          <w:rFonts w:hint="eastAsia" w:cs="仿宋"/>
          <w:color w:val="auto"/>
          <w:sz w:val="34"/>
          <w:szCs w:val="34"/>
        </w:rPr>
      </w:pPr>
      <w:r>
        <w:rPr>
          <w:rFonts w:hint="eastAsia" w:ascii="仿宋_GB2312" w:hAnsi="仿宋_GB2312" w:eastAsia="仿宋_GB2312" w:cs="仿宋_GB2312"/>
          <w:color w:val="auto"/>
          <w:sz w:val="32"/>
          <w:szCs w:val="32"/>
        </w:rPr>
        <w:t>202</w:t>
      </w:r>
      <w:r>
        <w:rPr>
          <w:rFonts w:hint="eastAsia"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cs="仿宋_GB2312"/>
          <w:color w:val="auto"/>
          <w:sz w:val="32"/>
          <w:szCs w:val="32"/>
          <w:lang w:val="en-US" w:eastAsia="zh-CN"/>
        </w:rPr>
        <w:t>30</w:t>
      </w:r>
      <w:r>
        <w:rPr>
          <w:rFonts w:hint="eastAsia" w:ascii="仿宋_GB2312" w:hAnsi="仿宋_GB2312" w:eastAsia="仿宋_GB2312" w:cs="仿宋_GB2312"/>
          <w:color w:val="auto"/>
          <w:sz w:val="32"/>
          <w:szCs w:val="32"/>
        </w:rPr>
        <w:t>日</w:t>
      </w:r>
      <w:r>
        <w:rPr>
          <w:rFonts w:hint="eastAsia" w:cs="仿宋"/>
          <w:color w:val="auto"/>
          <w:sz w:val="34"/>
          <w:szCs w:val="34"/>
        </w:rPr>
        <w:t xml:space="preserve"> </w:t>
      </w:r>
    </w:p>
    <w:p w14:paraId="37E78249">
      <w:pPr>
        <w:pStyle w:val="27"/>
        <w:ind w:left="0" w:leftChars="0" w:firstLine="0" w:firstLineChars="0"/>
        <w:rPr>
          <w:rFonts w:hint="eastAsia"/>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67E36">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DB32B1">
                          <w:pPr>
                            <w:pStyle w:val="1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ADB32B1">
                    <w:pPr>
                      <w:pStyle w:val="1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3DC71E"/>
    <w:multiLevelType w:val="singleLevel"/>
    <w:tmpl w:val="AF3DC71E"/>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1">
    <w:nsid w:val="2EEA16D5"/>
    <w:multiLevelType w:val="singleLevel"/>
    <w:tmpl w:val="2EEA16D5"/>
    <w:lvl w:ilvl="0" w:tentative="0">
      <w:start w:val="3"/>
      <w:numFmt w:val="chineseCounting"/>
      <w:suff w:val="nothing"/>
      <w:lvlText w:val="%1、"/>
      <w:lvlJc w:val="left"/>
      <w:rPr>
        <w:rFonts w:hint="eastAsia"/>
      </w:rPr>
    </w:lvl>
  </w:abstractNum>
  <w:abstractNum w:abstractNumId="2">
    <w:nsid w:val="6F0F99B9"/>
    <w:multiLevelType w:val="singleLevel"/>
    <w:tmpl w:val="6F0F99B9"/>
    <w:lvl w:ilvl="0" w:tentative="0">
      <w:start w:val="1"/>
      <w:numFmt w:val="decimal"/>
      <w:suff w:val="nothing"/>
      <w:lvlText w:val="%1、"/>
      <w:lvlJc w:val="left"/>
    </w:lvl>
  </w:abstractNum>
  <w:abstractNum w:abstractNumId="3">
    <w:nsid w:val="73E381FC"/>
    <w:multiLevelType w:val="multilevel"/>
    <w:tmpl w:val="73E381FC"/>
    <w:lvl w:ilvl="0" w:tentative="0">
      <w:start w:val="1"/>
      <w:numFmt w:val="chineseCounting"/>
      <w:pStyle w:val="2"/>
      <w:suff w:val="nothing"/>
      <w:lvlText w:val="%1、"/>
      <w:lvlJc w:val="left"/>
      <w:pPr>
        <w:tabs>
          <w:tab w:val="left" w:pos="993"/>
        </w:tabs>
        <w:ind w:left="993" w:firstLine="0"/>
      </w:pPr>
      <w:rPr>
        <w:rFonts w:hint="eastAsia"/>
      </w:rPr>
    </w:lvl>
    <w:lvl w:ilvl="1" w:tentative="0">
      <w:start w:val="1"/>
      <w:numFmt w:val="chineseCounting"/>
      <w:pStyle w:val="3"/>
      <w:suff w:val="nothing"/>
      <w:lvlText w:val="（%2）"/>
      <w:lvlJc w:val="left"/>
      <w:pPr>
        <w:ind w:left="993" w:firstLine="0"/>
      </w:pPr>
      <w:rPr>
        <w:rFonts w:hint="eastAsia" w:ascii="仿宋" w:hAnsi="仿宋" w:eastAsia="仿宋" w:cs="宋体"/>
      </w:rPr>
    </w:lvl>
    <w:lvl w:ilvl="2" w:tentative="0">
      <w:start w:val="1"/>
      <w:numFmt w:val="decimal"/>
      <w:pStyle w:val="4"/>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zViOWI5ODMxNmU1MjFmZjY5NjVlZTE5M2Q2YjUifQ=="/>
  </w:docVars>
  <w:rsids>
    <w:rsidRoot w:val="535011CF"/>
    <w:rsid w:val="009827E3"/>
    <w:rsid w:val="01215C29"/>
    <w:rsid w:val="07316242"/>
    <w:rsid w:val="08790BBD"/>
    <w:rsid w:val="08EA2658"/>
    <w:rsid w:val="090B602E"/>
    <w:rsid w:val="09BB403B"/>
    <w:rsid w:val="09C61AA5"/>
    <w:rsid w:val="0C1C66D5"/>
    <w:rsid w:val="0C7236B3"/>
    <w:rsid w:val="0D832131"/>
    <w:rsid w:val="0F914A2F"/>
    <w:rsid w:val="104E5686"/>
    <w:rsid w:val="116E69B0"/>
    <w:rsid w:val="156554D6"/>
    <w:rsid w:val="15D37529"/>
    <w:rsid w:val="15DE1F65"/>
    <w:rsid w:val="17796AC4"/>
    <w:rsid w:val="17DC05E2"/>
    <w:rsid w:val="1B2437B8"/>
    <w:rsid w:val="1BCA303C"/>
    <w:rsid w:val="1C9345C7"/>
    <w:rsid w:val="1C9A2BA3"/>
    <w:rsid w:val="1F196F14"/>
    <w:rsid w:val="23841B7E"/>
    <w:rsid w:val="25334FFC"/>
    <w:rsid w:val="26D870C8"/>
    <w:rsid w:val="276617FC"/>
    <w:rsid w:val="2777171F"/>
    <w:rsid w:val="287A5693"/>
    <w:rsid w:val="28EC6B33"/>
    <w:rsid w:val="29F25969"/>
    <w:rsid w:val="2A2102CB"/>
    <w:rsid w:val="2A293E21"/>
    <w:rsid w:val="2BEF7F49"/>
    <w:rsid w:val="30233595"/>
    <w:rsid w:val="31C939F5"/>
    <w:rsid w:val="3301221F"/>
    <w:rsid w:val="362420DB"/>
    <w:rsid w:val="36EB7CC5"/>
    <w:rsid w:val="380541CD"/>
    <w:rsid w:val="3B5C4B07"/>
    <w:rsid w:val="3C78403C"/>
    <w:rsid w:val="400F0734"/>
    <w:rsid w:val="40FF63AF"/>
    <w:rsid w:val="42ED123B"/>
    <w:rsid w:val="437B05F4"/>
    <w:rsid w:val="45EB3AFD"/>
    <w:rsid w:val="46900164"/>
    <w:rsid w:val="47B02837"/>
    <w:rsid w:val="4A797DE0"/>
    <w:rsid w:val="4B3D06A8"/>
    <w:rsid w:val="4CB41111"/>
    <w:rsid w:val="4E1164EC"/>
    <w:rsid w:val="503A79FD"/>
    <w:rsid w:val="52D86399"/>
    <w:rsid w:val="535011CF"/>
    <w:rsid w:val="546D3709"/>
    <w:rsid w:val="56EE7B37"/>
    <w:rsid w:val="57E2710E"/>
    <w:rsid w:val="5AD02439"/>
    <w:rsid w:val="5B1D0862"/>
    <w:rsid w:val="5BD43481"/>
    <w:rsid w:val="5C0A69D0"/>
    <w:rsid w:val="5D4C4EBC"/>
    <w:rsid w:val="5EDE2B53"/>
    <w:rsid w:val="5F27014B"/>
    <w:rsid w:val="5FF03109"/>
    <w:rsid w:val="60536729"/>
    <w:rsid w:val="60695F4D"/>
    <w:rsid w:val="610D1B71"/>
    <w:rsid w:val="61F61B47"/>
    <w:rsid w:val="628603EB"/>
    <w:rsid w:val="62E8268E"/>
    <w:rsid w:val="65BE1E4F"/>
    <w:rsid w:val="685B4774"/>
    <w:rsid w:val="69685E9E"/>
    <w:rsid w:val="6A246793"/>
    <w:rsid w:val="6A524E2D"/>
    <w:rsid w:val="6B032DA2"/>
    <w:rsid w:val="6E2D13C7"/>
    <w:rsid w:val="70886160"/>
    <w:rsid w:val="70C71162"/>
    <w:rsid w:val="71E3174B"/>
    <w:rsid w:val="77F43BD1"/>
    <w:rsid w:val="790133D6"/>
    <w:rsid w:val="79A34CD6"/>
    <w:rsid w:val="7AF2134B"/>
    <w:rsid w:val="7B605714"/>
    <w:rsid w:val="7B686FE9"/>
    <w:rsid w:val="7C1B42AF"/>
    <w:rsid w:val="7C9F0813"/>
    <w:rsid w:val="7CA038D4"/>
    <w:rsid w:val="7D1363DA"/>
    <w:rsid w:val="7F6819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2">
    <w:name w:val="heading 1"/>
    <w:basedOn w:val="1"/>
    <w:next w:val="1"/>
    <w:link w:val="29"/>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3">
    <w:name w:val="heading 2"/>
    <w:basedOn w:val="1"/>
    <w:next w:val="1"/>
    <w:link w:val="28"/>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rFonts w:ascii="宋体" w:hAnsi="宋体"/>
      <w:szCs w:val="20"/>
    </w:rPr>
  </w:style>
  <w:style w:type="paragraph" w:customStyle="1" w:styleId="6">
    <w:name w:val="表头"/>
    <w:basedOn w:val="7"/>
    <w:next w:val="1"/>
    <w:qFormat/>
    <w:uiPriority w:val="0"/>
    <w:pPr>
      <w:jc w:val="center"/>
    </w:pPr>
    <w:rPr>
      <w:rFonts w:ascii="黑体" w:eastAsia="黑体"/>
      <w:spacing w:val="5"/>
      <w:szCs w:val="20"/>
      <w:lang w:val="en-GB"/>
    </w:rPr>
  </w:style>
  <w:style w:type="paragraph" w:styleId="7">
    <w:name w:val="List"/>
    <w:basedOn w:val="1"/>
    <w:qFormat/>
    <w:uiPriority w:val="0"/>
    <w:pPr>
      <w:ind w:left="200" w:hanging="200" w:hangingChars="200"/>
    </w:pPr>
  </w:style>
  <w:style w:type="paragraph" w:styleId="8">
    <w:name w:val="annotation text"/>
    <w:basedOn w:val="1"/>
    <w:semiHidden/>
    <w:qFormat/>
    <w:uiPriority w:val="0"/>
    <w:pPr>
      <w:jc w:val="left"/>
    </w:pPr>
    <w:rPr>
      <w:rFonts w:ascii="Times New Roman" w:hAnsi="Times New Roman" w:eastAsia="宋体" w:cs="Times New Roman"/>
      <w:kern w:val="0"/>
      <w:sz w:val="24"/>
      <w:szCs w:val="20"/>
    </w:rPr>
  </w:style>
  <w:style w:type="paragraph" w:styleId="9">
    <w:name w:val="Body Text"/>
    <w:basedOn w:val="1"/>
    <w:next w:val="10"/>
    <w:qFormat/>
    <w:uiPriority w:val="0"/>
    <w:rPr>
      <w:sz w:val="28"/>
    </w:rPr>
  </w:style>
  <w:style w:type="paragraph" w:styleId="10">
    <w:name w:val="toc 1"/>
    <w:basedOn w:val="1"/>
    <w:next w:val="1"/>
    <w:qFormat/>
    <w:uiPriority w:val="0"/>
    <w:rPr>
      <w:szCs w:val="24"/>
    </w:rPr>
  </w:style>
  <w:style w:type="paragraph" w:styleId="11">
    <w:name w:val="Body Text Indent"/>
    <w:basedOn w:val="1"/>
    <w:next w:val="12"/>
    <w:qFormat/>
    <w:uiPriority w:val="0"/>
    <w:pPr>
      <w:spacing w:after="120"/>
      <w:ind w:left="420" w:leftChars="200"/>
    </w:pPr>
    <w:rPr>
      <w:kern w:val="0"/>
      <w:sz w:val="24"/>
      <w:szCs w:val="20"/>
    </w:rPr>
  </w:style>
  <w:style w:type="paragraph" w:customStyle="1" w:styleId="12">
    <w:name w:val="样式 正文文本缩进 + 行距: 1.5 倍行距"/>
    <w:basedOn w:val="11"/>
    <w:qFormat/>
    <w:uiPriority w:val="0"/>
    <w:pPr>
      <w:spacing w:after="120"/>
      <w:ind w:left="90" w:leftChars="32" w:firstLine="560" w:firstLineChars="200"/>
    </w:pPr>
    <w:rPr>
      <w:rFonts w:cs="宋体"/>
    </w:rPr>
  </w:style>
  <w:style w:type="paragraph" w:styleId="13">
    <w:name w:val="List Bullet 5"/>
    <w:basedOn w:val="1"/>
    <w:qFormat/>
    <w:uiPriority w:val="0"/>
    <w:pPr>
      <w:numPr>
        <w:ilvl w:val="0"/>
        <w:numId w:val="2"/>
      </w:numPr>
    </w:pPr>
  </w:style>
  <w:style w:type="paragraph" w:styleId="14">
    <w:name w:val="Body Text Indent 2"/>
    <w:basedOn w:val="1"/>
    <w:semiHidden/>
    <w:qFormat/>
    <w:uiPriority w:val="0"/>
    <w:pPr>
      <w:spacing w:after="120" w:line="480" w:lineRule="auto"/>
      <w:ind w:left="420" w:leftChars="200" w:firstLine="200" w:firstLineChars="200"/>
    </w:pPr>
    <w:rPr>
      <w:sz w:val="24"/>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footnote text"/>
    <w:basedOn w:val="1"/>
    <w:qFormat/>
    <w:uiPriority w:val="0"/>
    <w:pPr>
      <w:snapToGrid w:val="0"/>
      <w:jc w:val="left"/>
    </w:pPr>
    <w:rPr>
      <w:sz w:val="18"/>
    </w:rPr>
  </w:style>
  <w:style w:type="paragraph" w:styleId="18">
    <w:name w:val="toc 2"/>
    <w:basedOn w:val="1"/>
    <w:next w:val="1"/>
    <w:qFormat/>
    <w:uiPriority w:val="0"/>
    <w:pPr>
      <w:ind w:left="420" w:leftChars="200"/>
    </w:pPr>
  </w:style>
  <w:style w:type="paragraph" w:styleId="19">
    <w:name w:val="Body Text First Indent 2"/>
    <w:basedOn w:val="11"/>
    <w:next w:val="1"/>
    <w:unhideWhenUsed/>
    <w:qFormat/>
    <w:uiPriority w:val="0"/>
    <w:pPr>
      <w:ind w:firstLine="420" w:firstLineChars="200"/>
    </w:pPr>
  </w:style>
  <w:style w:type="table" w:styleId="21">
    <w:name w:val="Table Grid"/>
    <w:basedOn w:val="20"/>
    <w:qFormat/>
    <w:uiPriority w:val="39"/>
    <w:rPr>
      <w:rFonts w:ascii="Times New Roman" w:hAnsi="Times New Roman" w:eastAsia="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Pr>
    <w:tblStylePr w:type="firstRow">
      <w:tblPr/>
      <w:trPr>
        <w:tblHeader/>
      </w:trPr>
      <w:tcPr>
        <w:shd w:val="clear" w:color="auto" w:fill="D8D8D8" w:themeFill="background1" w:themeFillShade="D9"/>
      </w:tcPr>
    </w:tblStylePr>
  </w:style>
  <w:style w:type="character" w:styleId="23">
    <w:name w:val="page number"/>
    <w:basedOn w:val="22"/>
    <w:semiHidden/>
    <w:unhideWhenUsed/>
    <w:qFormat/>
    <w:uiPriority w:val="99"/>
  </w:style>
  <w:style w:type="paragraph" w:customStyle="1" w:styleId="24">
    <w:name w:val="样式5"/>
    <w:qFormat/>
    <w:uiPriority w:val="0"/>
    <w:pPr>
      <w:widowControl w:val="0"/>
      <w:spacing w:line="480" w:lineRule="atLeast"/>
      <w:jc w:val="center"/>
    </w:pPr>
    <w:rPr>
      <w:rFonts w:hint="eastAsia" w:ascii="宋体" w:hAnsi="宋体" w:eastAsia="宋体" w:cs="Times New Roman"/>
      <w:kern w:val="2"/>
      <w:sz w:val="21"/>
      <w:szCs w:val="24"/>
      <w:lang w:val="en-US" w:eastAsia="zh-CN" w:bidi="ar-SA"/>
    </w:rPr>
  </w:style>
  <w:style w:type="paragraph" w:customStyle="1" w:styleId="25">
    <w:name w:val="Default"/>
    <w:basedOn w:val="26"/>
    <w:next w:val="1"/>
    <w:qFormat/>
    <w:uiPriority w:val="0"/>
    <w:pPr>
      <w:autoSpaceDE w:val="0"/>
      <w:autoSpaceDN w:val="0"/>
      <w:jc w:val="left"/>
    </w:pPr>
    <w:rPr>
      <w:rFonts w:hint="eastAsia" w:ascii="宋体" w:eastAsia="宋体" w:cs="Times New Roman"/>
      <w:color w:val="000000"/>
      <w:kern w:val="0"/>
      <w:sz w:val="24"/>
    </w:rPr>
  </w:style>
  <w:style w:type="paragraph" w:customStyle="1" w:styleId="26">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7">
    <w:name w:val="样式 正文11 + 首行缩进:  2 字符"/>
    <w:basedOn w:val="1"/>
    <w:qFormat/>
    <w:uiPriority w:val="0"/>
    <w:pPr>
      <w:spacing w:line="500" w:lineRule="exact"/>
      <w:ind w:firstLine="560" w:firstLineChars="200"/>
    </w:pPr>
    <w:rPr>
      <w:rFonts w:ascii="宋体" w:hAnsi="宋体" w:cs="宋体"/>
      <w:color w:val="FF0000"/>
      <w:sz w:val="28"/>
      <w:szCs w:val="20"/>
    </w:rPr>
  </w:style>
  <w:style w:type="character" w:customStyle="1" w:styleId="28">
    <w:name w:val="标题 2 Char"/>
    <w:link w:val="3"/>
    <w:qFormat/>
    <w:locked/>
    <w:uiPriority w:val="99"/>
    <w:rPr>
      <w:rFonts w:ascii="Arial" w:hAnsi="Arial" w:eastAsia="宋体" w:cs="Times New Roman"/>
      <w:b/>
      <w:bCs/>
      <w:sz w:val="28"/>
      <w:szCs w:val="32"/>
    </w:rPr>
  </w:style>
  <w:style w:type="character" w:customStyle="1" w:styleId="29">
    <w:name w:val="标题 1 Char"/>
    <w:link w:val="2"/>
    <w:qFormat/>
    <w:locked/>
    <w:uiPriority w:val="99"/>
    <w:rPr>
      <w:rFonts w:ascii="Calibri" w:hAnsi="Calibri" w:eastAsia="宋体"/>
      <w:b/>
      <w:kern w:val="44"/>
      <w:sz w:val="44"/>
      <w:szCs w:val="24"/>
      <w:lang w:bidi="ar-SA"/>
    </w:rPr>
  </w:style>
  <w:style w:type="paragraph" w:customStyle="1" w:styleId="30">
    <w:name w:val="p0"/>
    <w:basedOn w:val="1"/>
    <w:qFormat/>
    <w:uiPriority w:val="0"/>
    <w:pPr>
      <w:widowControl/>
    </w:pPr>
    <w:rPr>
      <w:rFonts w:cs="Times New Roman"/>
      <w:kern w:val="0"/>
      <w:szCs w:val="21"/>
    </w:rPr>
  </w:style>
  <w:style w:type="paragraph" w:customStyle="1" w:styleId="31">
    <w:name w:val="正文文本1"/>
    <w:basedOn w:val="1"/>
    <w:qFormat/>
    <w:uiPriority w:val="0"/>
    <w:pPr>
      <w:spacing w:line="500" w:lineRule="exact"/>
    </w:pPr>
    <w:rPr>
      <w:rFonts w:ascii="宋体" w:hAnsi="宋体"/>
      <w:sz w:val="28"/>
    </w:rPr>
  </w:style>
  <w:style w:type="paragraph" w:customStyle="1" w:styleId="32">
    <w:name w:val="评估意见标题内容"/>
    <w:basedOn w:val="33"/>
    <w:next w:val="33"/>
    <w:qFormat/>
    <w:uiPriority w:val="0"/>
    <w:pPr>
      <w:outlineLvl w:val="0"/>
    </w:pPr>
    <w:rPr>
      <w:kern w:val="0"/>
    </w:rPr>
  </w:style>
  <w:style w:type="paragraph" w:customStyle="1" w:styleId="33">
    <w:name w:val="评估意见正文内容"/>
    <w:basedOn w:val="1"/>
    <w:qFormat/>
    <w:uiPriority w:val="0"/>
    <w:pPr>
      <w:spacing w:line="580" w:lineRule="exact"/>
      <w:ind w:firstLine="640" w:firstLineChars="200"/>
    </w:pPr>
    <w:rPr>
      <w:rFonts w:ascii="仿宋_GB2312" w:hAnsi="宋体" w:eastAsia="仿宋_GB2312"/>
      <w:bCs/>
      <w:sz w:val="32"/>
      <w:szCs w:val="23"/>
    </w:rPr>
  </w:style>
  <w:style w:type="paragraph" w:customStyle="1" w:styleId="34">
    <w:name w:val="专家意见正文"/>
    <w:basedOn w:val="1"/>
    <w:qFormat/>
    <w:uiPriority w:val="0"/>
    <w:pPr>
      <w:spacing w:line="600" w:lineRule="exact"/>
      <w:ind w:firstLine="640" w:firstLineChars="200"/>
    </w:pPr>
    <w:rPr>
      <w:rFonts w:ascii="仿宋_GB2312" w:hAnsi="宋体" w:eastAsia="仿宋_GB2312"/>
      <w:bCs/>
      <w:kern w:val="0"/>
      <w:sz w:val="32"/>
      <w:szCs w:val="32"/>
    </w:rPr>
  </w:style>
  <w:style w:type="paragraph" w:customStyle="1" w:styleId="35">
    <w:name w:val="样式1"/>
    <w:basedOn w:val="5"/>
    <w:next w:val="1"/>
    <w:qFormat/>
    <w:uiPriority w:val="0"/>
    <w:pPr>
      <w:tabs>
        <w:tab w:val="right" w:leader="dot" w:pos="8607"/>
        <w:tab w:val="right" w:leader="dot" w:pos="8891"/>
      </w:tabs>
      <w:spacing w:line="360" w:lineRule="auto"/>
      <w:ind w:firstLine="482" w:firstLineChars="200"/>
      <w:jc w:val="left"/>
    </w:pPr>
    <w:rPr>
      <w:rFonts w:ascii="Times New Roman" w:hAnsi="Times New Roman" w:eastAsia="宋体"/>
      <w:sz w:val="24"/>
      <w:szCs w:val="28"/>
    </w:rPr>
  </w:style>
  <w:style w:type="paragraph" w:customStyle="1" w:styleId="36">
    <w:name w:val="报告表文字"/>
    <w:basedOn w:val="1"/>
    <w:qFormat/>
    <w:uiPriority w:val="0"/>
    <w:pPr>
      <w:spacing w:line="360" w:lineRule="auto"/>
      <w:ind w:firstLine="1440" w:firstLineChars="200"/>
      <w:jc w:val="both"/>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2217</Words>
  <Characters>2330</Characters>
  <Lines>0</Lines>
  <Paragraphs>0</Paragraphs>
  <TotalTime>53</TotalTime>
  <ScaleCrop>false</ScaleCrop>
  <LinksUpToDate>false</LinksUpToDate>
  <CharactersWithSpaces>2347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扬帆</cp:lastModifiedBy>
  <dcterms:modified xsi:type="dcterms:W3CDTF">2026-03-30T06:23:35Z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4A5EF525B7F8437D9A77D340DBC35A59_13</vt:lpwstr>
  </property>
  <property fmtid="{D5CDD505-2E9C-101B-9397-08002B2CF9AE}" pid="4" name="KSOTemplateDocerSaveRecord">
    <vt:lpwstr>eyJoZGlkIjoiYmVkODgxNzRiMjA1ODc2MDE1ODhjODA2MmE3ZmJjYWYiLCJ1c2VySWQiOiIzOTMxNTgxNTEifQ==</vt:lpwstr>
  </property>
</Properties>
</file>