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A2E696">
      <w:pPr>
        <w:rPr>
          <w:rFonts w:hint="eastAsia" w:eastAsia="仿宋_GB2312"/>
          <w:sz w:val="32"/>
          <w:lang w:eastAsia="zh-CN"/>
        </w:rPr>
      </w:pPr>
    </w:p>
    <w:p w14:paraId="1FF4D942">
      <w:pPr>
        <w:bidi w:val="0"/>
        <w:rPr>
          <w:rFonts w:hint="eastAsia" w:ascii="仿宋_GB2312" w:hAnsi="仿宋_GB2312" w:eastAsia="仿宋_GB2312" w:cs="Times New Roman"/>
          <w:kern w:val="2"/>
          <w:sz w:val="32"/>
          <w:szCs w:val="32"/>
          <w:lang w:val="en-US" w:eastAsia="zh-CN" w:bidi="ar-SA"/>
        </w:rPr>
      </w:pPr>
    </w:p>
    <w:p w14:paraId="05F1302C">
      <w:pPr>
        <w:bidi w:val="0"/>
        <w:rPr>
          <w:rFonts w:hint="eastAsia"/>
          <w:lang w:val="en-US" w:eastAsia="zh-CN"/>
        </w:rPr>
      </w:pPr>
    </w:p>
    <w:p w14:paraId="5F15FC77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 w14:paraId="2EC8BD69">
      <w:pPr>
        <w:bidi w:val="0"/>
        <w:rPr>
          <w:rFonts w:hint="eastAsia"/>
          <w:lang w:val="en-US" w:eastAsia="zh-CN"/>
        </w:rPr>
      </w:pPr>
    </w:p>
    <w:p w14:paraId="4CF52AAC">
      <w:pPr>
        <w:bidi w:val="0"/>
        <w:rPr>
          <w:rFonts w:hint="eastAsia"/>
          <w:lang w:val="en-US" w:eastAsia="zh-CN"/>
        </w:rPr>
      </w:pPr>
    </w:p>
    <w:p w14:paraId="22515867">
      <w:pPr>
        <w:bidi w:val="0"/>
        <w:rPr>
          <w:rFonts w:hint="eastAsia"/>
          <w:lang w:val="en-US" w:eastAsia="zh-CN"/>
        </w:rPr>
      </w:pPr>
    </w:p>
    <w:p w14:paraId="7ADF51D4">
      <w:pPr>
        <w:bidi w:val="0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</w:p>
    <w:p w14:paraId="0B8EE37E">
      <w:pPr>
        <w:bidi w:val="0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吉市（龙）环建（表）字〔20</w:t>
      </w:r>
      <w:r>
        <w:rPr>
          <w:rFonts w:hint="eastAsia" w:cs="仿宋_GB2312"/>
          <w:spacing w:val="-20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〕</w:t>
      </w:r>
      <w:r>
        <w:rPr>
          <w:rFonts w:hint="eastAsia" w:cs="仿宋_GB2312"/>
          <w:spacing w:val="-2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号</w:t>
      </w:r>
      <w:bookmarkStart w:id="0" w:name="_GoBack"/>
      <w:bookmarkEnd w:id="0"/>
    </w:p>
    <w:p w14:paraId="50BF61F5">
      <w:pPr>
        <w:spacing w:after="100" w:afterAutospacing="1" w:line="60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4"/>
          <w:szCs w:val="44"/>
        </w:rPr>
      </w:pPr>
    </w:p>
    <w:p w14:paraId="60DC9E28">
      <w:pPr>
        <w:spacing w:after="100" w:afterAutospacing="1" w:line="60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4"/>
          <w:szCs w:val="44"/>
          <w:lang w:eastAsia="zh-CN"/>
        </w:rPr>
        <w:t>关于港美生物科技（吉林）有限公司新建年产50000吨氯虫苯甲酰胺颗粒剂项目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4"/>
          <w:szCs w:val="44"/>
          <w:lang w:val="en-US" w:eastAsia="zh-CN"/>
        </w:rPr>
        <w:t xml:space="preserve">       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4"/>
          <w:szCs w:val="44"/>
        </w:rPr>
        <w:t>环境影响报告表的批复</w:t>
      </w:r>
    </w:p>
    <w:p w14:paraId="3848ABC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港美生物科技（吉林）有限公司：</w:t>
      </w:r>
    </w:p>
    <w:p w14:paraId="5B78237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你单位《关于对〈港美生物科技（吉林）有限公司新建年产50000吨氯虫苯甲酰胺颗粒剂项目环境影响报告表〉审查的申请》和委托吉林省鸿源环境科技咨询有限公司编制的《港美生物科技（吉林）有限公司新建年产50000吨氯虫苯甲酰胺颗粒剂项目环境影响报告表》（报批版）收悉。经研究，现批复如下：　 </w:t>
      </w:r>
    </w:p>
    <w:p w14:paraId="4B610502">
      <w:pPr>
        <w:pStyle w:val="17"/>
        <w:numPr>
          <w:ilvl w:val="0"/>
          <w:numId w:val="3"/>
        </w:numPr>
        <w:adjustRightInd w:val="0"/>
        <w:snapToGrid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港美生物科技（吉林）有限公司</w:t>
      </w:r>
      <w:r>
        <w:rPr>
          <w:rFonts w:hint="eastAsia" w:cs="仿宋_GB2312"/>
          <w:color w:val="000000"/>
          <w:sz w:val="32"/>
          <w:szCs w:val="32"/>
          <w:highlight w:val="none"/>
          <w:u w:val="none" w:color="auto"/>
          <w:lang w:val="en-US" w:eastAsia="zh-CN"/>
        </w:rPr>
        <w:t>租用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u w:val="none" w:color="auto"/>
          <w:lang w:val="en-US" w:eastAsia="zh-CN"/>
        </w:rPr>
        <w:t>吉林省吉林市龙潭区沅江路南侧原吉林市美林化工有限公司</w:t>
      </w:r>
      <w:r>
        <w:rPr>
          <w:rFonts w:hint="eastAsia" w:cs="仿宋_GB2312"/>
          <w:color w:val="000000"/>
          <w:sz w:val="32"/>
          <w:szCs w:val="32"/>
          <w:highlight w:val="none"/>
          <w:u w:val="none" w:color="auto"/>
          <w:lang w:val="en-US" w:eastAsia="zh-CN"/>
        </w:rPr>
        <w:t>闲置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u w:val="none" w:color="auto"/>
          <w:lang w:val="en-US" w:eastAsia="zh-CN"/>
        </w:rPr>
        <w:t>厂区</w:t>
      </w:r>
      <w:r>
        <w:rPr>
          <w:rFonts w:hint="eastAsia" w:cs="仿宋_GB2312"/>
          <w:color w:val="000000"/>
          <w:sz w:val="32"/>
          <w:szCs w:val="32"/>
          <w:highlight w:val="none"/>
          <w:u w:val="none" w:color="auto"/>
          <w:lang w:val="en-US" w:eastAsia="zh-CN"/>
        </w:rPr>
        <w:t>及厂房，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u w:val="none" w:color="auto"/>
          <w:lang w:val="en-US" w:eastAsia="zh-CN"/>
        </w:rPr>
        <w:t>本项目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建成后</w:t>
      </w:r>
      <w:r>
        <w:rPr>
          <w:rFonts w:hint="eastAsia" w:cs="仿宋_GB2312"/>
          <w:color w:val="auto"/>
          <w:sz w:val="32"/>
          <w:szCs w:val="32"/>
          <w:highlight w:val="none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全厂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年产5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0000吨</w:t>
      </w:r>
      <w:r>
        <w:rPr>
          <w:rFonts w:hint="eastAsia" w:ascii="仿宋_GB2312" w:hAnsi="仿宋_GB2312" w:eastAsia="仿宋_GB2312" w:cs="仿宋_GB2312"/>
          <w:smallCaps w:val="0"/>
          <w:color w:val="auto"/>
          <w:sz w:val="32"/>
          <w:szCs w:val="32"/>
          <w:highlight w:val="none"/>
          <w:u w:val="none"/>
          <w:lang w:val="en-US" w:eastAsia="zh-CN"/>
        </w:rPr>
        <w:t>0.4%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氯虫苯甲酰胺颗粒剂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mallCaps w:val="0"/>
          <w:color w:val="auto"/>
          <w:sz w:val="32"/>
          <w:szCs w:val="32"/>
          <w:highlight w:val="none"/>
          <w:u w:val="none"/>
          <w:lang w:val="en-US" w:eastAsia="zh-CN"/>
        </w:rPr>
        <w:t>10000</w:t>
      </w:r>
      <w:r>
        <w:rPr>
          <w:rFonts w:hint="eastAsia" w:cs="仿宋_GB2312"/>
          <w:smallCaps w:val="0"/>
          <w:color w:val="auto"/>
          <w:sz w:val="32"/>
          <w:szCs w:val="32"/>
          <w:highlight w:val="none"/>
          <w:u w:val="none"/>
          <w:lang w:val="en-US" w:eastAsia="zh-CN"/>
        </w:rPr>
        <w:t>吨</w:t>
      </w:r>
      <w:r>
        <w:rPr>
          <w:rFonts w:hint="eastAsia" w:ascii="仿宋_GB2312" w:hAnsi="仿宋_GB2312" w:eastAsia="仿宋_GB2312" w:cs="仿宋_GB2312"/>
          <w:smallCaps w:val="0"/>
          <w:color w:val="auto"/>
          <w:sz w:val="32"/>
          <w:szCs w:val="32"/>
          <w:highlight w:val="none"/>
          <w:u w:val="none"/>
        </w:rPr>
        <w:t>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混肥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10000</w:t>
      </w:r>
      <w:r>
        <w:rPr>
          <w:rFonts w:hint="eastAsia" w:cs="仿宋_GB2312"/>
          <w:color w:val="auto"/>
          <w:sz w:val="32"/>
          <w:szCs w:val="32"/>
          <w:highlight w:val="none"/>
          <w:u w:val="none"/>
          <w:lang w:val="en-US" w:eastAsia="zh-CN"/>
        </w:rPr>
        <w:t>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掺混肥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。</w:t>
      </w:r>
    </w:p>
    <w:p w14:paraId="2E8E2614"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主体工程：</w:t>
      </w: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利用现有1层钢结构的生产车间建设氯虫苯甲酰胺颗粒剂生产线，包括1套挤压造粒设备</w:t>
      </w:r>
      <w:r>
        <w:rPr>
          <w:rFonts w:hint="eastAsia" w:cs="仿宋_GB2312"/>
          <w:sz w:val="32"/>
          <w:szCs w:val="32"/>
          <w:vertAlign w:val="baseline"/>
          <w:lang w:val="en-US" w:eastAsia="zh-CN"/>
        </w:rPr>
        <w:t>及1套自动包装设备</w:t>
      </w: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、1套掺混设备</w:t>
      </w:r>
      <w:r>
        <w:rPr>
          <w:rFonts w:hint="eastAsia" w:cs="仿宋_GB2312"/>
          <w:sz w:val="32"/>
          <w:szCs w:val="32"/>
          <w:vertAlign w:val="baseline"/>
          <w:lang w:val="en-US" w:eastAsia="zh-CN"/>
        </w:rPr>
        <w:t>及1</w:t>
      </w: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套</w:t>
      </w:r>
      <w:r>
        <w:rPr>
          <w:rFonts w:hint="eastAsia" w:cs="仿宋_GB2312"/>
          <w:sz w:val="32"/>
          <w:szCs w:val="32"/>
          <w:vertAlign w:val="baseline"/>
          <w:lang w:val="en-US" w:eastAsia="zh-CN"/>
        </w:rPr>
        <w:t>自动</w:t>
      </w: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包装设备</w:t>
      </w:r>
      <w:r>
        <w:rPr>
          <w:rFonts w:hint="eastAsia" w:cs="仿宋_GB2312"/>
          <w:sz w:val="32"/>
          <w:szCs w:val="32"/>
          <w:vertAlign w:val="baseline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辅助工程：</w:t>
      </w:r>
      <w:r>
        <w:rPr>
          <w:rFonts w:hint="eastAsia" w:cs="仿宋_GB2312"/>
          <w:sz w:val="32"/>
          <w:szCs w:val="32"/>
          <w:vertAlign w:val="baseline"/>
          <w:lang w:val="en-US" w:eastAsia="zh-CN"/>
        </w:rPr>
        <w:t>现有办公楼内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新</w:t>
      </w:r>
      <w:r>
        <w:rPr>
          <w:rFonts w:hint="eastAsia" w:cs="仿宋_GB2312"/>
          <w:color w:val="auto"/>
          <w:sz w:val="32"/>
          <w:szCs w:val="32"/>
          <w:highlight w:val="none"/>
          <w:u w:val="none"/>
          <w:lang w:val="en-US" w:eastAsia="zh-CN"/>
        </w:rPr>
        <w:t>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m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vertAlign w:val="superscript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化验室，</w:t>
      </w: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用于化验氯虫苯甲酰胺含量，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产品全分析化验委托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有资质单位</w:t>
      </w:r>
      <w:r>
        <w:rPr>
          <w:rFonts w:hint="eastAsia" w:cs="仿宋_GB2312"/>
          <w:color w:val="auto"/>
          <w:sz w:val="32"/>
          <w:szCs w:val="32"/>
          <w:highlight w:val="none"/>
          <w:u w:val="none"/>
          <w:lang w:val="en-US" w:eastAsia="zh-CN"/>
        </w:rPr>
        <w:t>处理</w:t>
      </w:r>
      <w:r>
        <w:rPr>
          <w:rFonts w:hint="eastAsia" w:cs="仿宋_GB2312"/>
          <w:color w:val="auto"/>
          <w:sz w:val="32"/>
          <w:szCs w:val="32"/>
          <w:highlight w:val="none"/>
          <w:u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储运工程：依托现有440m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vertAlign w:val="superscript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库房分区放置原料及产品</w:t>
      </w:r>
      <w:r>
        <w:rPr>
          <w:rFonts w:hint="eastAsia" w:cs="仿宋_GB2312"/>
          <w:color w:val="auto"/>
          <w:sz w:val="32"/>
          <w:szCs w:val="32"/>
          <w:highlight w:val="none"/>
          <w:u w:val="none"/>
          <w:lang w:val="en-US" w:eastAsia="zh-CN"/>
        </w:rPr>
        <w:t>；环保工程：厂内设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1座钢结构危险废物贮存点</w:t>
      </w:r>
      <w:r>
        <w:rPr>
          <w:rFonts w:hint="eastAsia" w:cs="仿宋_GB2312"/>
          <w:color w:val="auto"/>
          <w:sz w:val="32"/>
          <w:szCs w:val="32"/>
          <w:highlight w:val="none"/>
          <w:u w:val="none"/>
          <w:lang w:val="en-US" w:eastAsia="zh-CN"/>
        </w:rPr>
        <w:t>、50m</w:t>
      </w:r>
      <w:r>
        <w:rPr>
          <w:rFonts w:hint="eastAsia" w:cs="仿宋_GB2312"/>
          <w:color w:val="auto"/>
          <w:sz w:val="32"/>
          <w:szCs w:val="32"/>
          <w:highlight w:val="none"/>
          <w:u w:val="none"/>
          <w:vertAlign w:val="superscript"/>
          <w:lang w:val="en-US" w:eastAsia="zh-CN"/>
        </w:rPr>
        <w:t>3</w:t>
      </w:r>
      <w:r>
        <w:rPr>
          <w:rFonts w:hint="eastAsia" w:cs="仿宋_GB2312"/>
          <w:color w:val="auto"/>
          <w:sz w:val="32"/>
          <w:szCs w:val="32"/>
          <w:highlight w:val="none"/>
          <w:u w:val="none"/>
          <w:lang w:val="en-US" w:eastAsia="zh-CN"/>
        </w:rPr>
        <w:t>地上喷淋塔集液池、有效容积为</w:t>
      </w:r>
      <w:r>
        <w:rPr>
          <w:rFonts w:hint="default" w:cs="仿宋_GB2312"/>
          <w:color w:val="auto"/>
          <w:sz w:val="32"/>
          <w:szCs w:val="32"/>
          <w:highlight w:val="none"/>
          <w:u w:val="none"/>
          <w:lang w:val="en-US" w:eastAsia="zh-CN"/>
        </w:rPr>
        <w:t>1100m</w:t>
      </w:r>
      <w:r>
        <w:rPr>
          <w:rFonts w:hint="default" w:cs="仿宋_GB2312"/>
          <w:color w:val="auto"/>
          <w:sz w:val="32"/>
          <w:szCs w:val="32"/>
          <w:highlight w:val="none"/>
          <w:u w:val="none"/>
          <w:vertAlign w:val="superscript"/>
          <w:lang w:val="en-US" w:eastAsia="zh-CN"/>
        </w:rPr>
        <w:t>3</w:t>
      </w:r>
      <w:r>
        <w:rPr>
          <w:rFonts w:hint="eastAsia" w:cs="仿宋_GB2312"/>
          <w:color w:val="auto"/>
          <w:sz w:val="32"/>
          <w:szCs w:val="32"/>
          <w:highlight w:val="none"/>
          <w:u w:val="none"/>
          <w:lang w:val="en-US" w:eastAsia="zh-CN"/>
        </w:rPr>
        <w:t>事故收集池及其他配套设施，生产车间、库房设15cm高慢坡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冬季采用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电取暖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生产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无需加热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。本项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目未新增占地面积，新增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劳动定员10人，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生产</w:t>
      </w:r>
      <w:r>
        <w:rPr>
          <w:rFonts w:hint="eastAsia" w:cs="仿宋_GB2312"/>
          <w:color w:val="auto"/>
          <w:sz w:val="32"/>
          <w:szCs w:val="32"/>
          <w:highlight w:val="none"/>
          <w:u w:val="none"/>
          <w:lang w:val="en-US" w:eastAsia="zh-CN"/>
        </w:rPr>
        <w:t>时间为每年10月至次年5月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，挤压造粒工序年生产3960h，掺混工序年生产3030h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。本项目总投资1500万元，环保投资15万元。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环境影响报告表评价结论和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技术评估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意见，严格落实环境影响报告表提出的各项环境保护和环境风险防控措施。我局原则同意建设单位按照环评报告及下述要求进行项目建设。该项目环境影响报告表（报批版）可以作为环保设计及其建成后环境管理依据。</w:t>
      </w:r>
    </w:p>
    <w:p w14:paraId="538792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二、项目建设应重点做好以下工作：</w:t>
      </w:r>
    </w:p>
    <w:p w14:paraId="604140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cs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加强建设期环境管理。本项目施工人员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>生活污水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经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>厂区污水管网总排口排入市政污水管网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；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车辆运输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、物料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堆放采取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防尘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措施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；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建筑垃圾及时清运至建筑垃圾指定堆放点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生活垃圾及废弃包装物分类收集至垃圾箱，由环卫部门定期清运。使用低噪声施工机械，控制施工期噪声符合《建筑施工场界环境噪声排放标准》（GB12523-2011）要求，将项目建设对外界环境影响降至最低。落实施工期的各项污染防治措施，防止发生环境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染和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扰民事件。</w:t>
      </w:r>
    </w:p>
    <w:p w14:paraId="0B998E3E">
      <w:pPr>
        <w:adjustRightInd w:val="0"/>
        <w:snapToGrid w:val="0"/>
        <w:spacing w:line="560" w:lineRule="exact"/>
        <w:ind w:firstLine="640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该项目运营期喷淋废水存于吨桶内，回用于半成品氯虫苯甲酰胺颗粒的生产，不外排；生活污水经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厂区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污水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总排口排入市政污水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管网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后由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吉林石化公司污水处理厂处理达标后排入松花江。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加强管理，确保出厂废水满足市政管网入网标准。</w:t>
      </w:r>
    </w:p>
    <w:p w14:paraId="546BDE3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cs="仿宋_GB2312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本项目运营期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主要为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混拌、挤压造粒、筛分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拆袋、投料、计量、包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装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等工序产生的废气，主要污染物为颗粒物、氨。原料及产品均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使用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带有内衬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的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包装袋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封口放置；挤压造粒工序搅拌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机上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方投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料口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、掺混工序配料机投料口各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设集气罩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；车间内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粉尘经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10个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顶吸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式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集气口收集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卧式搅拌机、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挤压造粒机、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滚筒筛、计量包装秤均采取密闭措施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收集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废气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均由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脉冲式布袋除尘+水喷淋处理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后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通过15m高排气筒排放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。加强管理，确保废气中颗粒物、氨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有组织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排放浓度满足《农药制造工业大气污染物排放标准》（GB39727-2020）表1限值要求；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厂界颗粒物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无组织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排放浓度满足《大气污染物综合排放标准》（GB16297-1996）表2无组织排放限值要求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；厂界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氨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无组织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排放浓度满足《恶臭污染物排放标准》（GB14554-93）表1二级标准限值要求。</w:t>
      </w:r>
    </w:p>
    <w:p w14:paraId="4FF681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cs="仿宋_GB2312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优先选用低噪音设备，采取有效的隔声减振措施，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生产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期间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车间密闭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。加强管理，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确保厂界噪声符合《工业企业厂界环境噪声排放标准》（GB12348-2008）中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>3类（东、南、西侧）、4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类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>（北侧）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声环境功能区限值。</w:t>
      </w:r>
    </w:p>
    <w:p w14:paraId="65C18ECF">
      <w:pPr>
        <w:pStyle w:val="1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cs="仿宋_GB2312"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严格按照有关规定，对固体废物实施分类处理、处置，做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到“减量化、资源化、无害化”，防止产生二次污染。本项目原料废包装袋暂存库房，定期由原料供应商回收；氯虫苯甲酰胺原药废包装袋、废布袋收集暂存危险废物贮存点，定期委托有资质单位处置；布袋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除尘器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收集尘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、生产车间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地面收集尘、喷淋塔集液池底泥、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检验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不合格产品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均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作为原料回用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于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半成品氯虫苯甲酰胺生产；生活垃圾集中收集后由环卫部门处理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本项目危险废物贮存执行《危险废物贮存污染控制标准》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（GB18597-2023）、《危险废物转移管理办法》；一般工业固体废物执行《一般工业固体废物贮存和填埋污染控制标准》（GB18599-2020）。</w:t>
      </w:r>
    </w:p>
    <w:p w14:paraId="51C003A0"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6.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严格落实环评报告中地下水和土壤污染防治措施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防止对地下水和土壤环境造成不利影响。厂区进行分区防渗，按照不同的防渗要求做好防渗工作。生产车间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及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仓库地面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、车间慢坡、厂区道路简单防渗；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喷淋塔集液池、事故池、危险废物贮存点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建设重点防渗，满足《石油化工工程防渗技术规范》（GB/T 50934-2013）及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《危险废物贮存污染控制标准》（GB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18597-2023）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要求。</w:t>
      </w:r>
    </w:p>
    <w:p w14:paraId="3D97F939"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7.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严格落实环评报告中的风险防范和应急措施。</w:t>
      </w:r>
      <w:r>
        <w:rPr>
          <w:rFonts w:hint="eastAsia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及时制定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污染事故防范和处理应急预案，提高事故风险防范和污染控制能力。</w:t>
      </w:r>
    </w:p>
    <w:p w14:paraId="23BF41A3"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cs="仿宋_GB2312"/>
          <w:color w:val="auto"/>
          <w:kern w:val="0"/>
          <w:sz w:val="32"/>
          <w:szCs w:val="32"/>
          <w:lang w:val="en-US" w:eastAsia="zh-CN" w:bidi="ar-SA"/>
        </w:rPr>
        <w:t>8.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企业</w:t>
      </w:r>
      <w:r>
        <w:rPr>
          <w:rFonts w:hint="eastAsia" w:cs="仿宋_GB2312"/>
          <w:color w:val="auto"/>
          <w:kern w:val="0"/>
          <w:sz w:val="32"/>
          <w:szCs w:val="32"/>
          <w:lang w:val="en-US" w:eastAsia="zh-CN" w:bidi="ar-SA"/>
        </w:rPr>
        <w:t>应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衔接排污许可证监测要求，落实监测计划，制定自行监测方案。</w:t>
      </w:r>
    </w:p>
    <w:p w14:paraId="7FBDFA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三、建设项目的环境影响评价文件经批准后，建设项目的性质、规模、地点、采用的生产工艺或者防治污染、防止生态破坏的措施发生重大变动的，建设单位应当重新报批建设项目的环境影响评价文件。建设项目的环境影响评价文件自批准之日起超过五年，方决定该项目开工建设的，其环境影响评价文件应当重新审核。</w:t>
      </w:r>
    </w:p>
    <w:p w14:paraId="5004D3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四、有机衔接环境影响评价与排污许可证申领。按照《排污许可管理办法》的要求，项目在启动生产设施或者在实际排污之前，申请并领取排污许可证，要将经批准的环境影响评价文件中各项环境保护措施、污染物排放清单及其他有关内容载入排污许可证，并按证排污。</w:t>
      </w:r>
    </w:p>
    <w:p w14:paraId="304B8B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五、项目建设要严格执行配套建设的环境保护设施与主体工程同时设计、同时施工、同时投入使用的环境保护“三同时”制度。项目竣工后，建设单位按规定程序进行环保设施竣工验收。验收合格后，项目方可正式投入运行。</w:t>
      </w:r>
    </w:p>
    <w:p w14:paraId="76BCE9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六、由吉林市生态环境保护综合行政执法支队龙潭大队负责按照《建设项目环境保护事中事后监督管理办法（试行）》（环发〔2015〕163号）的规定，进行本建设项目事中事后的环境监督管理工作。</w:t>
      </w:r>
    </w:p>
    <w:p w14:paraId="697062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0515CD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0CF582E7"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0AB278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吉林市生态环境局</w:t>
      </w:r>
    </w:p>
    <w:p w14:paraId="6111BB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exact"/>
        <w:ind w:firstLine="4800" w:firstLineChars="15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</w:t>
      </w:r>
      <w:r>
        <w:rPr>
          <w:rFonts w:hint="eastAsia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cs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cs="仿宋_GB2312"/>
          <w:sz w:val="32"/>
          <w:szCs w:val="32"/>
          <w:lang w:val="en-US" w:eastAsia="zh-CN"/>
        </w:rPr>
        <w:t xml:space="preserve">       </w:t>
      </w:r>
    </w:p>
    <w:tbl>
      <w:tblPr>
        <w:tblStyle w:val="19"/>
        <w:tblpPr w:vertAnchor="page" w:horzAnchor="page" w:tblpX="1642" w:tblpY="14105"/>
        <w:tblOverlap w:val="never"/>
        <w:tblW w:w="8861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30"/>
        <w:gridCol w:w="4431"/>
      </w:tblGrid>
      <w:tr w14:paraId="025EA69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  <w:tblHeader/>
        </w:trPr>
        <w:tc>
          <w:tcPr>
            <w:tcW w:w="8861" w:type="dxa"/>
            <w:gridSpan w:val="2"/>
            <w:shd w:val="clear" w:color="auto" w:fill="auto"/>
          </w:tcPr>
          <w:p w14:paraId="1EE383A6">
            <w:pPr>
              <w:ind w:left="1160" w:leftChars="100" w:hanging="840" w:hangingChars="3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抄送：吉林市生态环境保护综合行政执法支队龙潭大队</w:t>
            </w:r>
          </w:p>
        </w:tc>
      </w:tr>
      <w:tr w14:paraId="783A871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4430" w:type="dxa"/>
            <w:shd w:val="clear" w:color="auto" w:fill="auto"/>
          </w:tcPr>
          <w:p w14:paraId="1F13B751">
            <w:pPr>
              <w:ind w:left="0" w:leftChars="0"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吉林市生态环境局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5715</wp:posOffset>
                      </wp:positionV>
                      <wp:extent cx="5622290" cy="0"/>
                      <wp:effectExtent l="0" t="4445" r="0" b="508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622290" cy="0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0.6pt;margin-top:0.45pt;height:0pt;width:442.7pt;z-index:251660288;mso-width-relative:page;mso-height-relative:page;" filled="f" stroked="t" coordsize="21600,21600" o:gfxdata="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SjzS+NAAAAADAQAADwAAAAAA&#10;AAABACAAAAAiAAAAZHJzL2Rvd25yZXYueG1sUEsBAhQAFAAAAAgAh07iQEbxpi3iAQAAsQMAAA4A&#10;AAAAAAAAAQAgAAAAHwEAAGRycy9lMm9Eb2MueG1sUEsFBgAAAAAGAAYAWQEAAHMFAAAAAA=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4431" w:type="dxa"/>
            <w:shd w:val="clear" w:color="auto" w:fill="auto"/>
          </w:tcPr>
          <w:p w14:paraId="578E20AE">
            <w:pPr>
              <w:ind w:right="320" w:rightChars="100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cs="仿宋_GB2312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cs="仿宋_GB2312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cs="仿宋_GB2312"/>
                <w:sz w:val="28"/>
                <w:szCs w:val="28"/>
                <w:lang w:val="en-US" w:eastAsia="zh-CN"/>
              </w:rPr>
              <w:t>14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日印发</w:t>
            </w:r>
          </w:p>
        </w:tc>
      </w:tr>
    </w:tbl>
    <w:p w14:paraId="45CF1575">
      <w:pPr>
        <w:keepNext w:val="0"/>
        <w:keepLines w:val="0"/>
        <w:pageBreakBefore w:val="0"/>
        <w:widowControl w:val="0"/>
        <w:tabs>
          <w:tab w:val="left" w:pos="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374A3F">
    <w:pPr>
      <w:pStyle w:val="1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0C9BF3">
                          <w:pPr>
                            <w:pStyle w:val="1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10C9BF3">
                    <w:pPr>
                      <w:pStyle w:val="1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409578"/>
    <w:multiLevelType w:val="singleLevel"/>
    <w:tmpl w:val="DD40957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1F31924"/>
    <w:multiLevelType w:val="singleLevel"/>
    <w:tmpl w:val="01F31924"/>
    <w:lvl w:ilvl="0" w:tentative="0">
      <w:start w:val="1"/>
      <w:numFmt w:val="bullet"/>
      <w:pStyle w:val="11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abstractNum w:abstractNumId="2">
    <w:nsid w:val="73E381FC"/>
    <w:multiLevelType w:val="multilevel"/>
    <w:tmpl w:val="73E381FC"/>
    <w:lvl w:ilvl="0" w:tentative="0">
      <w:start w:val="1"/>
      <w:numFmt w:val="chineseCounting"/>
      <w:pStyle w:val="2"/>
      <w:suff w:val="nothing"/>
      <w:lvlText w:val="%1、"/>
      <w:lvlJc w:val="left"/>
      <w:pPr>
        <w:tabs>
          <w:tab w:val="left" w:pos="993"/>
        </w:tabs>
        <w:ind w:left="993" w:firstLine="0"/>
      </w:pPr>
      <w:rPr>
        <w:rFonts w:hint="eastAsia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993" w:firstLine="0"/>
      </w:pPr>
      <w:rPr>
        <w:rFonts w:hint="eastAsia" w:ascii="仿宋" w:hAnsi="仿宋" w:eastAsia="仿宋" w:cs="宋体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993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suff w:val="nothing"/>
      <w:lvlText w:val="（%4）"/>
      <w:lvlJc w:val="left"/>
      <w:pPr>
        <w:ind w:left="1017" w:firstLine="402"/>
      </w:pPr>
      <w:rPr>
        <w:rFonts w:hint="eastAsia" w:ascii="宋体" w:hAnsi="宋体" w:eastAsia="宋体" w:cs="宋体"/>
        <w:lang w:val="en-US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993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993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993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993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993" w:firstLine="402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5MzViOWI5ODMxNmU1MjFmZjY5NjVlZTE5M2Q2YjUifQ=="/>
  </w:docVars>
  <w:rsids>
    <w:rsidRoot w:val="535011CF"/>
    <w:rsid w:val="01215C29"/>
    <w:rsid w:val="01A3393E"/>
    <w:rsid w:val="0206367E"/>
    <w:rsid w:val="024D21D6"/>
    <w:rsid w:val="03D00D15"/>
    <w:rsid w:val="05852631"/>
    <w:rsid w:val="05FA69FC"/>
    <w:rsid w:val="0654048B"/>
    <w:rsid w:val="07264286"/>
    <w:rsid w:val="07542310"/>
    <w:rsid w:val="08EA2658"/>
    <w:rsid w:val="09674B56"/>
    <w:rsid w:val="0A094D1A"/>
    <w:rsid w:val="0C091988"/>
    <w:rsid w:val="0C0A5660"/>
    <w:rsid w:val="0C7236B3"/>
    <w:rsid w:val="0D832131"/>
    <w:rsid w:val="0E102B78"/>
    <w:rsid w:val="0E7616B1"/>
    <w:rsid w:val="0ED32660"/>
    <w:rsid w:val="0EED00F2"/>
    <w:rsid w:val="0F062414"/>
    <w:rsid w:val="0F914A2F"/>
    <w:rsid w:val="0FE15608"/>
    <w:rsid w:val="116E69B0"/>
    <w:rsid w:val="121B3756"/>
    <w:rsid w:val="12270675"/>
    <w:rsid w:val="14311A36"/>
    <w:rsid w:val="14DA11F6"/>
    <w:rsid w:val="15D37529"/>
    <w:rsid w:val="160B1746"/>
    <w:rsid w:val="18381EC3"/>
    <w:rsid w:val="18527E28"/>
    <w:rsid w:val="19D8137C"/>
    <w:rsid w:val="1A50276F"/>
    <w:rsid w:val="1B1F3CE5"/>
    <w:rsid w:val="1F196F14"/>
    <w:rsid w:val="1F560908"/>
    <w:rsid w:val="204824C9"/>
    <w:rsid w:val="2155673D"/>
    <w:rsid w:val="217B49B5"/>
    <w:rsid w:val="219F54E4"/>
    <w:rsid w:val="234644E0"/>
    <w:rsid w:val="25334FFC"/>
    <w:rsid w:val="265B5142"/>
    <w:rsid w:val="26CB1A16"/>
    <w:rsid w:val="26E60F2F"/>
    <w:rsid w:val="2777171F"/>
    <w:rsid w:val="27F751B9"/>
    <w:rsid w:val="28374BF9"/>
    <w:rsid w:val="283F0D7D"/>
    <w:rsid w:val="287D7AF9"/>
    <w:rsid w:val="29F17A79"/>
    <w:rsid w:val="2A470AD5"/>
    <w:rsid w:val="2BEF7F49"/>
    <w:rsid w:val="2C3C0C5D"/>
    <w:rsid w:val="2D8F15F5"/>
    <w:rsid w:val="2DB25B9A"/>
    <w:rsid w:val="2E8A5DA3"/>
    <w:rsid w:val="2EE94141"/>
    <w:rsid w:val="310F3168"/>
    <w:rsid w:val="3111239B"/>
    <w:rsid w:val="31756882"/>
    <w:rsid w:val="34144A6C"/>
    <w:rsid w:val="349A6BF9"/>
    <w:rsid w:val="355A7EE2"/>
    <w:rsid w:val="355D1A20"/>
    <w:rsid w:val="37BC7885"/>
    <w:rsid w:val="380541CD"/>
    <w:rsid w:val="384861E1"/>
    <w:rsid w:val="38A731BC"/>
    <w:rsid w:val="38AB0E58"/>
    <w:rsid w:val="3971572F"/>
    <w:rsid w:val="39812984"/>
    <w:rsid w:val="3A4A0CD0"/>
    <w:rsid w:val="3AF143FE"/>
    <w:rsid w:val="3B164258"/>
    <w:rsid w:val="3D8E4D06"/>
    <w:rsid w:val="3E4858F6"/>
    <w:rsid w:val="3EC15C04"/>
    <w:rsid w:val="41A9101C"/>
    <w:rsid w:val="41BA47D3"/>
    <w:rsid w:val="420D6D5B"/>
    <w:rsid w:val="43080D36"/>
    <w:rsid w:val="436C03B1"/>
    <w:rsid w:val="43C4124C"/>
    <w:rsid w:val="449137C4"/>
    <w:rsid w:val="44B65B7C"/>
    <w:rsid w:val="46195EA3"/>
    <w:rsid w:val="470D55A3"/>
    <w:rsid w:val="47107A2C"/>
    <w:rsid w:val="475C3C80"/>
    <w:rsid w:val="47B02837"/>
    <w:rsid w:val="483625C8"/>
    <w:rsid w:val="49881965"/>
    <w:rsid w:val="4A797DE0"/>
    <w:rsid w:val="4A9C14F9"/>
    <w:rsid w:val="4B5A4876"/>
    <w:rsid w:val="4B701D22"/>
    <w:rsid w:val="4CDF3748"/>
    <w:rsid w:val="4D9C5088"/>
    <w:rsid w:val="50245397"/>
    <w:rsid w:val="515D3F71"/>
    <w:rsid w:val="5287425C"/>
    <w:rsid w:val="535011CF"/>
    <w:rsid w:val="539469DF"/>
    <w:rsid w:val="54697CD3"/>
    <w:rsid w:val="55641C22"/>
    <w:rsid w:val="56EE7B37"/>
    <w:rsid w:val="57576CA1"/>
    <w:rsid w:val="57582925"/>
    <w:rsid w:val="57705501"/>
    <w:rsid w:val="58C52E31"/>
    <w:rsid w:val="59260BAB"/>
    <w:rsid w:val="5A405C9C"/>
    <w:rsid w:val="5BB02058"/>
    <w:rsid w:val="5C68317F"/>
    <w:rsid w:val="5C7B276E"/>
    <w:rsid w:val="606C7D4C"/>
    <w:rsid w:val="6092490E"/>
    <w:rsid w:val="61033D11"/>
    <w:rsid w:val="61B7275D"/>
    <w:rsid w:val="621A0BB0"/>
    <w:rsid w:val="62341F48"/>
    <w:rsid w:val="6243457B"/>
    <w:rsid w:val="63A11840"/>
    <w:rsid w:val="63A41837"/>
    <w:rsid w:val="66095259"/>
    <w:rsid w:val="670A2328"/>
    <w:rsid w:val="6837620F"/>
    <w:rsid w:val="685B4774"/>
    <w:rsid w:val="6A0C6523"/>
    <w:rsid w:val="6A34183F"/>
    <w:rsid w:val="6A524E2D"/>
    <w:rsid w:val="6B5B0D2F"/>
    <w:rsid w:val="6C790329"/>
    <w:rsid w:val="6CE84093"/>
    <w:rsid w:val="6EF20EA0"/>
    <w:rsid w:val="6EFB604C"/>
    <w:rsid w:val="6F2B728F"/>
    <w:rsid w:val="70886160"/>
    <w:rsid w:val="71D80AED"/>
    <w:rsid w:val="71E3174B"/>
    <w:rsid w:val="73F12BC9"/>
    <w:rsid w:val="74745C26"/>
    <w:rsid w:val="74BA710A"/>
    <w:rsid w:val="776E39F1"/>
    <w:rsid w:val="77E77D4F"/>
    <w:rsid w:val="78125360"/>
    <w:rsid w:val="794B6ABA"/>
    <w:rsid w:val="79776DF8"/>
    <w:rsid w:val="7AF60381"/>
    <w:rsid w:val="7C1B42AF"/>
    <w:rsid w:val="7C902F6B"/>
    <w:rsid w:val="7C9F0813"/>
    <w:rsid w:val="7CBA4FE2"/>
    <w:rsid w:val="7D1363DA"/>
    <w:rsid w:val="7D461B26"/>
    <w:rsid w:val="7DCB2C23"/>
    <w:rsid w:val="7F2B0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qFormat="1"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76" w:lineRule="exact"/>
      <w:ind w:firstLine="600" w:firstLineChars="200"/>
      <w:jc w:val="both"/>
    </w:pPr>
    <w:rPr>
      <w:rFonts w:ascii="仿宋_GB2312" w:hAnsi="仿宋_GB2312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0"/>
    <w:pPr>
      <w:keepNext/>
      <w:keepLines/>
      <w:numPr>
        <w:ilvl w:val="0"/>
        <w:numId w:val="1"/>
      </w:numPr>
      <w:tabs>
        <w:tab w:val="left" w:pos="0"/>
      </w:tabs>
      <w:spacing w:line="360" w:lineRule="auto"/>
      <w:jc w:val="center"/>
      <w:outlineLvl w:val="0"/>
    </w:pPr>
    <w:rPr>
      <w:rFonts w:ascii="Calibri" w:hAnsi="Calibri" w:eastAsia="宋体"/>
      <w:b/>
      <w:kern w:val="44"/>
      <w:sz w:val="44"/>
    </w:rPr>
  </w:style>
  <w:style w:type="paragraph" w:styleId="3">
    <w:name w:val="heading 2"/>
    <w:basedOn w:val="1"/>
    <w:next w:val="1"/>
    <w:link w:val="22"/>
    <w:semiHidden/>
    <w:unhideWhenUsed/>
    <w:qFormat/>
    <w:uiPriority w:val="0"/>
    <w:pPr>
      <w:keepNext/>
      <w:keepLines/>
      <w:numPr>
        <w:ilvl w:val="1"/>
        <w:numId w:val="1"/>
      </w:numPr>
      <w:spacing w:before="260" w:after="260" w:line="412" w:lineRule="auto"/>
      <w:ind w:left="993"/>
      <w:jc w:val="left"/>
      <w:outlineLvl w:val="1"/>
    </w:pPr>
    <w:rPr>
      <w:rFonts w:ascii="Arial" w:hAnsi="Arial" w:eastAsia="宋体" w:cs="Times New Roman"/>
      <w:b/>
      <w:bCs/>
      <w:sz w:val="28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left="993" w:firstLine="400"/>
      <w:outlineLvl w:val="2"/>
    </w:pPr>
    <w:rPr>
      <w:b/>
      <w:sz w:val="32"/>
    </w:rPr>
  </w:style>
  <w:style w:type="character" w:default="1" w:styleId="20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6"/>
    <w:qFormat/>
    <w:uiPriority w:val="0"/>
    <w:pPr>
      <w:ind w:firstLine="420"/>
    </w:pPr>
    <w:rPr>
      <w:rFonts w:ascii="宋体" w:hAnsi="宋体"/>
      <w:szCs w:val="20"/>
    </w:rPr>
  </w:style>
  <w:style w:type="paragraph" w:customStyle="1" w:styleId="6">
    <w:name w:val="表头"/>
    <w:basedOn w:val="7"/>
    <w:next w:val="1"/>
    <w:qFormat/>
    <w:uiPriority w:val="0"/>
    <w:pPr>
      <w:jc w:val="center"/>
    </w:pPr>
    <w:rPr>
      <w:rFonts w:ascii="黑体" w:eastAsia="黑体"/>
      <w:spacing w:val="5"/>
      <w:szCs w:val="20"/>
      <w:lang w:val="en-GB"/>
    </w:rPr>
  </w:style>
  <w:style w:type="paragraph" w:styleId="7">
    <w:name w:val="List"/>
    <w:basedOn w:val="1"/>
    <w:next w:val="1"/>
    <w:qFormat/>
    <w:uiPriority w:val="0"/>
    <w:pPr>
      <w:ind w:left="200" w:hanging="200" w:hangingChars="200"/>
    </w:pPr>
  </w:style>
  <w:style w:type="paragraph" w:styleId="8">
    <w:name w:val="annotation text"/>
    <w:basedOn w:val="1"/>
    <w:semiHidden/>
    <w:qFormat/>
    <w:uiPriority w:val="0"/>
    <w:pPr>
      <w:jc w:val="left"/>
    </w:pPr>
    <w:rPr>
      <w:kern w:val="0"/>
      <w:sz w:val="24"/>
      <w:szCs w:val="20"/>
    </w:rPr>
  </w:style>
  <w:style w:type="paragraph" w:styleId="9">
    <w:name w:val="Body Text"/>
    <w:basedOn w:val="1"/>
    <w:next w:val="10"/>
    <w:qFormat/>
    <w:uiPriority w:val="0"/>
    <w:rPr>
      <w:sz w:val="28"/>
    </w:rPr>
  </w:style>
  <w:style w:type="paragraph" w:styleId="10">
    <w:name w:val="toc 1"/>
    <w:basedOn w:val="1"/>
    <w:next w:val="1"/>
    <w:qFormat/>
    <w:uiPriority w:val="0"/>
  </w:style>
  <w:style w:type="paragraph" w:styleId="11">
    <w:name w:val="List Bullet 5"/>
    <w:basedOn w:val="1"/>
    <w:qFormat/>
    <w:uiPriority w:val="0"/>
    <w:pPr>
      <w:numPr>
        <w:ilvl w:val="0"/>
        <w:numId w:val="2"/>
      </w:numPr>
    </w:pPr>
  </w:style>
  <w:style w:type="paragraph" w:styleId="12">
    <w:name w:val="Date"/>
    <w:basedOn w:val="1"/>
    <w:next w:val="1"/>
    <w:qFormat/>
    <w:uiPriority w:val="0"/>
    <w:pPr>
      <w:ind w:leftChars="2500"/>
    </w:pPr>
    <w:rPr>
      <w:rFonts w:eastAsia="仿宋_GB2312"/>
      <w:sz w:val="32"/>
    </w:rPr>
  </w:style>
  <w:style w:type="paragraph" w:styleId="13">
    <w:name w:val="Body Text Indent 2"/>
    <w:basedOn w:val="1"/>
    <w:next w:val="1"/>
    <w:qFormat/>
    <w:uiPriority w:val="0"/>
    <w:pPr>
      <w:spacing w:line="440" w:lineRule="exact"/>
      <w:ind w:firstLine="660" w:firstLineChars="275"/>
    </w:pPr>
    <w:rPr>
      <w:sz w:val="24"/>
    </w:rPr>
  </w:style>
  <w:style w:type="paragraph" w:styleId="1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6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17">
    <w:name w:val="toc 2"/>
    <w:basedOn w:val="1"/>
    <w:next w:val="1"/>
    <w:qFormat/>
    <w:uiPriority w:val="0"/>
    <w:pPr>
      <w:ind w:left="420" w:leftChars="200"/>
    </w:pPr>
  </w:style>
  <w:style w:type="table" w:styleId="19">
    <w:name w:val="Table Grid"/>
    <w:basedOn w:val="18"/>
    <w:qFormat/>
    <w:uiPriority w:val="39"/>
    <w:rPr>
      <w:rFonts w:ascii="Times New Roman" w:hAnsi="Times New Roman" w:eastAsia="宋体"/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57" w:type="dxa"/>
        <w:bottom w:w="57" w:type="dxa"/>
      </w:tblCellMar>
    </w:tblPr>
    <w:tblStylePr w:type="firstRow">
      <w:tblPr/>
      <w:trPr>
        <w:tblHeader/>
      </w:trPr>
      <w:tcPr>
        <w:shd w:val="clear" w:color="auto" w:fill="D8D8D8" w:themeFill="background1" w:themeFillShade="D9"/>
      </w:tcPr>
    </w:tblStylePr>
  </w:style>
  <w:style w:type="paragraph" w:customStyle="1" w:styleId="21">
    <w:name w:val="样式 正文11 + 首行缩进:  2 字符"/>
    <w:basedOn w:val="1"/>
    <w:qFormat/>
    <w:uiPriority w:val="0"/>
    <w:pPr>
      <w:spacing w:line="500" w:lineRule="exact"/>
      <w:ind w:firstLine="560" w:firstLineChars="200"/>
    </w:pPr>
    <w:rPr>
      <w:rFonts w:ascii="宋体" w:hAnsi="宋体" w:cs="宋体"/>
      <w:color w:val="FF0000"/>
      <w:sz w:val="28"/>
      <w:szCs w:val="20"/>
    </w:rPr>
  </w:style>
  <w:style w:type="character" w:customStyle="1" w:styleId="22">
    <w:name w:val="标题 2 Char"/>
    <w:link w:val="3"/>
    <w:qFormat/>
    <w:locked/>
    <w:uiPriority w:val="99"/>
    <w:rPr>
      <w:rFonts w:ascii="Arial" w:hAnsi="Arial" w:eastAsia="宋体" w:cs="Times New Roman"/>
      <w:b/>
      <w:bCs/>
      <w:sz w:val="28"/>
      <w:szCs w:val="32"/>
    </w:rPr>
  </w:style>
  <w:style w:type="character" w:customStyle="1" w:styleId="23">
    <w:name w:val="标题 1 Char"/>
    <w:link w:val="2"/>
    <w:qFormat/>
    <w:locked/>
    <w:uiPriority w:val="99"/>
    <w:rPr>
      <w:rFonts w:ascii="Calibri" w:hAnsi="Calibri" w:eastAsia="宋体"/>
      <w:b/>
      <w:kern w:val="44"/>
      <w:sz w:val="44"/>
      <w:szCs w:val="24"/>
      <w:lang w:bidi="ar-SA"/>
    </w:rPr>
  </w:style>
  <w:style w:type="paragraph" w:customStyle="1" w:styleId="24">
    <w:name w:val="Default"/>
    <w:basedOn w:val="1"/>
    <w:qFormat/>
    <w:uiPriority w:val="0"/>
    <w:pPr>
      <w:autoSpaceDE w:val="0"/>
      <w:autoSpaceDN w:val="0"/>
      <w:jc w:val="left"/>
    </w:pPr>
    <w:rPr>
      <w:rFonts w:hint="eastAsia" w:ascii="宋体" w:eastAsia="宋体" w:cs="Times New Roman"/>
      <w:color w:val="000000"/>
      <w:kern w:val="0"/>
      <w:sz w:val="24"/>
    </w:rPr>
  </w:style>
  <w:style w:type="paragraph" w:customStyle="1" w:styleId="25">
    <w:name w:val="环保表内字（小五）"/>
    <w:basedOn w:val="1"/>
    <w:qFormat/>
    <w:uiPriority w:val="0"/>
    <w:pPr>
      <w:adjustRightInd w:val="0"/>
      <w:snapToGrid w:val="0"/>
      <w:jc w:val="center"/>
    </w:pPr>
    <w:rPr>
      <w:rFonts w:ascii="宋体" w:hAnsi="宋体"/>
      <w:snapToGrid w:val="0"/>
      <w:sz w:val="18"/>
      <w:szCs w:val="20"/>
    </w:rPr>
  </w:style>
  <w:style w:type="paragraph" w:customStyle="1" w:styleId="26">
    <w:name w:val="正文文本1"/>
    <w:basedOn w:val="1"/>
    <w:qFormat/>
    <w:uiPriority w:val="0"/>
    <w:pPr>
      <w:spacing w:line="500" w:lineRule="exact"/>
    </w:pPr>
    <w:rPr>
      <w:rFonts w:ascii="宋体" w:hAnsi="宋体"/>
      <w:sz w:val="28"/>
    </w:rPr>
  </w:style>
  <w:style w:type="paragraph" w:customStyle="1" w:styleId="27">
    <w:name w:val="环保-正文内容"/>
    <w:basedOn w:val="1"/>
    <w:next w:val="1"/>
    <w:qFormat/>
    <w:uiPriority w:val="0"/>
    <w:pPr>
      <w:keepNext w:val="0"/>
      <w:keepLines w:val="0"/>
      <w:widowControl w:val="0"/>
      <w:suppressLineNumbers w:val="0"/>
      <w:adjustRightInd w:val="0"/>
      <w:snapToGrid w:val="0"/>
      <w:spacing w:before="0" w:beforeAutospacing="0" w:after="0" w:afterAutospacing="0" w:line="360" w:lineRule="auto"/>
      <w:ind w:left="0" w:right="0" w:firstLine="200" w:firstLineChars="200"/>
      <w:jc w:val="both"/>
    </w:pPr>
    <w:rPr>
      <w:rFonts w:ascii="Times New Roman" w:hAnsi="Times New Roman" w:eastAsia="宋体" w:cs="宋体"/>
      <w:sz w:val="24"/>
      <w:lang w:bidi="ar"/>
    </w:rPr>
  </w:style>
  <w:style w:type="paragraph" w:customStyle="1" w:styleId="28">
    <w:name w:val="表格下方正文"/>
    <w:basedOn w:val="1"/>
    <w:qFormat/>
    <w:uiPriority w:val="0"/>
    <w:pPr>
      <w:spacing w:before="400" w:line="460" w:lineRule="exact"/>
      <w:ind w:firstLine="200" w:firstLineChars="200"/>
    </w:pPr>
  </w:style>
  <w:style w:type="paragraph" w:customStyle="1" w:styleId="29">
    <w:name w:val="样式2"/>
    <w:basedOn w:val="30"/>
    <w:qFormat/>
    <w:uiPriority w:val="0"/>
    <w:pPr>
      <w:tabs>
        <w:tab w:val="right" w:leader="dot" w:pos="8607"/>
        <w:tab w:val="right" w:leader="dot" w:pos="8891"/>
      </w:tabs>
      <w:ind w:left="105" w:leftChars="50" w:firstLine="0" w:firstLineChars="0"/>
    </w:pPr>
    <w:rPr>
      <w:b/>
    </w:rPr>
  </w:style>
  <w:style w:type="paragraph" w:customStyle="1" w:styleId="30">
    <w:name w:val="样式1"/>
    <w:basedOn w:val="5"/>
    <w:qFormat/>
    <w:uiPriority w:val="0"/>
    <w:pPr>
      <w:tabs>
        <w:tab w:val="right" w:leader="dot" w:pos="8607"/>
        <w:tab w:val="right" w:leader="dot" w:pos="8891"/>
      </w:tabs>
      <w:spacing w:line="360" w:lineRule="auto"/>
      <w:ind w:firstLine="482" w:firstLineChars="200"/>
      <w:jc w:val="left"/>
    </w:pPr>
    <w:rPr>
      <w:rFonts w:ascii="Times New Roman" w:hAnsi="Times New Roman" w:eastAsia="宋体"/>
      <w:sz w:val="24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c5abfb47-671b-4497-ab75-a0b0bc7b0224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604140CD</paraID>
      <start>0</start>
      <end>2</end>
      <status>modified</status>
      <modifiedWord>1.</modifiedWord>
      <trackRevisions>false</trackRevisions>
    </reviewItem>
    <reviewItem>
      <errorID>c5341b9b-c2d7-4b8e-a193-347beeea27b1</errorID>
      <errorWord>生活污水生活污水</errorWord>
      <group>L1_Word</group>
      <groupName>字词问题</groupName>
      <ability>L2_Typo</ability>
      <abilityName>字词错误</abilityName>
      <candidateList>
        <item>生活污水</item>
      </candidateList>
      <explain/>
      <paraID>604140CD</paraID>
      <start>19</start>
      <end>23</end>
      <status>modified</status>
      <modifiedWord>生活污水</modifiedWord>
      <trackRevisions>false</trackRevisions>
    </reviewItem>
    <reviewItem>
      <errorID>83eceb46-a610-4b1c-a57b-7524873b442f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B998E3E</paraID>
      <start>0</start>
      <end>2</end>
      <status>modified</status>
      <modifiedWord>2.</modifiedWord>
      <trackRevisions>false</trackRevisions>
    </reviewItem>
    <reviewItem>
      <errorID>d3b85547-9233-4381-9360-4392eb8ca38b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546BDE37</paraID>
      <start>0</start>
      <end>2</end>
      <status>modified</status>
      <modifiedWord>3.</modifiedWord>
      <trackRevisions>false</trackRevisions>
    </reviewItem>
    <reviewItem>
      <errorID>6231ab28-47c9-4fdd-a866-98ce6f7648b0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4FF68191</paraID>
      <start>0</start>
      <end>2</end>
      <status>modified</status>
      <modifiedWord>4.</modifiedWord>
      <trackRevisions>false</trackRevisions>
    </reviewItem>
    <reviewItem>
      <errorID>249062ff-a1c2-470b-849e-7665d4926268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65C18ECF</paraID>
      <start>0</start>
      <end>2</end>
      <status>modified</status>
      <modifiedWord>5.</modifiedWord>
      <trackRevisions>false</trackRevisions>
    </reviewItem>
    <reviewItem>
      <errorID>36d8ed63-602c-4744-a54e-789fb5a99380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51C003A0</paraID>
      <start>0</start>
      <end>2</end>
      <status>modified</status>
      <modifiedWord>6.</modifiedWord>
      <trackRevisions>false</trackRevisions>
    </reviewItem>
    <reviewItem>
      <errorID>00e1254a-287f-4258-bbbd-df8ee85e233d</errorID>
      <errorWord>7、</errorWord>
      <group>L1_Format</group>
      <groupName>格式问题</groupName>
      <ability>L2_Ordinal</ability>
      <abilityName>序号格式</abilityName>
      <candidateList>
        <item>7.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3D97F939</paraID>
      <start>0</start>
      <end>2</end>
      <status>modified</status>
      <modifiedWord>7.</modifiedWord>
      <trackRevisions>false</trackRevisions>
    </reviewItem>
    <reviewItem>
      <errorID>e9f151e7-184b-4f36-8dda-1a98645b5f3e</errorID>
      <errorWord>8、</errorWord>
      <group>L1_Format</group>
      <groupName>格式问题</groupName>
      <ability>L2_Ordinal</ability>
      <abilityName>序号格式</abilityName>
      <candidateList>
        <item>8.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23BF41A3</paraID>
      <start>0</start>
      <end>2</end>
      <status>modified</status>
      <modifiedWord>8.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cd7d73-38de-4fd5-80d6-472bc9bd679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2486</Words>
  <Characters>2669</Characters>
  <Lines>0</Lines>
  <Paragraphs>0</Paragraphs>
  <TotalTime>2</TotalTime>
  <ScaleCrop>false</ScaleCrop>
  <LinksUpToDate>false</LinksUpToDate>
  <CharactersWithSpaces>2693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2022-08-19T03:38:00Z</dcterms:created>
  <dc:creator>优印图文1</dc:creator>
  <cp:lastModifiedBy>W琪</cp:lastModifiedBy>
  <cp:lastPrinted>2026-04-14T00:44:00Z</cp:lastPrinted>
  <dcterms:modified xsi:type="dcterms:W3CDTF">2026-04-14T00:58:44Z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4268B33E316A41E99EAF337149F9ECA8_13</vt:lpwstr>
  </property>
  <property fmtid="{D5CDD505-2E9C-101B-9397-08002B2CF9AE}" pid="4" name="KSOTemplateDocerSaveRecord">
    <vt:lpwstr>eyJoZGlkIjoiMDc5MzViOWI5ODMxNmU1MjFmZjY5NjVlZTE5M2Q2YjUiLCJ1c2VySWQiOiIzNDEzNjc4NTYifQ==</vt:lpwstr>
  </property>
</Properties>
</file>