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spacing w:line="560" w:lineRule="exact"/>
        <w:jc w:val="center"/>
        <w:rPr>
          <w:rFonts w:hint="eastAsia" w:ascii="΢���ź�" w:hAnsi="΢���ź�" w:eastAsia="宋体" w:cs="宋体"/>
          <w:b/>
          <w:color w:val="000000" w:themeColor="text1"/>
          <w:kern w:val="0"/>
          <w:sz w:val="44"/>
          <w:szCs w:val="44"/>
          <w:lang w:eastAsia="zh-CN"/>
        </w:rPr>
      </w:pPr>
      <w:r>
        <w:rPr>
          <w:rFonts w:hint="eastAsia" w:ascii="΢���ź�" w:hAnsi="΢���ź�" w:cs="宋体"/>
          <w:b/>
          <w:color w:val="000000" w:themeColor="text1"/>
          <w:kern w:val="0"/>
          <w:sz w:val="44"/>
          <w:szCs w:val="44"/>
          <w:lang w:eastAsia="zh-CN"/>
        </w:rPr>
        <w:t>关于规范</w:t>
      </w:r>
      <w:r>
        <w:rPr>
          <w:rFonts w:hint="eastAsia" w:ascii="΢���ź�" w:hAnsi="΢���ź�" w:cs="宋体"/>
          <w:b/>
          <w:color w:val="000000" w:themeColor="text1"/>
          <w:kern w:val="0"/>
          <w:sz w:val="44"/>
          <w:szCs w:val="44"/>
        </w:rPr>
        <w:t>吉林</w:t>
      </w:r>
      <w:r>
        <w:rPr>
          <w:rFonts w:ascii="΢���ź�" w:hAnsi="΢���ź�" w:cs="宋体"/>
          <w:b/>
          <w:color w:val="000000" w:themeColor="text1"/>
          <w:kern w:val="0"/>
          <w:sz w:val="44"/>
          <w:szCs w:val="44"/>
        </w:rPr>
        <w:t>市</w:t>
      </w:r>
      <w:r>
        <w:rPr>
          <w:rFonts w:hint="eastAsia" w:ascii="΢���ź�" w:hAnsi="΢���ź�" w:cs="宋体"/>
          <w:b/>
          <w:color w:val="000000" w:themeColor="text1"/>
          <w:kern w:val="0"/>
          <w:sz w:val="44"/>
          <w:szCs w:val="44"/>
        </w:rPr>
        <w:t>客运船舶停靠点</w:t>
      </w:r>
      <w:r>
        <w:rPr>
          <w:rFonts w:hint="eastAsia" w:ascii="΢���ź�" w:hAnsi="΢���ź�" w:cs="宋体"/>
          <w:b/>
          <w:color w:val="000000" w:themeColor="text1"/>
          <w:kern w:val="0"/>
          <w:sz w:val="44"/>
          <w:szCs w:val="44"/>
          <w:lang w:eastAsia="zh-CN"/>
        </w:rPr>
        <w:t>有关建设管理工作的通知（征求意见稿）</w:t>
      </w:r>
    </w:p>
    <w:p>
      <w:pPr>
        <w:widowControl/>
        <w:shd w:val="clear"/>
        <w:spacing w:line="560" w:lineRule="exact"/>
        <w:ind w:firstLine="640" w:firstLineChars="200"/>
        <w:rPr>
          <w:color w:val="000000" w:themeColor="text1"/>
          <w:sz w:val="32"/>
          <w:szCs w:val="32"/>
        </w:rPr>
      </w:pPr>
    </w:p>
    <w:p>
      <w:pPr>
        <w:widowControl/>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为扎实推进平安交通建设，规范港区外水路客运船舶停靠点管理（以下简称“停靠点”），维护水路运输市场秩序，保障水路客运安全，根据《中华人民共和国安全生产法》《中华人民共和国内河交通安全管理条例》等法律法规和《交通运输部办公厅印发关于规范水路客运船舶船岸靠泊问题的通知》（交办水函〔2023〕492号）要求，结合本市实际，现就港区外水路客运船舶停靠点管理，制定本</w:t>
      </w:r>
      <w:r>
        <w:rPr>
          <w:rFonts w:hint="eastAsia" w:ascii="仿宋" w:hAnsi="仿宋" w:eastAsia="仿宋" w:cs="仿宋"/>
          <w:color w:val="000000" w:themeColor="text1"/>
          <w:sz w:val="32"/>
          <w:szCs w:val="32"/>
          <w:lang w:eastAsia="zh-CN"/>
        </w:rPr>
        <w:t>通知</w:t>
      </w:r>
      <w:r>
        <w:rPr>
          <w:rFonts w:hint="eastAsia" w:ascii="仿宋" w:hAnsi="仿宋" w:eastAsia="仿宋" w:cs="仿宋"/>
          <w:color w:val="000000" w:themeColor="text1"/>
          <w:sz w:val="32"/>
          <w:szCs w:val="32"/>
        </w:rPr>
        <w:t>。</w:t>
      </w:r>
    </w:p>
    <w:p>
      <w:pPr>
        <w:pStyle w:val="7"/>
        <w:widowControl/>
        <w:shd w:val="clear"/>
        <w:spacing w:line="560" w:lineRule="exact"/>
        <w:ind w:left="420" w:leftChars="200" w:firstLine="320" w:firstLineChars="100"/>
        <w:rPr>
          <w:rFonts w:ascii="黑体" w:hAnsi="黑体" w:eastAsia="黑体" w:cs="黑体"/>
          <w:color w:val="000000" w:themeColor="text1"/>
          <w:sz w:val="32"/>
          <w:szCs w:val="32"/>
        </w:rPr>
      </w:pPr>
      <w:r>
        <w:rPr>
          <w:rFonts w:hint="eastAsia" w:ascii="黑体" w:hAnsi="黑体" w:eastAsia="黑体" w:cs="黑体"/>
          <w:color w:val="000000" w:themeColor="text1"/>
          <w:sz w:val="32"/>
          <w:szCs w:val="32"/>
          <w:lang w:eastAsia="zh-CN"/>
        </w:rPr>
        <w:t>一</w:t>
      </w:r>
      <w:r>
        <w:rPr>
          <w:rFonts w:hint="eastAsia" w:ascii="黑体" w:hAnsi="黑体" w:eastAsia="黑体" w:cs="黑体"/>
          <w:color w:val="000000" w:themeColor="text1"/>
          <w:sz w:val="32"/>
          <w:szCs w:val="32"/>
        </w:rPr>
        <w:t>、适用范围</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本</w:t>
      </w:r>
      <w:r>
        <w:rPr>
          <w:rFonts w:hint="eastAsia" w:ascii="仿宋" w:hAnsi="仿宋" w:eastAsia="仿宋" w:cs="仿宋"/>
          <w:color w:val="000000" w:themeColor="text1"/>
          <w:sz w:val="32"/>
          <w:szCs w:val="32"/>
          <w:lang w:eastAsia="zh-CN"/>
        </w:rPr>
        <w:t>通知中所指的</w:t>
      </w:r>
      <w:r>
        <w:rPr>
          <w:rFonts w:hint="eastAsia" w:ascii="仿宋" w:hAnsi="仿宋" w:eastAsia="仿宋" w:cs="仿宋"/>
          <w:color w:val="000000" w:themeColor="text1"/>
          <w:sz w:val="32"/>
          <w:szCs w:val="32"/>
        </w:rPr>
        <w:t>“停靠点”</w:t>
      </w:r>
      <w:r>
        <w:rPr>
          <w:rFonts w:hint="eastAsia" w:ascii="仿宋" w:hAnsi="仿宋" w:eastAsia="仿宋" w:cs="仿宋"/>
          <w:color w:val="000000" w:themeColor="text1"/>
          <w:sz w:val="32"/>
          <w:szCs w:val="32"/>
          <w:lang w:eastAsia="zh-CN"/>
        </w:rPr>
        <w:t>是指</w:t>
      </w:r>
      <w:r>
        <w:rPr>
          <w:rFonts w:hint="eastAsia" w:ascii="仿宋" w:hAnsi="仿宋" w:eastAsia="仿宋" w:cs="仿宋"/>
          <w:color w:val="000000" w:themeColor="text1"/>
          <w:sz w:val="32"/>
          <w:szCs w:val="32"/>
        </w:rPr>
        <w:t>适用于全市行政区域吉林港总体规划港区以外通航水域内，符合岸线规划或县级以上人民政府布点要求，在一定水域范围内具有相应的配套设施，用于具有水路运输经营资质的客运船舶进出、停泊、靠泊和人员上下的停靠点。停靠点一般由浮趸及其他必要的配套设施组成。</w:t>
      </w:r>
    </w:p>
    <w:p>
      <w:pPr>
        <w:numPr>
          <w:ilvl w:val="0"/>
          <w:numId w:val="0"/>
        </w:numPr>
        <w:shd w:val="clear"/>
        <w:spacing w:line="560" w:lineRule="exact"/>
        <w:ind w:firstLine="640" w:firstLineChars="200"/>
        <w:rPr>
          <w:rFonts w:ascii="黑体" w:hAnsi="黑体" w:eastAsia="黑体" w:cs="黑体"/>
          <w:color w:val="000000" w:themeColor="text1"/>
          <w:sz w:val="32"/>
          <w:szCs w:val="32"/>
        </w:rPr>
      </w:pPr>
      <w:r>
        <w:rPr>
          <w:rFonts w:hint="eastAsia" w:ascii="黑体" w:hAnsi="黑体" w:eastAsia="黑体" w:cs="黑体"/>
          <w:color w:val="000000" w:themeColor="text1"/>
          <w:sz w:val="32"/>
          <w:szCs w:val="32"/>
          <w:lang w:eastAsia="zh-CN"/>
        </w:rPr>
        <w:t>二、</w:t>
      </w:r>
      <w:r>
        <w:rPr>
          <w:rFonts w:hint="eastAsia" w:ascii="黑体" w:hAnsi="黑体" w:eastAsia="黑体" w:cs="黑体"/>
          <w:color w:val="000000" w:themeColor="text1"/>
          <w:sz w:val="32"/>
          <w:szCs w:val="32"/>
        </w:rPr>
        <w:t>关于停靠点选址</w:t>
      </w:r>
    </w:p>
    <w:p>
      <w:pPr>
        <w:shd w:val="clea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（一）停靠点选址</w:t>
      </w:r>
    </w:p>
    <w:p>
      <w:pPr>
        <w:shd w:val="clear"/>
        <w:spacing w:line="560" w:lineRule="exact"/>
        <w:ind w:firstLine="646" w:firstLineChars="200"/>
        <w:rPr>
          <w:rFonts w:ascii="仿宋" w:hAnsi="仿宋" w:eastAsia="仿宋" w:cs="仿宋"/>
          <w:color w:val="000000" w:themeColor="text1"/>
          <w:sz w:val="32"/>
          <w:szCs w:val="32"/>
        </w:rPr>
      </w:pPr>
      <w:r>
        <w:rPr>
          <w:rFonts w:hint="eastAsia" w:ascii="仿宋" w:hAnsi="仿宋" w:eastAsia="仿宋" w:cs="仿宋"/>
          <w:b/>
          <w:bCs/>
          <w:color w:val="000000" w:themeColor="text1"/>
          <w:spacing w:val="1"/>
          <w:sz w:val="32"/>
          <w:szCs w:val="32"/>
        </w:rPr>
        <w:t>港口码头外设置客运船舶停靠点应当符合下列条件:</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1.停靠点的位置应符合国土空间规划、水利规划、生态环境保护和其他功能规划。</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2.选址应当在水流平缓、水深足够、坡岸稳定、视野开阔、适宜船舶停靠、方便人员上下的地点，并远离危险品生产、堆放场所及相关设施。</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3.充分考虑现有的和已规划的跨(穿)越航道、临河(湖)的建(构)筑物和水上(下)作业行为对河床冲淤和航行安全产生的不利影响。</w:t>
      </w:r>
    </w:p>
    <w:p>
      <w:pPr>
        <w:shd w:val="clear"/>
        <w:spacing w:line="56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4.具有符合规定的接岸设施、道路(引道)、标志牌等基本设施，具备人员上下的安全设施，按照规定设置视频监控等监管设施和配备救生、消防、应急通信设施。</w:t>
      </w:r>
    </w:p>
    <w:p>
      <w:pPr>
        <w:shd w:val="clear"/>
        <w:spacing w:line="56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5.符合其他满足管理要求的条件。</w:t>
      </w:r>
    </w:p>
    <w:p>
      <w:pPr>
        <w:shd w:val="clear"/>
        <w:spacing w:line="56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申请人应当递交书面申请，书面材料应当包括申请人基本概况，拟选址位置、土地情况、周边情况，拟建设接岸设施的规模、用途、结构型式、费用估算、使用管理模式等必要信息。</w:t>
      </w:r>
    </w:p>
    <w:p>
      <w:pPr>
        <w:numPr>
          <w:ilvl w:val="0"/>
          <w:numId w:val="1"/>
        </w:numPr>
        <w:shd w:val="clear"/>
        <w:spacing w:line="560" w:lineRule="exact"/>
        <w:ind w:firstLine="640" w:firstLineChars="200"/>
        <w:rPr>
          <w:rFonts w:ascii="楷体" w:hAnsi="楷体" w:eastAsia="楷体" w:cs="楷体"/>
          <w:color w:val="auto"/>
          <w:sz w:val="32"/>
          <w:szCs w:val="32"/>
        </w:rPr>
      </w:pPr>
      <w:r>
        <w:rPr>
          <w:rFonts w:hint="eastAsia" w:ascii="楷体" w:hAnsi="楷体" w:eastAsia="楷体" w:cs="楷体"/>
          <w:color w:val="auto"/>
          <w:sz w:val="32"/>
          <w:szCs w:val="32"/>
        </w:rPr>
        <w:t>选址</w:t>
      </w:r>
      <w:r>
        <w:rPr>
          <w:rFonts w:ascii="楷体" w:hAnsi="楷体" w:eastAsia="楷体" w:cs="楷体"/>
          <w:color w:val="auto"/>
          <w:sz w:val="32"/>
          <w:szCs w:val="32"/>
          <w:lang w:val="en"/>
        </w:rPr>
        <w:t>的</w:t>
      </w:r>
      <w:r>
        <w:rPr>
          <w:rFonts w:hint="eastAsia" w:ascii="楷体" w:hAnsi="楷体" w:eastAsia="楷体" w:cs="楷体"/>
          <w:color w:val="auto"/>
          <w:sz w:val="32"/>
          <w:szCs w:val="32"/>
        </w:rPr>
        <w:t>通航水域岸线安全使用许可批准</w:t>
      </w:r>
    </w:p>
    <w:p>
      <w:pPr>
        <w:shd w:val="clear"/>
        <w:spacing w:line="560" w:lineRule="exact"/>
        <w:ind w:firstLine="640" w:firstLineChars="200"/>
        <w:rPr>
          <w:rFonts w:hint="eastAsia" w:ascii="仿宋" w:hAnsi="仿宋" w:eastAsia="仿宋" w:cs="仿宋"/>
          <w:color w:val="000000" w:themeColor="text1"/>
          <w:kern w:val="2"/>
          <w:sz w:val="32"/>
          <w:szCs w:val="32"/>
          <w:lang w:val="en-US" w:eastAsia="zh-CN" w:bidi="ar-SA"/>
        </w:rPr>
      </w:pPr>
      <w:r>
        <w:rPr>
          <w:rFonts w:hint="eastAsia" w:ascii="仿宋" w:hAnsi="仿宋" w:eastAsia="仿宋" w:cs="仿宋"/>
          <w:color w:val="auto"/>
          <w:kern w:val="2"/>
          <w:sz w:val="32"/>
          <w:szCs w:val="32"/>
          <w:lang w:val="en" w:eastAsia="zh-CN" w:bidi="ar-SA"/>
        </w:rPr>
        <w:t>申请人向市级交通主管部门申请通航水域岸线安</w:t>
      </w:r>
      <w:r>
        <w:rPr>
          <w:rFonts w:hint="eastAsia" w:ascii="仿宋" w:hAnsi="仿宋" w:eastAsia="仿宋" w:cs="仿宋"/>
          <w:color w:val="000000" w:themeColor="text1"/>
          <w:kern w:val="2"/>
          <w:sz w:val="32"/>
          <w:szCs w:val="32"/>
          <w:lang w:val="en" w:eastAsia="zh-CN" w:bidi="ar-SA"/>
        </w:rPr>
        <w:t>全使用许可</w:t>
      </w:r>
      <w:r>
        <w:rPr>
          <w:rFonts w:hint="eastAsia" w:ascii="仿宋" w:hAnsi="仿宋" w:eastAsia="仿宋" w:cs="仿宋"/>
          <w:color w:val="000000" w:themeColor="text1"/>
          <w:kern w:val="2"/>
          <w:sz w:val="32"/>
          <w:szCs w:val="32"/>
          <w:lang w:val="en-US" w:eastAsia="zh-CN" w:bidi="ar-SA"/>
        </w:rPr>
        <w:t>，市级交通主管部门应当征求属地政府、水利、生态环境、林业、农业农村、规划和自然资源以及其他相关部门的意见，提出</w:t>
      </w:r>
      <w:r>
        <w:rPr>
          <w:rFonts w:hint="eastAsia" w:ascii="仿宋" w:hAnsi="仿宋" w:eastAsia="仿宋" w:cs="仿宋"/>
          <w:color w:val="000000" w:themeColor="text1"/>
          <w:kern w:val="2"/>
          <w:sz w:val="32"/>
          <w:szCs w:val="32"/>
          <w:lang w:val="en" w:eastAsia="zh-CN" w:bidi="ar-SA"/>
        </w:rPr>
        <w:t>是否</w:t>
      </w:r>
      <w:r>
        <w:rPr>
          <w:rFonts w:hint="eastAsia" w:ascii="仿宋" w:hAnsi="仿宋" w:eastAsia="仿宋" w:cs="仿宋"/>
          <w:color w:val="000000" w:themeColor="text1"/>
          <w:kern w:val="2"/>
          <w:sz w:val="32"/>
          <w:szCs w:val="32"/>
          <w:lang w:val="en-US" w:eastAsia="zh-CN" w:bidi="ar-SA"/>
        </w:rPr>
        <w:t>审</w:t>
      </w:r>
      <w:r>
        <w:rPr>
          <w:rFonts w:hint="eastAsia" w:ascii="仿宋" w:hAnsi="仿宋" w:eastAsia="仿宋" w:cs="仿宋"/>
          <w:color w:val="000000" w:themeColor="text1"/>
          <w:kern w:val="2"/>
          <w:sz w:val="32"/>
          <w:szCs w:val="32"/>
          <w:lang w:val="en" w:eastAsia="zh-CN" w:bidi="ar-SA"/>
        </w:rPr>
        <w:t>批</w:t>
      </w:r>
      <w:r>
        <w:rPr>
          <w:rFonts w:hint="eastAsia" w:ascii="仿宋" w:hAnsi="仿宋" w:eastAsia="仿宋" w:cs="仿宋"/>
          <w:color w:val="000000" w:themeColor="text1"/>
          <w:kern w:val="2"/>
          <w:sz w:val="32"/>
          <w:szCs w:val="32"/>
          <w:lang w:val="en-US" w:eastAsia="zh-CN" w:bidi="ar-SA"/>
        </w:rPr>
        <w:t>通航水域岸线安全使用许可意见。同意许可</w:t>
      </w:r>
      <w:r>
        <w:rPr>
          <w:rFonts w:hint="eastAsia" w:ascii="仿宋" w:hAnsi="仿宋" w:eastAsia="仿宋" w:cs="仿宋"/>
          <w:color w:val="000000" w:themeColor="text1"/>
          <w:kern w:val="2"/>
          <w:sz w:val="32"/>
          <w:szCs w:val="32"/>
          <w:lang w:val="en" w:eastAsia="zh-CN" w:bidi="ar-SA"/>
        </w:rPr>
        <w:t>的</w:t>
      </w:r>
      <w:r>
        <w:rPr>
          <w:rFonts w:hint="eastAsia" w:ascii="仿宋" w:hAnsi="仿宋" w:eastAsia="仿宋" w:cs="仿宋"/>
          <w:color w:val="000000" w:themeColor="text1"/>
          <w:kern w:val="2"/>
          <w:sz w:val="32"/>
          <w:szCs w:val="32"/>
          <w:lang w:val="en-US" w:eastAsia="zh-CN" w:bidi="ar-SA"/>
        </w:rPr>
        <w:t>，由申请人按规定程序开展建设前期有关审批；未经许可的，不得建设，申请人可以另行选址并重新申请。许可同意后公布。</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在港口码头外设置从事经营活动的停靠点，还应有健全的生产经营管理制度和有与经营规模、范围相适应管理人员等。</w:t>
      </w:r>
    </w:p>
    <w:p>
      <w:pPr>
        <w:shd w:val="clear"/>
        <w:spacing w:line="560" w:lineRule="exact"/>
        <w:ind w:left="1" w:right="89" w:firstLine="644" w:firstLineChars="200"/>
        <w:rPr>
          <w:rFonts w:ascii="黑体" w:hAnsi="黑体" w:eastAsia="黑体" w:cs="黑体"/>
          <w:color w:val="000000" w:themeColor="text1"/>
          <w:spacing w:val="1"/>
          <w:sz w:val="32"/>
          <w:szCs w:val="32"/>
        </w:rPr>
      </w:pPr>
      <w:r>
        <w:rPr>
          <w:rFonts w:hint="eastAsia" w:ascii="黑体" w:hAnsi="黑体" w:eastAsia="黑体" w:cs="黑体"/>
          <w:color w:val="000000" w:themeColor="text1"/>
          <w:spacing w:val="1"/>
          <w:sz w:val="32"/>
          <w:szCs w:val="32"/>
          <w:lang w:eastAsia="zh-CN"/>
        </w:rPr>
        <w:t>三</w:t>
      </w:r>
      <w:r>
        <w:rPr>
          <w:rFonts w:hint="eastAsia" w:ascii="黑体" w:hAnsi="黑体" w:eastAsia="黑体" w:cs="黑体"/>
          <w:color w:val="000000" w:themeColor="text1"/>
          <w:spacing w:val="1"/>
          <w:sz w:val="32"/>
          <w:szCs w:val="32"/>
        </w:rPr>
        <w:t>、关于停靠点建设</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新建、改建、扩建停靠点应当履行国家规定的基本建设程序，并符合国家有关设计规范和技术标准。</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新建、改建、扩建停靠点的安全设施、环保设施，必须与主体工程同时设计、同时施工、同时投入使用。</w:t>
      </w:r>
    </w:p>
    <w:p>
      <w:pPr>
        <w:shd w:val="clear"/>
        <w:spacing w:line="560" w:lineRule="exact"/>
        <w:ind w:firstLine="640" w:firstLineChars="200"/>
        <w:rPr>
          <w:rFonts w:ascii="楷体" w:hAnsi="楷体" w:eastAsia="楷体" w:cs="楷体"/>
          <w:bCs/>
          <w:color w:val="000000" w:themeColor="text1"/>
          <w:sz w:val="32"/>
          <w:szCs w:val="32"/>
        </w:rPr>
      </w:pPr>
      <w:r>
        <w:rPr>
          <w:rFonts w:hint="eastAsia" w:ascii="楷体" w:hAnsi="楷体" w:eastAsia="楷体" w:cs="楷体"/>
          <w:bCs/>
          <w:color w:val="000000" w:themeColor="text1"/>
          <w:sz w:val="32"/>
          <w:szCs w:val="32"/>
        </w:rPr>
        <w:t>(一)报批要件</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停靠点原则上按照各级相关部门管理权限办理立项、环境影响评价、行洪论证与河势稳定影响评价、航道通航条件影响评价、初步设计和施工图设计审批、水上水下活动许可、水生资源保护风险评估（如需时）等有关手续。</w:t>
      </w:r>
    </w:p>
    <w:p>
      <w:pPr>
        <w:shd w:val="clear"/>
        <w:spacing w:line="560" w:lineRule="exact"/>
        <w:ind w:firstLine="644" w:firstLineChars="200"/>
        <w:rPr>
          <w:rFonts w:ascii="仿宋" w:hAnsi="仿宋" w:eastAsia="仿宋" w:cs="仿宋"/>
          <w:color w:val="000000" w:themeColor="text1"/>
          <w:spacing w:val="5"/>
          <w:sz w:val="32"/>
          <w:szCs w:val="32"/>
        </w:rPr>
      </w:pPr>
      <w:r>
        <w:rPr>
          <w:rFonts w:hint="eastAsia" w:ascii="仿宋" w:hAnsi="仿宋" w:eastAsia="仿宋" w:cs="仿宋"/>
          <w:color w:val="000000" w:themeColor="text1"/>
          <w:spacing w:val="1"/>
          <w:sz w:val="32"/>
          <w:szCs w:val="32"/>
        </w:rPr>
        <w:t>停靠点的建设规模及工艺设计应根</w:t>
      </w:r>
      <w:r>
        <w:rPr>
          <w:rFonts w:hint="eastAsia" w:ascii="仿宋" w:hAnsi="仿宋" w:eastAsia="仿宋" w:cs="仿宋"/>
          <w:color w:val="000000" w:themeColor="text1"/>
          <w:spacing w:val="5"/>
          <w:sz w:val="32"/>
          <w:szCs w:val="32"/>
        </w:rPr>
        <w:t>据客运量、客流特性、船型、航线、航班、水位变化情况等综合确定，应当按照国家有关规定配备有效的安全、消防、救生、环保、防疫、防污染和监</w:t>
      </w:r>
      <w:r>
        <w:rPr>
          <w:rFonts w:hint="eastAsia" w:ascii="仿宋" w:hAnsi="仿宋" w:eastAsia="仿宋" w:cs="仿宋"/>
          <w:color w:val="000000" w:themeColor="text1"/>
          <w:spacing w:val="9"/>
          <w:sz w:val="32"/>
          <w:szCs w:val="32"/>
        </w:rPr>
        <w:t>控等设施设备，</w:t>
      </w:r>
      <w:r>
        <w:rPr>
          <w:rFonts w:hint="eastAsia" w:ascii="仿宋" w:hAnsi="仿宋" w:eastAsia="仿宋" w:cs="仿宋"/>
          <w:color w:val="000000" w:themeColor="text1"/>
          <w:spacing w:val="5"/>
          <w:sz w:val="32"/>
          <w:szCs w:val="32"/>
        </w:rPr>
        <w:t>充分满足客运船舶船岸停靠安全要求。</w:t>
      </w:r>
    </w:p>
    <w:p>
      <w:pPr>
        <w:shd w:val="clear"/>
        <w:spacing w:line="560" w:lineRule="exact"/>
        <w:ind w:firstLine="660" w:firstLineChars="200"/>
        <w:rPr>
          <w:rFonts w:ascii="仿宋" w:hAnsi="仿宋" w:eastAsia="仿宋" w:cs="仿宋"/>
          <w:color w:val="000000" w:themeColor="text1"/>
          <w:sz w:val="32"/>
          <w:szCs w:val="32"/>
        </w:rPr>
      </w:pPr>
      <w:r>
        <w:rPr>
          <w:rFonts w:hint="eastAsia" w:ascii="仿宋" w:hAnsi="仿宋" w:eastAsia="仿宋" w:cs="仿宋"/>
          <w:b w:val="0"/>
          <w:bCs/>
          <w:color w:val="000000" w:themeColor="text1"/>
          <w:spacing w:val="5"/>
          <w:sz w:val="32"/>
          <w:szCs w:val="32"/>
        </w:rPr>
        <w:t>浮趸还应当符合国</w:t>
      </w:r>
      <w:r>
        <w:rPr>
          <w:rFonts w:hint="eastAsia" w:ascii="仿宋" w:hAnsi="仿宋" w:eastAsia="仿宋" w:cs="仿宋"/>
          <w:color w:val="000000" w:themeColor="text1"/>
          <w:spacing w:val="5"/>
          <w:sz w:val="32"/>
          <w:szCs w:val="32"/>
        </w:rPr>
        <w:t>家有关设计规范和技术标准。</w:t>
      </w:r>
    </w:p>
    <w:p>
      <w:pPr>
        <w:shd w:val="clear"/>
        <w:spacing w:line="560" w:lineRule="exact"/>
        <w:ind w:firstLine="640" w:firstLineChars="200"/>
        <w:rPr>
          <w:rFonts w:ascii="仿宋" w:hAnsi="仿宋" w:eastAsia="仿宋" w:cs="仿宋"/>
          <w:color w:val="000000" w:themeColor="text1"/>
          <w:spacing w:val="9"/>
          <w:sz w:val="32"/>
          <w:szCs w:val="32"/>
        </w:rPr>
      </w:pPr>
      <w:r>
        <w:rPr>
          <w:rFonts w:hint="eastAsia" w:ascii="仿宋" w:hAnsi="仿宋" w:eastAsia="仿宋" w:cs="仿宋"/>
          <w:color w:val="000000" w:themeColor="text1"/>
          <w:sz w:val="32"/>
          <w:szCs w:val="32"/>
        </w:rPr>
        <w:t>夜间使用的停靠点，应当满足船舶靠离泊、人员上下船和其他相关作业的安全要求，</w:t>
      </w:r>
      <w:r>
        <w:rPr>
          <w:rFonts w:hint="eastAsia" w:ascii="仿宋" w:hAnsi="仿宋" w:eastAsia="仿宋" w:cs="仿宋"/>
          <w:color w:val="000000" w:themeColor="text1"/>
          <w:spacing w:val="9"/>
          <w:sz w:val="32"/>
          <w:szCs w:val="32"/>
        </w:rPr>
        <w:t>配备信号杆和夜间靠泊信号灯助航设施。</w:t>
      </w:r>
    </w:p>
    <w:p>
      <w:pPr>
        <w:shd w:val="clear"/>
        <w:spacing w:line="560" w:lineRule="exact"/>
        <w:ind w:firstLine="640" w:firstLineChars="200"/>
        <w:rPr>
          <w:rFonts w:ascii="楷体" w:hAnsi="楷体" w:eastAsia="楷体" w:cs="楷体"/>
          <w:bCs/>
          <w:color w:val="000000" w:themeColor="text1"/>
          <w:sz w:val="32"/>
          <w:szCs w:val="32"/>
        </w:rPr>
      </w:pPr>
      <w:r>
        <w:rPr>
          <w:rFonts w:hint="eastAsia" w:ascii="楷体" w:hAnsi="楷体" w:eastAsia="楷体" w:cs="楷体"/>
          <w:bCs/>
          <w:color w:val="000000" w:themeColor="text1"/>
          <w:sz w:val="32"/>
          <w:szCs w:val="32"/>
        </w:rPr>
        <w:t>(二)报批程序</w:t>
      </w:r>
    </w:p>
    <w:p>
      <w:pPr>
        <w:shd w:val="clear"/>
        <w:spacing w:line="56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申请人在取得选址的通航水域岸线安全使用许可后，按以下建设程序取得相关审批要件，一是发改部门立项审批。二是水管理部门行洪论证与河势稳定影响评价审批。三是航道管理部门航道通航条件影响评价审批。四是环保部门环境影响评价批准。五是市级交通主管部门初步设计和施工图设计批复、水上水下活动许可、质量监督等。</w:t>
      </w:r>
    </w:p>
    <w:p>
      <w:pPr>
        <w:shd w:val="clear"/>
        <w:tabs>
          <w:tab w:val="left" w:pos="312"/>
        </w:tabs>
        <w:spacing w:line="560" w:lineRule="exact"/>
        <w:ind w:left="640"/>
        <w:rPr>
          <w:rFonts w:ascii="楷体" w:hAnsi="楷体" w:eastAsia="楷体" w:cs="楷体"/>
          <w:bCs/>
          <w:sz w:val="32"/>
          <w:szCs w:val="32"/>
        </w:rPr>
      </w:pPr>
      <w:r>
        <w:rPr>
          <w:rFonts w:hint="eastAsia" w:ascii="楷体" w:hAnsi="楷体" w:eastAsia="楷体" w:cs="楷体"/>
          <w:bCs/>
          <w:sz w:val="32"/>
          <w:szCs w:val="32"/>
        </w:rPr>
        <w:t>(三)验收规定</w:t>
      </w:r>
    </w:p>
    <w:p>
      <w:pPr>
        <w:shd w:val="clear"/>
        <w:spacing w:line="560" w:lineRule="exact"/>
        <w:ind w:firstLine="640" w:firstLineChars="200"/>
        <w:rPr>
          <w:rFonts w:hint="eastAsia" w:ascii="仿宋" w:hAnsi="仿宋" w:eastAsia="仿宋" w:cs="仿宋"/>
          <w:color w:val="000000" w:themeColor="text1"/>
          <w:sz w:val="32"/>
          <w:szCs w:val="32"/>
          <w:lang w:eastAsia="zh-CN"/>
        </w:rPr>
      </w:pPr>
      <w:r>
        <w:rPr>
          <w:rFonts w:hint="eastAsia" w:ascii="仿宋" w:hAnsi="仿宋" w:eastAsia="仿宋" w:cs="仿宋"/>
          <w:sz w:val="32"/>
          <w:szCs w:val="32"/>
        </w:rPr>
        <w:t>停靠点建设完成后，建设单位应组织设计、施工、监理、检测等建设参与单位进行交工验收，验收合格后报所在地交通主管部门，提交竣工验收申请，由所在地交通主管部门组织相关部门进行竣工验收</w:t>
      </w:r>
      <w:r>
        <w:rPr>
          <w:rFonts w:hint="eastAsia" w:ascii="仿宋" w:hAnsi="仿宋" w:eastAsia="仿宋" w:cs="仿宋"/>
          <w:sz w:val="32"/>
          <w:szCs w:val="32"/>
          <w:lang w:eastAsia="zh-CN"/>
        </w:rPr>
        <w:t>，</w:t>
      </w:r>
      <w:r>
        <w:rPr>
          <w:rFonts w:hint="eastAsia" w:ascii="仿宋" w:hAnsi="仿宋" w:eastAsia="仿宋" w:cs="仿宋"/>
          <w:sz w:val="32"/>
          <w:szCs w:val="32"/>
        </w:rPr>
        <w:t>合格后</w:t>
      </w:r>
      <w:r>
        <w:rPr>
          <w:rFonts w:hint="eastAsia" w:ascii="仿宋" w:hAnsi="仿宋" w:eastAsia="仿宋" w:cs="仿宋"/>
          <w:color w:val="000000" w:themeColor="text1"/>
          <w:sz w:val="32"/>
          <w:szCs w:val="32"/>
        </w:rPr>
        <w:t>方能投入使用。</w:t>
      </w:r>
      <w:r>
        <w:rPr>
          <w:rFonts w:hint="eastAsia" w:ascii="仿宋" w:hAnsi="仿宋" w:eastAsia="仿宋" w:cs="仿宋"/>
          <w:color w:val="000000" w:themeColor="text1"/>
          <w:sz w:val="32"/>
          <w:szCs w:val="32"/>
          <w:lang w:eastAsia="zh-CN"/>
        </w:rPr>
        <w:t>在验收合格后，将验收材料复印件报送至市级交通运输行政主管部门。</w:t>
      </w:r>
    </w:p>
    <w:p>
      <w:pPr>
        <w:shd w:val="clear"/>
        <w:spacing w:line="560" w:lineRule="exact"/>
        <w:ind w:firstLine="640" w:firstLineChars="200"/>
        <w:rPr>
          <w:rFonts w:hint="eastAsia" w:ascii="仿宋" w:hAnsi="仿宋" w:eastAsia="仿宋" w:cs="仿宋"/>
          <w:color w:val="000000" w:themeColor="text1"/>
          <w:sz w:val="32"/>
          <w:szCs w:val="32"/>
          <w:lang w:eastAsia="zh-CN"/>
        </w:rPr>
      </w:pPr>
      <w:r>
        <w:rPr>
          <w:rFonts w:hint="eastAsia" w:ascii="仿宋" w:hAnsi="仿宋" w:eastAsia="仿宋" w:cs="仿宋"/>
          <w:color w:val="000000" w:themeColor="text1"/>
          <w:sz w:val="32"/>
          <w:szCs w:val="32"/>
        </w:rPr>
        <w:t>已经存在的可供客运船舶靠泊的停靠点，建设或管理单位</w:t>
      </w:r>
      <w:r>
        <w:rPr>
          <w:rFonts w:hint="eastAsia" w:ascii="仿宋" w:hAnsi="仿宋" w:eastAsia="仿宋" w:cs="仿宋"/>
          <w:color w:val="auto"/>
          <w:sz w:val="32"/>
          <w:szCs w:val="32"/>
          <w:lang w:eastAsia="zh-CN"/>
        </w:rPr>
        <w:t>应当</w:t>
      </w:r>
      <w:r>
        <w:rPr>
          <w:rFonts w:hint="eastAsia" w:ascii="仿宋" w:hAnsi="仿宋" w:eastAsia="仿宋" w:cs="仿宋"/>
          <w:color w:val="000000" w:themeColor="text1"/>
          <w:sz w:val="32"/>
          <w:szCs w:val="32"/>
        </w:rPr>
        <w:t>开展综合评估，包括使用的规范性、运营的安全性、配套设施的适用性等方面，形成包括相应的证明文件、安全现状评价报告等在内的评估材料，其中安全现状评价报告应当通过专家评审。综合评估完成后，建设或管理单位应当将原始资料、评估材料、评估结论等提交所在县级交通</w:t>
      </w:r>
      <w:r>
        <w:rPr>
          <w:rFonts w:hint="eastAsia" w:ascii="仿宋" w:hAnsi="仿宋" w:eastAsia="仿宋" w:cs="仿宋"/>
          <w:color w:val="000000" w:themeColor="text1"/>
          <w:sz w:val="32"/>
          <w:szCs w:val="32"/>
          <w:lang w:eastAsia="zh-CN"/>
        </w:rPr>
        <w:t>运输行政</w:t>
      </w:r>
      <w:r>
        <w:rPr>
          <w:rFonts w:hint="eastAsia" w:ascii="仿宋" w:hAnsi="仿宋" w:eastAsia="仿宋" w:cs="仿宋"/>
          <w:color w:val="000000" w:themeColor="text1"/>
          <w:sz w:val="32"/>
          <w:szCs w:val="32"/>
        </w:rPr>
        <w:t>主管部门进行审核。审核通过的</w:t>
      </w:r>
      <w:r>
        <w:rPr>
          <w:rFonts w:hint="eastAsia" w:ascii="仿宋" w:hAnsi="仿宋" w:eastAsia="仿宋" w:cs="仿宋"/>
          <w:color w:val="000000" w:themeColor="text1"/>
          <w:sz w:val="32"/>
          <w:szCs w:val="32"/>
          <w:lang w:eastAsia="zh-CN"/>
        </w:rPr>
        <w:t>将相关材料报县级人民政府对合格的客运船舶停靠点进行批准并对外公布。</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渡口接靠渡运之外的客运船舶（含兼旅游客运的渡运船舶），参照前述相关要求办理手续。</w:t>
      </w:r>
    </w:p>
    <w:p>
      <w:pPr>
        <w:shd w:val="clear"/>
        <w:spacing w:line="560" w:lineRule="exact"/>
        <w:ind w:left="1" w:right="89" w:firstLine="724" w:firstLineChars="200"/>
        <w:rPr>
          <w:rFonts w:ascii="黑体" w:hAnsi="黑体" w:eastAsia="黑体" w:cs="黑体"/>
          <w:color w:val="000000" w:themeColor="text1"/>
          <w:spacing w:val="1"/>
          <w:sz w:val="36"/>
          <w:szCs w:val="36"/>
        </w:rPr>
      </w:pPr>
      <w:r>
        <w:rPr>
          <w:rFonts w:hint="eastAsia" w:ascii="黑体" w:hAnsi="黑体" w:eastAsia="黑体" w:cs="黑体"/>
          <w:color w:val="000000" w:themeColor="text1"/>
          <w:spacing w:val="1"/>
          <w:sz w:val="36"/>
          <w:szCs w:val="36"/>
          <w:lang w:eastAsia="zh-CN"/>
        </w:rPr>
        <w:t>四</w:t>
      </w:r>
      <w:bookmarkStart w:id="0" w:name="_GoBack"/>
      <w:bookmarkEnd w:id="0"/>
      <w:r>
        <w:rPr>
          <w:rFonts w:hint="eastAsia" w:ascii="黑体" w:hAnsi="黑体" w:eastAsia="黑体" w:cs="黑体"/>
          <w:color w:val="000000" w:themeColor="text1"/>
          <w:spacing w:val="1"/>
          <w:sz w:val="36"/>
          <w:szCs w:val="36"/>
        </w:rPr>
        <w:t>、关于停靠点运营管理</w:t>
      </w:r>
    </w:p>
    <w:p>
      <w:pPr>
        <w:shd w:val="clear"/>
        <w:spacing w:line="560" w:lineRule="exact"/>
        <w:ind w:firstLine="640" w:firstLineChars="200"/>
        <w:rPr>
          <w:rFonts w:ascii="楷体" w:hAnsi="楷体" w:eastAsia="楷体" w:cs="楷体"/>
          <w:bCs/>
          <w:color w:val="000000" w:themeColor="text1"/>
          <w:sz w:val="32"/>
          <w:szCs w:val="32"/>
        </w:rPr>
      </w:pPr>
      <w:r>
        <w:rPr>
          <w:rFonts w:hint="eastAsia" w:ascii="楷体" w:hAnsi="楷体" w:eastAsia="楷体" w:cs="楷体"/>
          <w:bCs/>
          <w:color w:val="000000" w:themeColor="text1"/>
          <w:sz w:val="32"/>
          <w:szCs w:val="32"/>
        </w:rPr>
        <w:t>（一）管理主体责任</w:t>
      </w:r>
    </w:p>
    <w:p>
      <w:pPr>
        <w:shd w:val="clear"/>
        <w:spacing w:line="560" w:lineRule="exact"/>
        <w:ind w:left="2" w:firstLine="656" w:firstLineChars="200"/>
        <w:rPr>
          <w:rFonts w:ascii="仿宋" w:hAnsi="仿宋" w:eastAsia="仿宋" w:cs="仿宋"/>
          <w:color w:val="000000" w:themeColor="text1"/>
          <w:sz w:val="32"/>
          <w:szCs w:val="32"/>
        </w:rPr>
      </w:pPr>
      <w:r>
        <w:rPr>
          <w:rFonts w:hint="eastAsia" w:ascii="仿宋" w:hAnsi="仿宋" w:eastAsia="仿宋" w:cs="仿宋"/>
          <w:color w:val="000000" w:themeColor="text1"/>
          <w:spacing w:val="4"/>
          <w:sz w:val="32"/>
          <w:szCs w:val="32"/>
        </w:rPr>
        <w:t>停靠点的经营管理</w:t>
      </w:r>
      <w:r>
        <w:rPr>
          <w:rFonts w:hint="eastAsia" w:ascii="仿宋" w:hAnsi="仿宋" w:eastAsia="仿宋" w:cs="仿宋"/>
          <w:color w:val="000000" w:themeColor="text1"/>
          <w:spacing w:val="3"/>
          <w:sz w:val="32"/>
          <w:szCs w:val="32"/>
        </w:rPr>
        <w:t>单位是停靠点</w:t>
      </w:r>
      <w:r>
        <w:rPr>
          <w:rFonts w:hint="eastAsia" w:ascii="仿宋" w:hAnsi="仿宋" w:eastAsia="仿宋" w:cs="仿宋"/>
          <w:color w:val="000000" w:themeColor="text1"/>
          <w:spacing w:val="-2"/>
          <w:sz w:val="32"/>
          <w:szCs w:val="32"/>
        </w:rPr>
        <w:t>安全生产责任主体，应当履行安全生产主体责任，按</w:t>
      </w:r>
      <w:r>
        <w:rPr>
          <w:rFonts w:hint="eastAsia" w:ascii="仿宋" w:hAnsi="仿宋" w:eastAsia="仿宋" w:cs="仿宋"/>
          <w:color w:val="000000" w:themeColor="text1"/>
          <w:spacing w:val="-3"/>
          <w:sz w:val="32"/>
          <w:szCs w:val="32"/>
        </w:rPr>
        <w:t>照有关法律、</w:t>
      </w:r>
      <w:r>
        <w:rPr>
          <w:rFonts w:hint="eastAsia" w:ascii="仿宋" w:hAnsi="仿宋" w:eastAsia="仿宋" w:cs="仿宋"/>
          <w:color w:val="000000" w:themeColor="text1"/>
          <w:spacing w:val="9"/>
          <w:sz w:val="32"/>
          <w:szCs w:val="32"/>
        </w:rPr>
        <w:t>法规的规定，</w:t>
      </w:r>
      <w:r>
        <w:rPr>
          <w:rFonts w:hint="eastAsia" w:ascii="仿宋" w:hAnsi="仿宋" w:eastAsia="仿宋" w:cs="仿宋"/>
          <w:color w:val="000000" w:themeColor="text1"/>
          <w:spacing w:val="9"/>
          <w:sz w:val="32"/>
          <w:szCs w:val="32"/>
          <w:lang w:eastAsia="zh-CN"/>
        </w:rPr>
        <w:t>落实</w:t>
      </w:r>
      <w:r>
        <w:rPr>
          <w:rFonts w:hint="eastAsia" w:ascii="仿宋" w:hAnsi="仿宋" w:eastAsia="仿宋" w:cs="仿宋"/>
          <w:color w:val="000000" w:themeColor="text1"/>
          <w:spacing w:val="9"/>
          <w:sz w:val="32"/>
          <w:szCs w:val="32"/>
        </w:rPr>
        <w:t>安全生产管理，建立健全安全生</w:t>
      </w:r>
      <w:r>
        <w:rPr>
          <w:rFonts w:hint="eastAsia" w:ascii="仿宋" w:hAnsi="仿宋" w:eastAsia="仿宋" w:cs="仿宋"/>
          <w:color w:val="000000" w:themeColor="text1"/>
          <w:spacing w:val="8"/>
          <w:sz w:val="32"/>
          <w:szCs w:val="32"/>
        </w:rPr>
        <w:t>产责任制度、</w:t>
      </w:r>
      <w:r>
        <w:rPr>
          <w:rFonts w:hint="eastAsia" w:ascii="仿宋" w:hAnsi="仿宋" w:eastAsia="仿宋" w:cs="仿宋"/>
          <w:color w:val="000000" w:themeColor="text1"/>
          <w:spacing w:val="5"/>
          <w:sz w:val="32"/>
          <w:szCs w:val="32"/>
        </w:rPr>
        <w:t>安全生产管理制度、操作规程、应急预案等；</w:t>
      </w:r>
      <w:r>
        <w:rPr>
          <w:rFonts w:hint="eastAsia" w:ascii="仿宋" w:hAnsi="仿宋" w:eastAsia="仿宋" w:cs="仿宋"/>
          <w:color w:val="000000" w:themeColor="text1"/>
          <w:spacing w:val="9"/>
          <w:sz w:val="32"/>
          <w:szCs w:val="32"/>
          <w:lang w:eastAsia="zh-CN"/>
        </w:rPr>
        <w:t>落实</w:t>
      </w:r>
      <w:r>
        <w:rPr>
          <w:rFonts w:hint="eastAsia" w:ascii="仿宋" w:hAnsi="仿宋" w:eastAsia="仿宋" w:cs="仿宋"/>
          <w:color w:val="000000" w:themeColor="text1"/>
          <w:spacing w:val="5"/>
          <w:sz w:val="32"/>
          <w:szCs w:val="32"/>
        </w:rPr>
        <w:t>对工作人员安全培训，配备专业技术人员和专职安全管理人员；</w:t>
      </w:r>
      <w:r>
        <w:rPr>
          <w:rFonts w:hint="eastAsia" w:ascii="仿宋" w:hAnsi="仿宋" w:eastAsia="仿宋" w:cs="仿宋"/>
          <w:color w:val="000000" w:themeColor="text1"/>
          <w:spacing w:val="9"/>
          <w:sz w:val="32"/>
          <w:szCs w:val="32"/>
          <w:lang w:eastAsia="zh-CN"/>
        </w:rPr>
        <w:t>落实</w:t>
      </w:r>
      <w:r>
        <w:rPr>
          <w:rFonts w:hint="eastAsia" w:ascii="仿宋" w:hAnsi="仿宋" w:eastAsia="仿宋" w:cs="仿宋"/>
          <w:color w:val="000000" w:themeColor="text1"/>
          <w:spacing w:val="5"/>
          <w:sz w:val="32"/>
          <w:szCs w:val="32"/>
        </w:rPr>
        <w:t>应急力量建设，按照预案要求定期开展重大安全生产事故的旅客紧急疏散和救援等各类演习演练。停靠点经营管理单位应建立实施安全风险分级管控和隐患排查双重预防机制，发现重大安全隐患或者发生水上交通突发事件时，应当按照规定向有关部门报告，并及时采取有效措施救助遇险人员。夜间运营的停靠点，应当加强夜间救援保障，同时要配合有关部门做好恶劣天气条件下船舶靠离泊管理。</w:t>
      </w:r>
    </w:p>
    <w:p>
      <w:pPr>
        <w:shd w:val="clear"/>
        <w:ind w:firstLine="640" w:firstLineChars="200"/>
        <w:rPr>
          <w:rFonts w:ascii="楷体" w:hAnsi="楷体" w:eastAsia="楷体" w:cs="楷体"/>
          <w:bCs/>
          <w:color w:val="000000" w:themeColor="text1"/>
          <w:sz w:val="32"/>
          <w:szCs w:val="32"/>
        </w:rPr>
      </w:pPr>
      <w:r>
        <w:rPr>
          <w:rFonts w:hint="eastAsia" w:ascii="楷体" w:hAnsi="楷体" w:eastAsia="楷体" w:cs="楷体"/>
          <w:bCs/>
          <w:color w:val="000000" w:themeColor="text1"/>
          <w:sz w:val="32"/>
          <w:szCs w:val="32"/>
        </w:rPr>
        <w:t>(二)日常监管责任</w:t>
      </w:r>
    </w:p>
    <w:p>
      <w:pPr>
        <w:shd w:val="clear"/>
        <w:ind w:firstLine="495" w:firstLineChars="150"/>
        <w:rPr>
          <w:rFonts w:ascii="仿宋" w:hAnsi="仿宋" w:eastAsia="仿宋" w:cs="仿宋"/>
          <w:color w:val="000000" w:themeColor="text1"/>
          <w:spacing w:val="5"/>
          <w:sz w:val="32"/>
          <w:szCs w:val="32"/>
        </w:rPr>
      </w:pPr>
      <w:r>
        <w:rPr>
          <w:rFonts w:hint="eastAsia" w:ascii="仿宋" w:hAnsi="仿宋" w:eastAsia="仿宋" w:cs="仿宋"/>
          <w:color w:val="000000" w:themeColor="text1"/>
          <w:spacing w:val="5"/>
          <w:sz w:val="32"/>
          <w:szCs w:val="32"/>
        </w:rPr>
        <w:t>停靠点所在地政府履行停靠点日常及现场安全监管责任，涉及景区的停靠点，由景区行政管理机构和所在地政府共同履行日常及现场安全监管责任。对于设计或单日实际上下人次达300人以上的停靠点,应当制定船舶靠泊签单管理制度，确定专门人员对船舶靠泊实行签单管理。建立售票、验票管理机制的生产经营管理单位，由生产经营管理单位落实专门人员进行管理。专门管理人员应当掌握安全环保管理制度、操作规程和应急预案，以及必要的应急救护常识、污染处理措施。</w:t>
      </w:r>
    </w:p>
    <w:p>
      <w:pPr>
        <w:shd w:val="clear"/>
        <w:spacing w:line="560" w:lineRule="exact"/>
        <w:ind w:firstLine="640" w:firstLineChars="200"/>
        <w:rPr>
          <w:rFonts w:ascii="楷体" w:hAnsi="楷体" w:eastAsia="楷体" w:cs="楷体"/>
          <w:bCs/>
          <w:color w:val="000000" w:themeColor="text1"/>
          <w:sz w:val="32"/>
          <w:szCs w:val="32"/>
        </w:rPr>
      </w:pPr>
      <w:r>
        <w:rPr>
          <w:rFonts w:hint="eastAsia" w:ascii="楷体" w:hAnsi="楷体" w:eastAsia="楷体" w:cs="楷体"/>
          <w:bCs/>
          <w:color w:val="000000" w:themeColor="text1"/>
          <w:sz w:val="32"/>
          <w:szCs w:val="32"/>
        </w:rPr>
        <w:t>（三）部门监管职责</w:t>
      </w:r>
    </w:p>
    <w:p>
      <w:pPr>
        <w:shd w:val="clear"/>
        <w:spacing w:line="560" w:lineRule="exact"/>
        <w:ind w:firstLine="656" w:firstLineChars="200"/>
        <w:rPr>
          <w:rFonts w:ascii="仿宋" w:hAnsi="仿宋" w:eastAsia="仿宋" w:cs="仿宋"/>
          <w:color w:val="000000" w:themeColor="text1"/>
          <w:sz w:val="32"/>
          <w:szCs w:val="32"/>
        </w:rPr>
      </w:pPr>
      <w:r>
        <w:rPr>
          <w:rFonts w:hint="eastAsia" w:ascii="仿宋" w:hAnsi="仿宋" w:eastAsia="仿宋" w:cs="仿宋"/>
          <w:color w:val="000000" w:themeColor="text1"/>
          <w:spacing w:val="4"/>
          <w:sz w:val="32"/>
          <w:szCs w:val="32"/>
        </w:rPr>
        <w:t>各级交通主管部门履行行业安全监督管理责任。</w:t>
      </w:r>
      <w:r>
        <w:rPr>
          <w:rFonts w:hint="eastAsia" w:ascii="仿宋" w:hAnsi="仿宋" w:eastAsia="仿宋" w:cs="仿宋"/>
          <w:color w:val="000000" w:themeColor="text1"/>
          <w:sz w:val="32"/>
          <w:szCs w:val="32"/>
        </w:rPr>
        <w:t>负责指导客运船舶停靠点的规划、建设，督促建设或管理单位完善落实水上交通运输安全管理规章制度、执行水上交通安全生产有关要求。</w:t>
      </w:r>
    </w:p>
    <w:p>
      <w:pPr>
        <w:shd w:val="clear"/>
        <w:spacing w:line="560" w:lineRule="exact"/>
        <w:ind w:left="5" w:right="95" w:firstLine="660" w:firstLineChars="200"/>
        <w:rPr>
          <w:rFonts w:ascii="仿宋" w:hAnsi="仿宋" w:eastAsia="仿宋" w:cs="仿宋"/>
          <w:spacing w:val="5"/>
          <w:sz w:val="32"/>
          <w:szCs w:val="32"/>
        </w:rPr>
      </w:pPr>
      <w:r>
        <w:rPr>
          <w:rFonts w:hint="eastAsia" w:ascii="仿宋" w:hAnsi="仿宋" w:eastAsia="仿宋" w:cs="仿宋"/>
          <w:spacing w:val="5"/>
          <w:sz w:val="32"/>
          <w:szCs w:val="32"/>
          <w:lang w:eastAsia="zh-CN"/>
        </w:rPr>
        <w:t>其他相关</w:t>
      </w:r>
      <w:r>
        <w:rPr>
          <w:rFonts w:hint="eastAsia" w:ascii="仿宋" w:hAnsi="仿宋" w:eastAsia="仿宋" w:cs="仿宋"/>
          <w:spacing w:val="5"/>
          <w:sz w:val="32"/>
          <w:szCs w:val="32"/>
        </w:rPr>
        <w:t>部门应当按照各自职责和分工，加强对停靠点监督检查。对监督检查中发现的安全隐患，按照有关规定，责令被经营管理单位立即整改或限期整改，对监督检查中发现的违法行为，应当依照相关法律法规处理。</w:t>
      </w:r>
    </w:p>
    <w:p>
      <w:pPr>
        <w:shd w:val="clear"/>
        <w:spacing w:line="560" w:lineRule="exact"/>
        <w:ind w:right="25" w:firstLine="640" w:firstLineChars="200"/>
        <w:rPr>
          <w:rFonts w:ascii="楷体" w:hAnsi="楷体" w:eastAsia="楷体" w:cs="楷体"/>
          <w:color w:val="000000" w:themeColor="text1"/>
          <w:sz w:val="32"/>
          <w:szCs w:val="32"/>
        </w:rPr>
      </w:pPr>
      <w:r>
        <w:rPr>
          <w:rFonts w:hint="eastAsia" w:ascii="楷体" w:hAnsi="楷体" w:eastAsia="楷体" w:cs="楷体"/>
          <w:color w:val="000000" w:themeColor="text1"/>
          <w:sz w:val="32"/>
          <w:szCs w:val="32"/>
        </w:rPr>
        <w:t>(四)禁止事项</w:t>
      </w:r>
    </w:p>
    <w:p>
      <w:pPr>
        <w:shd w:val="clear"/>
        <w:spacing w:line="560" w:lineRule="exact"/>
        <w:ind w:right="25"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停靠点建设或管理单位应当按照设计或公布的功能使用接岸设施及附属设施设备，禁止以下行为:为不具备合法手续的船舶提供上下旅客服务;超出停靠点功能靠泊船舶;超出自然条件允许情况下靠泊船舶;在停靠点存在风险隐患尚未排除的情况下靠泊船舶;其他危及停靠点及设施安全的行为。</w:t>
      </w:r>
    </w:p>
    <w:p>
      <w:pPr>
        <w:numPr>
          <w:ilvl w:val="0"/>
          <w:numId w:val="2"/>
        </w:numPr>
        <w:shd w:val="clear"/>
        <w:spacing w:line="560" w:lineRule="exact"/>
        <w:ind w:firstLine="640" w:firstLineChars="200"/>
        <w:rPr>
          <w:rFonts w:ascii="楷体" w:hAnsi="楷体" w:eastAsia="楷体" w:cs="楷体"/>
          <w:color w:val="000000" w:themeColor="text1"/>
          <w:sz w:val="32"/>
          <w:szCs w:val="32"/>
        </w:rPr>
      </w:pPr>
      <w:r>
        <w:rPr>
          <w:rFonts w:hint="eastAsia" w:ascii="楷体" w:hAnsi="楷体" w:eastAsia="楷体" w:cs="楷体"/>
          <w:color w:val="000000" w:themeColor="text1"/>
          <w:sz w:val="32"/>
          <w:szCs w:val="32"/>
        </w:rPr>
        <w:t>防污染管理</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停靠点经营管理单位应当制定船舶及其有关作业活动防污染应急预案，或纳入经营管理单位的总体预案，并报备至市交通部门和生态环境部门。停靠点经营管理单位应当定期组织演练，做好相应记录，按要求做好船岸生活垃圾、生活污水、油污水等污染物的存储、转运、处置工作。</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停靠点经营管理单位应当维护岸线生态平衡和环境安全，防治岸线污染。</w:t>
      </w:r>
    </w:p>
    <w:p>
      <w:pPr>
        <w:shd w:val="clea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本</w:t>
      </w:r>
      <w:r>
        <w:rPr>
          <w:rFonts w:hint="eastAsia" w:ascii="仿宋" w:hAnsi="仿宋" w:eastAsia="仿宋" w:cs="仿宋"/>
          <w:color w:val="000000" w:themeColor="text1"/>
          <w:sz w:val="32"/>
          <w:szCs w:val="32"/>
          <w:lang w:eastAsia="zh-CN"/>
        </w:rPr>
        <w:t>通知</w:t>
      </w:r>
      <w:r>
        <w:rPr>
          <w:rFonts w:hint="eastAsia" w:ascii="仿宋" w:hAnsi="仿宋" w:eastAsia="仿宋" w:cs="仿宋"/>
          <w:color w:val="000000" w:themeColor="text1"/>
          <w:sz w:val="32"/>
          <w:szCs w:val="32"/>
        </w:rPr>
        <w:t>由市交通运输局负责解释，若有关法律法规另有规定，则从其规定。</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汉仪细等线简">
    <w:altName w:val="仿宋"/>
    <w:panose1 w:val="00000000000000000000"/>
    <w:charset w:val="00"/>
    <w:family w:val="auto"/>
    <w:pitch w:val="default"/>
    <w:sig w:usb0="00000000" w:usb1="00000000" w:usb2="00000002"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ź�">
    <w:altName w:val="Noto Sans CJK HK"/>
    <w:panose1 w:val="00000000000000000000"/>
    <w:charset w:val="00"/>
    <w:family w:val="roman"/>
    <w:pitch w:val="default"/>
    <w:sig w:usb0="00000000" w:usb1="00000000" w:usb2="00000000" w:usb3="00000000" w:csb0="00040001" w:csb1="00000000"/>
  </w:font>
  <w:font w:name="Noto Sans CJK HK">
    <w:panose1 w:val="020B0500000000000000"/>
    <w:charset w:val="88"/>
    <w:family w:val="auto"/>
    <w:pitch w:val="default"/>
    <w:sig w:usb0="30000083" w:usb1="2BDF3C10" w:usb2="00000016" w:usb3="00000000" w:csb0="603A0107"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rPr>
        <w:rFonts w:ascii="宋体" w:hAnsi="宋体" w:cs="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5A4F85"/>
    <w:multiLevelType w:val="singleLevel"/>
    <w:tmpl w:val="FB5A4F85"/>
    <w:lvl w:ilvl="0" w:tentative="0">
      <w:start w:val="5"/>
      <w:numFmt w:val="chineseCounting"/>
      <w:suff w:val="nothing"/>
      <w:lvlText w:val="（%1）"/>
      <w:lvlJc w:val="left"/>
      <w:rPr>
        <w:rFonts w:hint="eastAsia"/>
      </w:rPr>
    </w:lvl>
  </w:abstractNum>
  <w:abstractNum w:abstractNumId="1">
    <w:nsid w:val="FFFFDFC6"/>
    <w:multiLevelType w:val="singleLevel"/>
    <w:tmpl w:val="FFFFDFC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E0016"/>
    <w:rsid w:val="000175C0"/>
    <w:rsid w:val="0007638E"/>
    <w:rsid w:val="000847D3"/>
    <w:rsid w:val="000A31BF"/>
    <w:rsid w:val="000C703B"/>
    <w:rsid w:val="00107B07"/>
    <w:rsid w:val="00146492"/>
    <w:rsid w:val="002D2488"/>
    <w:rsid w:val="003450AD"/>
    <w:rsid w:val="003C40C4"/>
    <w:rsid w:val="003D1A23"/>
    <w:rsid w:val="003F2EB6"/>
    <w:rsid w:val="00453370"/>
    <w:rsid w:val="00466ABF"/>
    <w:rsid w:val="00491A14"/>
    <w:rsid w:val="004C0AD1"/>
    <w:rsid w:val="004E0A74"/>
    <w:rsid w:val="005C63A4"/>
    <w:rsid w:val="005E67E6"/>
    <w:rsid w:val="006203EC"/>
    <w:rsid w:val="006B41DC"/>
    <w:rsid w:val="006D4200"/>
    <w:rsid w:val="00791EEE"/>
    <w:rsid w:val="007C22BB"/>
    <w:rsid w:val="007C3EDE"/>
    <w:rsid w:val="008761E2"/>
    <w:rsid w:val="009934A6"/>
    <w:rsid w:val="009E01F6"/>
    <w:rsid w:val="00A14F1A"/>
    <w:rsid w:val="00A618A8"/>
    <w:rsid w:val="00A941F8"/>
    <w:rsid w:val="00AB7F84"/>
    <w:rsid w:val="00AD67D7"/>
    <w:rsid w:val="00B81F27"/>
    <w:rsid w:val="00BC0AC0"/>
    <w:rsid w:val="00C64C2F"/>
    <w:rsid w:val="00C86F4A"/>
    <w:rsid w:val="00C90132"/>
    <w:rsid w:val="00CA1EF6"/>
    <w:rsid w:val="00CC1A43"/>
    <w:rsid w:val="00CE2425"/>
    <w:rsid w:val="00D20E3C"/>
    <w:rsid w:val="00D65995"/>
    <w:rsid w:val="00DB17A9"/>
    <w:rsid w:val="00E16C9D"/>
    <w:rsid w:val="00E24A1C"/>
    <w:rsid w:val="00EE0016"/>
    <w:rsid w:val="00F30819"/>
    <w:rsid w:val="13C994F5"/>
    <w:rsid w:val="18BF230E"/>
    <w:rsid w:val="2B7BEDAA"/>
    <w:rsid w:val="2EBF9EBC"/>
    <w:rsid w:val="3E5BBCF5"/>
    <w:rsid w:val="3FFFBD6C"/>
    <w:rsid w:val="4F5D06DF"/>
    <w:rsid w:val="53FF3F79"/>
    <w:rsid w:val="57FD112E"/>
    <w:rsid w:val="5ECC31CE"/>
    <w:rsid w:val="5FE6F36A"/>
    <w:rsid w:val="627941FC"/>
    <w:rsid w:val="66AFAD36"/>
    <w:rsid w:val="6EBB4330"/>
    <w:rsid w:val="72B450ED"/>
    <w:rsid w:val="75DF50CE"/>
    <w:rsid w:val="77FF73FA"/>
    <w:rsid w:val="7D9D28AA"/>
    <w:rsid w:val="7DD2B253"/>
    <w:rsid w:val="7F1FDD7C"/>
    <w:rsid w:val="7F7718EC"/>
    <w:rsid w:val="7F7FC87A"/>
    <w:rsid w:val="7FBDF213"/>
    <w:rsid w:val="7FE7BAF7"/>
    <w:rsid w:val="7FEE917B"/>
    <w:rsid w:val="7FFB6762"/>
    <w:rsid w:val="9FF72260"/>
    <w:rsid w:val="D2972FA0"/>
    <w:rsid w:val="D67A6889"/>
    <w:rsid w:val="DCCE4753"/>
    <w:rsid w:val="DDDA18B6"/>
    <w:rsid w:val="DFDC76DF"/>
    <w:rsid w:val="ECBAE454"/>
    <w:rsid w:val="EF3AABE6"/>
    <w:rsid w:val="F779F5B9"/>
    <w:rsid w:val="F99BC78B"/>
    <w:rsid w:val="F9F3077A"/>
    <w:rsid w:val="FBDFE674"/>
    <w:rsid w:val="FDEB21E5"/>
    <w:rsid w:val="FDF994BB"/>
    <w:rsid w:val="FE4B7F2E"/>
    <w:rsid w:val="FF5F2703"/>
    <w:rsid w:val="FF7FCD80"/>
    <w:rsid w:val="FFB7AD65"/>
    <w:rsid w:val="FFFFF4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Cs w:val="21"/>
      <w:lang w:eastAsia="en-US"/>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正文文本 Char"/>
    <w:basedOn w:val="6"/>
    <w:link w:val="2"/>
    <w:semiHidden/>
    <w:qFormat/>
    <w:uiPriority w:val="0"/>
    <w:rPr>
      <w:rFonts w:ascii="Arial" w:hAnsi="Arial" w:eastAsia="Arial" w:cs="Arial"/>
      <w:snapToGrid w:val="0"/>
      <w:color w:val="000000"/>
      <w:kern w:val="0"/>
      <w:szCs w:val="21"/>
      <w:lang w:eastAsia="en-US"/>
    </w:rPr>
  </w:style>
  <w:style w:type="character" w:customStyle="1" w:styleId="9">
    <w:name w:val="页眉 Char"/>
    <w:basedOn w:val="6"/>
    <w:link w:val="4"/>
    <w:semiHidden/>
    <w:qFormat/>
    <w:uiPriority w:val="99"/>
    <w:rPr>
      <w:rFonts w:ascii="Calibri" w:hAnsi="Calibri" w:eastAsia="宋体" w:cs="Times New Roman"/>
      <w:sz w:val="18"/>
      <w:szCs w:val="18"/>
    </w:rPr>
  </w:style>
  <w:style w:type="character" w:customStyle="1" w:styleId="10">
    <w:name w:val="页脚 Char"/>
    <w:basedOn w:val="6"/>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482</Words>
  <Characters>2750</Characters>
  <Lines>22</Lines>
  <Paragraphs>6</Paragraphs>
  <TotalTime>20</TotalTime>
  <ScaleCrop>false</ScaleCrop>
  <LinksUpToDate>false</LinksUpToDate>
  <CharactersWithSpaces>3226</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2024-08-02T14:38:00Z</dcterms:created>
  <dc:creator>lenovo</dc:creator>
  <cp:lastModifiedBy>inspur</cp:lastModifiedBy>
  <cp:lastPrinted>2024-09-13T19:16:00Z</cp:lastPrinted>
  <dcterms:modified xsi:type="dcterms:W3CDTF">2024-09-12T16:43:23Z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7C2EADE9B62A44AEB1A7E2665940F801</vt:lpwstr>
  </property>
</Properties>
</file>