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rPr>
          <w:rFonts w:ascii="仿宋_GB2312"/>
          <w:sz w:val="20"/>
        </w:rPr>
      </w:pPr>
    </w:p>
    <w:p>
      <w:pPr>
        <w:pStyle w:val="5"/>
        <w:rPr>
          <w:rFonts w:ascii="仿宋_GB2312"/>
          <w:sz w:val="20"/>
        </w:rPr>
      </w:pPr>
    </w:p>
    <w:p>
      <w:pPr>
        <w:pStyle w:val="5"/>
        <w:rPr>
          <w:rFonts w:ascii="仿宋_GB2312"/>
          <w:sz w:val="20"/>
        </w:rPr>
      </w:pPr>
    </w:p>
    <w:p>
      <w:pPr>
        <w:pStyle w:val="5"/>
        <w:rPr>
          <w:rFonts w:ascii="仿宋_GB2312"/>
          <w:sz w:val="20"/>
        </w:rPr>
      </w:pPr>
    </w:p>
    <w:p>
      <w:pPr>
        <w:pStyle w:val="5"/>
        <w:rPr>
          <w:rFonts w:ascii="仿宋_GB2312"/>
          <w:sz w:val="20"/>
        </w:rPr>
      </w:pPr>
    </w:p>
    <w:p>
      <w:pPr>
        <w:pStyle w:val="5"/>
        <w:rPr>
          <w:rFonts w:ascii="仿宋_GB2312"/>
          <w:sz w:val="20"/>
        </w:rPr>
      </w:pPr>
    </w:p>
    <w:p>
      <w:pPr>
        <w:pStyle w:val="5"/>
        <w:rPr>
          <w:rFonts w:ascii="仿宋_GB2312"/>
          <w:sz w:val="20"/>
        </w:rPr>
      </w:pPr>
    </w:p>
    <w:p>
      <w:pPr>
        <w:pStyle w:val="5"/>
        <w:spacing w:before="11"/>
        <w:rPr>
          <w:rFonts w:ascii="仿宋_GB2312"/>
          <w:sz w:val="18"/>
        </w:rPr>
      </w:pPr>
    </w:p>
    <w:p>
      <w:pPr>
        <w:pStyle w:val="2"/>
        <w:ind w:right="860"/>
      </w:pPr>
      <w:r>
        <w:t>吉林市高标准农田建设规划</w:t>
      </w:r>
    </w:p>
    <w:p>
      <w:pPr>
        <w:spacing w:before="0" w:line="725" w:lineRule="exact"/>
        <w:ind w:left="699" w:right="377" w:firstLine="0"/>
        <w:jc w:val="center"/>
        <w:rPr>
          <w:rFonts w:hint="eastAsia" w:ascii="方正小标宋简体" w:hAnsi="方正小标宋简体" w:eastAsia="方正小标宋简体"/>
          <w:sz w:val="48"/>
        </w:rPr>
      </w:pPr>
      <w:r>
        <w:rPr>
          <w:rFonts w:hint="eastAsia" w:ascii="方正小标宋简体" w:hAnsi="方正小标宋简体" w:eastAsia="方正小标宋简体"/>
          <w:sz w:val="48"/>
        </w:rPr>
        <w:t>（2021—2030 年）</w:t>
      </w:r>
    </w:p>
    <w:p>
      <w:pPr>
        <w:pStyle w:val="5"/>
        <w:spacing w:before="13"/>
        <w:rPr>
          <w:rFonts w:ascii="方正小标宋简体"/>
          <w:sz w:val="31"/>
        </w:rPr>
      </w:pPr>
    </w:p>
    <w:p>
      <w:pPr>
        <w:spacing w:before="1"/>
        <w:ind w:left="699" w:right="860" w:firstLine="0"/>
        <w:jc w:val="center"/>
        <w:rPr>
          <w:rFonts w:hint="eastAsia" w:ascii="楷体" w:eastAsia="楷体"/>
          <w:sz w:val="36"/>
        </w:rPr>
      </w:pPr>
      <w:r>
        <w:rPr>
          <w:rFonts w:hint="eastAsia" w:ascii="楷体" w:eastAsia="楷体"/>
          <w:sz w:val="36"/>
        </w:rPr>
        <w:t>（征求意见稿）</w:t>
      </w:r>
    </w:p>
    <w:p>
      <w:pPr>
        <w:pStyle w:val="5"/>
        <w:rPr>
          <w:rFonts w:ascii="楷体"/>
          <w:sz w:val="36"/>
        </w:rPr>
      </w:pPr>
    </w:p>
    <w:p>
      <w:pPr>
        <w:pStyle w:val="5"/>
        <w:rPr>
          <w:rFonts w:ascii="楷体"/>
          <w:sz w:val="36"/>
        </w:rPr>
      </w:pPr>
    </w:p>
    <w:p>
      <w:pPr>
        <w:pStyle w:val="5"/>
        <w:rPr>
          <w:rFonts w:ascii="楷体"/>
          <w:sz w:val="36"/>
        </w:rPr>
      </w:pPr>
    </w:p>
    <w:p>
      <w:pPr>
        <w:pStyle w:val="5"/>
        <w:rPr>
          <w:rFonts w:ascii="楷体"/>
          <w:sz w:val="36"/>
        </w:rPr>
      </w:pPr>
    </w:p>
    <w:p>
      <w:pPr>
        <w:pStyle w:val="5"/>
        <w:rPr>
          <w:rFonts w:ascii="楷体"/>
          <w:sz w:val="36"/>
        </w:rPr>
      </w:pPr>
    </w:p>
    <w:p>
      <w:pPr>
        <w:pStyle w:val="5"/>
        <w:rPr>
          <w:rFonts w:ascii="楷体"/>
          <w:sz w:val="36"/>
        </w:rPr>
      </w:pPr>
    </w:p>
    <w:p>
      <w:pPr>
        <w:pStyle w:val="5"/>
        <w:rPr>
          <w:rFonts w:ascii="楷体"/>
          <w:sz w:val="36"/>
        </w:rPr>
      </w:pPr>
    </w:p>
    <w:p>
      <w:pPr>
        <w:pStyle w:val="5"/>
        <w:rPr>
          <w:rFonts w:ascii="楷体"/>
          <w:sz w:val="36"/>
        </w:rPr>
      </w:pPr>
    </w:p>
    <w:p>
      <w:pPr>
        <w:pStyle w:val="5"/>
        <w:rPr>
          <w:rFonts w:ascii="楷体"/>
          <w:sz w:val="36"/>
        </w:rPr>
      </w:pPr>
    </w:p>
    <w:p>
      <w:pPr>
        <w:pStyle w:val="5"/>
        <w:rPr>
          <w:rFonts w:ascii="楷体"/>
          <w:sz w:val="36"/>
        </w:rPr>
      </w:pPr>
    </w:p>
    <w:p>
      <w:pPr>
        <w:pStyle w:val="5"/>
        <w:rPr>
          <w:rFonts w:ascii="楷体"/>
          <w:sz w:val="36"/>
        </w:rPr>
      </w:pPr>
    </w:p>
    <w:p>
      <w:pPr>
        <w:pStyle w:val="5"/>
        <w:rPr>
          <w:rFonts w:ascii="楷体"/>
          <w:sz w:val="36"/>
        </w:rPr>
      </w:pPr>
    </w:p>
    <w:p>
      <w:pPr>
        <w:pStyle w:val="5"/>
        <w:spacing w:before="9"/>
        <w:rPr>
          <w:rFonts w:ascii="楷体"/>
          <w:sz w:val="43"/>
        </w:rPr>
      </w:pPr>
    </w:p>
    <w:p>
      <w:pPr>
        <w:spacing w:before="0" w:line="225" w:lineRule="auto"/>
        <w:ind w:left="3094" w:right="2769" w:firstLine="0"/>
        <w:jc w:val="center"/>
        <w:rPr>
          <w:rFonts w:hint="eastAsia" w:ascii="方正小标宋简体" w:eastAsia="方正小标宋简体"/>
          <w:sz w:val="36"/>
        </w:rPr>
      </w:pPr>
      <w:r>
        <w:rPr>
          <w:rFonts w:hint="eastAsia" w:ascii="方正小标宋简体" w:eastAsia="方正小标宋简体"/>
          <w:spacing w:val="-2"/>
          <w:sz w:val="36"/>
        </w:rPr>
        <w:t>吉林市农业农村局编制</w:t>
      </w:r>
      <w:r>
        <w:rPr>
          <w:rFonts w:hint="eastAsia" w:ascii="方正小标宋简体" w:eastAsia="方正小标宋简体"/>
          <w:sz w:val="36"/>
        </w:rPr>
        <w:t xml:space="preserve">2022 年 </w:t>
      </w:r>
      <w:r>
        <w:rPr>
          <w:rFonts w:hint="eastAsia" w:ascii="方正小标宋简体" w:eastAsia="方正小标宋简体"/>
          <w:sz w:val="36"/>
          <w:lang w:val="en-US" w:eastAsia="zh-CN"/>
        </w:rPr>
        <w:t>9</w:t>
      </w:r>
      <w:r>
        <w:rPr>
          <w:rFonts w:hint="eastAsia" w:ascii="方正小标宋简体" w:eastAsia="方正小标宋简体"/>
          <w:sz w:val="36"/>
        </w:rPr>
        <w:t xml:space="preserve"> 月</w:t>
      </w:r>
    </w:p>
    <w:p>
      <w:pPr>
        <w:spacing w:after="0" w:line="225" w:lineRule="auto"/>
        <w:jc w:val="center"/>
        <w:rPr>
          <w:rFonts w:hint="eastAsia" w:ascii="方正小标宋简体" w:eastAsia="方正小标宋简体"/>
          <w:sz w:val="36"/>
        </w:rPr>
        <w:sectPr>
          <w:footerReference r:id="rId3" w:type="default"/>
          <w:pgSz w:w="11910" w:h="16840"/>
          <w:pgMar w:top="1580" w:right="1140" w:bottom="1420" w:left="1300" w:header="0" w:footer="1227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>
      <w:pPr>
        <w:pStyle w:val="5"/>
        <w:spacing w:before="4"/>
        <w:rPr>
          <w:rFonts w:ascii="方正小标宋简体"/>
          <w:sz w:val="29"/>
        </w:rPr>
      </w:pPr>
    </w:p>
    <w:p>
      <w:pPr>
        <w:spacing w:before="0" w:line="647" w:lineRule="exact"/>
        <w:ind w:left="699" w:right="377" w:firstLine="0"/>
        <w:jc w:val="center"/>
        <w:rPr>
          <w:rFonts w:hint="eastAsia" w:ascii="方正小标宋简体" w:eastAsia="方正小标宋简体"/>
          <w:sz w:val="44"/>
        </w:rPr>
      </w:pPr>
      <w:r>
        <w:rPr>
          <w:rFonts w:hint="eastAsia" w:ascii="方正小标宋简体" w:eastAsia="方正小标宋简体"/>
          <w:sz w:val="44"/>
        </w:rPr>
        <w:t>吉林市高标准农田建设规划</w:t>
      </w:r>
    </w:p>
    <w:p>
      <w:pPr>
        <w:spacing w:before="0" w:line="689" w:lineRule="exact"/>
        <w:ind w:left="699" w:right="379" w:firstLine="0"/>
        <w:jc w:val="center"/>
        <w:rPr>
          <w:rFonts w:hint="eastAsia" w:ascii="方正小标宋简体" w:hAnsi="方正小标宋简体" w:eastAsia="方正小标宋简体"/>
          <w:sz w:val="44"/>
        </w:rPr>
      </w:pPr>
      <w:r>
        <w:rPr>
          <w:rFonts w:hint="eastAsia" w:ascii="方正小标宋简体" w:hAnsi="方正小标宋简体" w:eastAsia="方正小标宋简体"/>
          <w:sz w:val="44"/>
        </w:rPr>
        <w:t>（2021—2030年）</w:t>
      </w:r>
    </w:p>
    <w:p>
      <w:pPr>
        <w:jc w:val="center"/>
        <w:rPr>
          <w:rFonts w:hint="eastAsia" w:cs="仿宋"/>
          <w:sz w:val="32"/>
          <w:szCs w:val="32"/>
          <w:lang w:eastAsia="zh-CN"/>
        </w:rPr>
      </w:pPr>
    </w:p>
    <w:p>
      <w:pPr>
        <w:jc w:val="center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前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言</w:t>
      </w:r>
    </w:p>
    <w:p>
      <w:pPr>
        <w:jc w:val="center"/>
        <w:rPr>
          <w:rFonts w:hint="eastAsia" w:cs="仿宋"/>
          <w:sz w:val="32"/>
          <w:szCs w:val="32"/>
          <w:lang w:eastAsia="zh-CN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118" w:right="117" w:firstLine="480"/>
        <w:jc w:val="both"/>
        <w:textAlignment w:val="auto"/>
        <w:outlineLvl w:val="9"/>
      </w:pPr>
      <w:r>
        <w:t xml:space="preserve">为统筹安排和科学指导全市高标准农田建设，提高耕地质量， </w:t>
      </w:r>
      <w:r>
        <w:rPr>
          <w:spacing w:val="-13"/>
        </w:rPr>
        <w:t>改善农业生产环境，促进现代农业发展，保障粮食安全，根据《吉林省高标准农田建设总体规划（2021—2030</w:t>
      </w:r>
      <w:r>
        <w:rPr>
          <w:spacing w:val="-43"/>
        </w:rPr>
        <w:t xml:space="preserve"> 年</w:t>
      </w:r>
      <w:r>
        <w:t>）》和《高标准农</w:t>
      </w:r>
      <w:r>
        <w:rPr>
          <w:spacing w:val="-4"/>
        </w:rPr>
        <w:t>田建设通则》</w:t>
      </w:r>
      <w:r>
        <w:t>（GB／T</w:t>
      </w:r>
      <w:r>
        <w:rPr>
          <w:spacing w:val="-13"/>
        </w:rPr>
        <w:t xml:space="preserve"> </w:t>
      </w:r>
      <w:r>
        <w:t>30600－</w:t>
      </w:r>
      <w:r>
        <w:rPr>
          <w:rFonts w:hint="eastAsia"/>
          <w:highlight w:val="none"/>
          <w:lang w:val="en-US" w:eastAsia="zh-CN"/>
        </w:rPr>
        <w:t>2022</w:t>
      </w:r>
      <w:r>
        <w:t>）</w:t>
      </w:r>
      <w:r>
        <w:rPr>
          <w:spacing w:val="-3"/>
        </w:rPr>
        <w:t>等有关规定，编制《吉林市</w:t>
      </w:r>
      <w:r>
        <w:rPr>
          <w:spacing w:val="-5"/>
        </w:rPr>
        <w:t>高标准农田建设规划</w:t>
      </w:r>
      <w:r>
        <w:t>（2021—2030</w:t>
      </w:r>
      <w:r>
        <w:rPr>
          <w:spacing w:val="-49"/>
        </w:rPr>
        <w:t xml:space="preserve"> 年</w:t>
      </w:r>
      <w:r>
        <w:rPr>
          <w:spacing w:val="-19"/>
        </w:rPr>
        <w:t>）</w:t>
      </w:r>
      <w:r>
        <w:rPr>
          <w:spacing w:val="-36"/>
        </w:rPr>
        <w:t>》</w:t>
      </w:r>
      <w:r>
        <w:t>（</w:t>
      </w:r>
      <w:r>
        <w:rPr>
          <w:spacing w:val="-6"/>
        </w:rPr>
        <w:t>以下简称《规划》</w:t>
      </w:r>
      <w:r>
        <w:rPr>
          <w:spacing w:val="-17"/>
        </w:rPr>
        <w:t>）</w:t>
      </w:r>
      <w:r>
        <w:t>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118" w:right="117" w:firstLine="480"/>
        <w:textAlignment w:val="auto"/>
        <w:outlineLvl w:val="9"/>
      </w:pPr>
      <w:r>
        <w:rPr>
          <w:spacing w:val="-6"/>
        </w:rPr>
        <w:t>《规划》在总结近年来我市高标准农田建设情况的基础上，明确规划期内我市高标准农田建设的指导思想、总体目标、基本原则、建设标准、建设内容、建设任务、资金筹措原则和渠道，制</w:t>
      </w:r>
      <w:r>
        <w:rPr>
          <w:spacing w:val="-9"/>
          <w:w w:val="95"/>
        </w:rPr>
        <w:t>定加强工程建设监管和后续管护，以及保障规划顺利实施的措施。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118" w:right="117" w:firstLine="480"/>
        <w:textAlignment w:val="auto"/>
        <w:outlineLvl w:val="9"/>
      </w:pPr>
      <w:r>
        <w:rPr>
          <w:spacing w:val="-8"/>
        </w:rPr>
        <w:t>《规划》是我市当前和今后一个时期开展高标准农田建设工作</w:t>
      </w:r>
      <w:r>
        <w:rPr>
          <w:spacing w:val="-15"/>
        </w:rPr>
        <w:t xml:space="preserve">的基本依据。规划期限为 </w:t>
      </w:r>
      <w:r>
        <w:t>2021—2030</w:t>
      </w:r>
      <w:r>
        <w:rPr>
          <w:spacing w:val="-23"/>
        </w:rPr>
        <w:t xml:space="preserve"> 年，规划基准年为 </w:t>
      </w:r>
      <w:r>
        <w:rPr>
          <w:highlight w:val="none"/>
        </w:rPr>
        <w:t>202</w:t>
      </w:r>
      <w:r>
        <w:rPr>
          <w:rFonts w:hint="eastAsia"/>
          <w:highlight w:val="none"/>
          <w:lang w:val="en-US" w:eastAsia="zh-CN"/>
        </w:rPr>
        <w:t>0</w:t>
      </w:r>
      <w:r>
        <w:rPr>
          <w:spacing w:val="-28"/>
          <w:highlight w:val="none"/>
        </w:rPr>
        <w:t xml:space="preserve"> 年</w:t>
      </w:r>
      <w:r>
        <w:rPr>
          <w:spacing w:val="-28"/>
        </w:rPr>
        <w:t>，</w:t>
      </w:r>
      <w:r>
        <w:t>规划水平年为 2030 年。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118" w:right="117" w:firstLine="480"/>
        <w:textAlignment w:val="auto"/>
        <w:outlineLvl w:val="9"/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118" w:right="117" w:firstLine="480"/>
        <w:textAlignment w:val="auto"/>
        <w:outlineLvl w:val="9"/>
      </w:pPr>
    </w:p>
    <w:p>
      <w:pPr>
        <w:pStyle w:val="5"/>
        <w:spacing w:before="5"/>
        <w:rPr>
          <w:sz w:val="25"/>
        </w:rPr>
      </w:pPr>
    </w:p>
    <w:p>
      <w:pPr>
        <w:pStyle w:val="5"/>
        <w:spacing w:before="54"/>
        <w:ind w:left="699" w:right="382"/>
        <w:jc w:val="center"/>
        <w:rPr>
          <w:rFonts w:hint="eastAsia" w:ascii="黑体" w:eastAsia="黑体"/>
        </w:rPr>
      </w:pPr>
      <w:r>
        <w:rPr>
          <w:rFonts w:hint="eastAsia" w:ascii="黑体" w:eastAsia="黑体"/>
        </w:rPr>
        <w:t>第一章 规划背景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/>
        <w:ind w:left="598" w:right="0" w:rightChars="0"/>
        <w:textAlignment w:val="auto"/>
        <w:rPr>
          <w:rFonts w:hint="eastAsia" w:ascii="黑体" w:eastAsia="黑体"/>
        </w:rPr>
      </w:pPr>
      <w:r>
        <w:rPr>
          <w:rFonts w:hint="eastAsia" w:ascii="黑体" w:eastAsia="黑体"/>
        </w:rPr>
        <w:t>一、耕地现状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/>
        <w:ind w:right="0" w:rightChars="0"/>
        <w:textAlignment w:val="auto"/>
        <w:rPr>
          <w:b w:val="0"/>
          <w:bCs w:val="0"/>
        </w:rPr>
      </w:pPr>
      <w:r>
        <w:rPr>
          <w:b w:val="0"/>
          <w:bCs w:val="0"/>
        </w:rPr>
        <w:t>（一）耕地数量、质量状况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118" w:right="0" w:rightChars="0" w:firstLine="638"/>
        <w:jc w:val="left"/>
        <w:textAlignment w:val="auto"/>
        <w:rPr>
          <w:highlight w:val="none"/>
        </w:rPr>
      </w:pPr>
      <w:r>
        <w:rPr>
          <w:spacing w:val="-2"/>
        </w:rPr>
        <w:t>根据统计，</w:t>
      </w:r>
      <w:r>
        <w:rPr>
          <w:spacing w:val="-10"/>
        </w:rPr>
        <w:t>2020</w:t>
      </w:r>
      <w:r>
        <w:rPr>
          <w:spacing w:val="-17"/>
        </w:rPr>
        <w:t xml:space="preserve">年末全市耕地面积为 </w:t>
      </w:r>
      <w:r>
        <w:t>1415</w:t>
      </w:r>
      <w:r>
        <w:rPr>
          <w:spacing w:val="-20"/>
        </w:rPr>
        <w:t xml:space="preserve"> 万亩，其中，水田</w:t>
      </w:r>
      <w:r>
        <w:rPr>
          <w:spacing w:val="-42"/>
        </w:rPr>
        <w:t xml:space="preserve">面积 </w:t>
      </w:r>
      <w:r>
        <w:t>278</w:t>
      </w:r>
      <w:r>
        <w:rPr>
          <w:spacing w:val="-20"/>
        </w:rPr>
        <w:t xml:space="preserve"> 万亩、旱地面积</w:t>
      </w:r>
      <w:r>
        <w:t>1137</w:t>
      </w:r>
      <w:r>
        <w:rPr>
          <w:spacing w:val="-15"/>
        </w:rPr>
        <w:t xml:space="preserve">万亩。全市永久基本农田面积 </w:t>
      </w:r>
      <w:r>
        <w:t>906万亩</w:t>
      </w:r>
      <w:r>
        <w:rPr>
          <w:highlight w:val="none"/>
        </w:rPr>
        <w:t>。根据耕地质量等</w:t>
      </w:r>
      <w:r>
        <w:rPr>
          <w:rFonts w:hint="eastAsia"/>
          <w:highlight w:val="none"/>
          <w:lang w:eastAsia="zh-CN"/>
        </w:rPr>
        <w:t>级</w:t>
      </w:r>
      <w:r>
        <w:rPr>
          <w:highlight w:val="none"/>
        </w:rPr>
        <w:t>别评定成果，全市耕地</w:t>
      </w:r>
      <w:r>
        <w:rPr>
          <w:rFonts w:hint="eastAsia"/>
          <w:highlight w:val="none"/>
          <w:lang w:eastAsia="zh-CN"/>
        </w:rPr>
        <w:t>质量等级</w:t>
      </w:r>
      <w:r>
        <w:rPr>
          <w:spacing w:val="-17"/>
          <w:highlight w:val="none"/>
        </w:rPr>
        <w:t xml:space="preserve">为 </w:t>
      </w:r>
      <w:r>
        <w:rPr>
          <w:rFonts w:hint="eastAsia"/>
          <w:highlight w:val="none"/>
          <w:lang w:val="en-US" w:eastAsia="zh-CN"/>
        </w:rPr>
        <w:t>4.36</w:t>
      </w:r>
      <w:r>
        <w:rPr>
          <w:spacing w:val="-26"/>
          <w:highlight w:val="none"/>
        </w:rPr>
        <w:t>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leftChars="0" w:right="0" w:rightChars="0" w:firstLine="640" w:firstLineChars="200"/>
        <w:jc w:val="left"/>
        <w:textAlignment w:val="auto"/>
        <w:outlineLvl w:val="9"/>
      </w:pPr>
      <w:r>
        <w:t>2020年，全市粮食播种面积为1015万亩，总产量为557.5万吨，</w:t>
      </w:r>
      <w:r>
        <w:rPr>
          <w:rFonts w:hint="eastAsia"/>
          <w:lang w:eastAsia="zh-CN"/>
        </w:rPr>
        <w:t>平均</w:t>
      </w:r>
      <w:r>
        <w:t>亩产 550 公斤；全市有效灌溉面积 242 万亩；全市农业机械总动力 432 万千瓦，机耕地面积 994.5 万亩。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/>
        <w:ind w:right="0" w:rightChars="0"/>
        <w:textAlignment w:val="auto"/>
        <w:rPr>
          <w:b w:val="0"/>
          <w:bCs w:val="0"/>
        </w:rPr>
      </w:pPr>
      <w:r>
        <w:rPr>
          <w:b w:val="0"/>
          <w:bCs w:val="0"/>
        </w:rPr>
        <w:t>（二）高标准农田建设情况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leftChars="0" w:right="0" w:rightChars="0" w:firstLine="480"/>
        <w:jc w:val="left"/>
        <w:textAlignment w:val="auto"/>
        <w:outlineLvl w:val="9"/>
        <w:rPr>
          <w:spacing w:val="-13"/>
        </w:rPr>
      </w:pPr>
      <w:r>
        <w:t>“十二五”以来,我市大力开展高标准农田建设，全市农田基</w:t>
      </w:r>
      <w:r>
        <w:rPr>
          <w:spacing w:val="-9"/>
        </w:rPr>
        <w:t xml:space="preserve">础设施得到了较大发展。截止 </w:t>
      </w:r>
      <w:r>
        <w:t>2020</w:t>
      </w:r>
      <w:r>
        <w:rPr>
          <w:spacing w:val="-12"/>
        </w:rPr>
        <w:t xml:space="preserve"> 年底，全市高标准农田建设面</w:t>
      </w:r>
      <w:r>
        <w:rPr>
          <w:spacing w:val="-15"/>
        </w:rPr>
        <w:t xml:space="preserve">积已累计达 </w:t>
      </w:r>
      <w:r>
        <w:t>298.5</w:t>
      </w:r>
      <w:r>
        <w:rPr>
          <w:spacing w:val="-13"/>
        </w:rPr>
        <w:t xml:space="preserve"> 万亩。建设区域基本形成土地平整、集中连片、土壤肥沃、设施完善、农电配套、生态良好、旱涝保收、抗灾性强，与现代农业生产和经营方式相适应的高标准农田。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/>
        <w:ind w:left="598" w:right="0" w:rightChars="0"/>
        <w:textAlignment w:val="auto"/>
        <w:rPr>
          <w:rFonts w:hint="eastAsia" w:ascii="黑体" w:hAnsi="黑体" w:eastAsia="黑体"/>
        </w:rPr>
      </w:pPr>
      <w:r>
        <w:rPr>
          <w:rFonts w:hint="eastAsia" w:ascii="黑体" w:hAnsi="黑体" w:eastAsia="黑体"/>
        </w:rPr>
        <w:t>二、“十三五”期间主要建设成效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leftChars="0" w:right="0" w:rightChars="0" w:firstLine="620" w:firstLineChars="200"/>
        <w:jc w:val="both"/>
        <w:textAlignment w:val="auto"/>
        <w:rPr>
          <w:rFonts w:hint="eastAsia" w:eastAsia="仿宋"/>
          <w:lang w:val="en-US" w:eastAsia="zh-CN"/>
        </w:rPr>
      </w:pPr>
      <w:r>
        <w:rPr>
          <w:spacing w:val="-5"/>
        </w:rPr>
        <w:t xml:space="preserve">据统计，“十三五”期间全市共投入资金 </w:t>
      </w:r>
      <w:r>
        <w:t>25.2</w:t>
      </w:r>
      <w:r>
        <w:rPr>
          <w:spacing w:val="-13"/>
        </w:rPr>
        <w:t xml:space="preserve"> 亿元，建设高</w:t>
      </w:r>
      <w:r>
        <w:rPr>
          <w:spacing w:val="-18"/>
        </w:rPr>
        <w:t xml:space="preserve">标准农田 </w:t>
      </w:r>
      <w:r>
        <w:t>188</w:t>
      </w:r>
      <w:r>
        <w:rPr>
          <w:spacing w:val="-10"/>
        </w:rPr>
        <w:t xml:space="preserve"> 万亩。通过土地整治、农田水利建设、土壤改良培肥和田间道路建设等方式，不断夯实农业生产基础。项目区田、</w:t>
      </w:r>
      <w:r>
        <w:rPr>
          <w:spacing w:val="-10"/>
          <w:w w:val="95"/>
        </w:rPr>
        <w:t>水、渠、路、林得到综合治理，农田基础设施和农业生产条件明</w:t>
      </w:r>
      <w:r>
        <w:rPr>
          <w:rFonts w:hint="eastAsia"/>
          <w:spacing w:val="-10"/>
          <w:w w:val="95"/>
          <w:lang w:eastAsia="zh-CN"/>
        </w:rPr>
        <w:t>显</w:t>
      </w:r>
      <w:r>
        <w:t>改善，耕地抵抗灾害能力和农业综合生产能力明显提高，亩均粮食生产能力逐步提升。</w:t>
      </w:r>
      <w:r>
        <w:rPr>
          <w:rFonts w:hint="eastAsia"/>
          <w:lang w:eastAsia="zh-CN"/>
        </w:rPr>
        <w:t>经典型项目调查表明，通过高标准农田建设，减少田间耕作成本</w:t>
      </w:r>
      <w:r>
        <w:rPr>
          <w:rFonts w:hint="eastAsia"/>
          <w:lang w:val="en-US" w:eastAsia="zh-CN"/>
        </w:rPr>
        <w:t>5-15%，主要粮食作物耕种收综合机械化率达91%，显著提升了综合效益和竞争力，推动了传统农业向现代农业转型升级。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leftChars="0" w:right="0" w:rightChars="0" w:firstLine="640" w:firstLineChars="200"/>
        <w:textAlignment w:val="auto"/>
        <w:rPr>
          <w:rFonts w:hint="eastAsia" w:ascii="黑体" w:eastAsia="黑体"/>
        </w:rPr>
      </w:pPr>
      <w:r>
        <w:rPr>
          <w:rFonts w:hint="eastAsia" w:ascii="黑体" w:eastAsia="黑体"/>
        </w:rPr>
        <w:t>三、存在的主要问题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leftChars="0" w:right="0" w:rightChars="0" w:firstLine="608" w:firstLineChars="200"/>
        <w:jc w:val="both"/>
        <w:textAlignment w:val="auto"/>
      </w:pPr>
      <w:r>
        <w:rPr>
          <w:rFonts w:hint="eastAsia" w:ascii="楷体" w:hAnsi="楷体" w:eastAsia="楷体" w:cs="楷体"/>
          <w:b w:val="0"/>
          <w:bCs/>
          <w:w w:val="95"/>
        </w:rPr>
        <w:t>（一</w:t>
      </w:r>
      <w:r>
        <w:rPr>
          <w:rFonts w:hint="eastAsia" w:ascii="楷体" w:hAnsi="楷体" w:eastAsia="楷体" w:cs="楷体"/>
          <w:b w:val="0"/>
          <w:bCs/>
          <w:spacing w:val="-31"/>
          <w:w w:val="95"/>
        </w:rPr>
        <w:t>）</w:t>
      </w:r>
      <w:r>
        <w:rPr>
          <w:rFonts w:hint="eastAsia" w:ascii="楷体" w:hAnsi="楷体" w:eastAsia="楷体" w:cs="楷体"/>
          <w:b w:val="0"/>
          <w:bCs/>
          <w:spacing w:val="-4"/>
          <w:w w:val="95"/>
        </w:rPr>
        <w:t>统筹规划有待加强。</w:t>
      </w:r>
      <w:r>
        <w:rPr>
          <w:w w:val="95"/>
        </w:rPr>
        <w:t xml:space="preserve">长期以来,农田基础设施建设均是 </w:t>
      </w:r>
      <w:r>
        <w:rPr>
          <w:spacing w:val="4"/>
          <w:w w:val="95"/>
        </w:rPr>
        <w:t>相关部门分别编制规划，分头组织实施，缺乏统一的规划指导和有效的协调机制，对当前大规模、集中连片建设高标准农田带来</w:t>
      </w:r>
      <w:r>
        <w:t>了根本性的制约，影响农田建设整体功能和投资效益的发挥。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leftChars="0" w:right="0" w:rightChars="0" w:firstLine="640" w:firstLineChars="200"/>
        <w:textAlignment w:val="auto"/>
      </w:pPr>
      <w:r>
        <w:rPr>
          <w:rFonts w:hint="eastAsia" w:ascii="楷体" w:hAnsi="楷体" w:eastAsia="楷体" w:cs="楷体"/>
          <w:b w:val="0"/>
          <w:bCs/>
        </w:rPr>
        <w:t>（二）建后管护有待加强。</w:t>
      </w:r>
      <w:r>
        <w:t>农田建设中存在“重建设、轻管护”的现象，田间工程设施产权不清晰，耕地质量监测管理薄弱，建后管护责任、措施、资金落实还不到位。受自然灾害损毁等因素影响，一些高标准农田设施存在失管失修、杂草丛生、损毁严重、功能伤失等问题，难以充分发挥应有的效能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leftChars="0" w:right="0" w:rightChars="0" w:firstLine="640" w:firstLineChars="200"/>
        <w:textAlignment w:val="auto"/>
      </w:pPr>
      <w:r>
        <w:rPr>
          <w:rFonts w:hint="eastAsia" w:ascii="楷体" w:hAnsi="楷体" w:eastAsia="楷体" w:cs="楷体"/>
          <w:b w:val="0"/>
          <w:bCs/>
        </w:rPr>
        <w:t>（三）耕地质量总体提升不高。</w:t>
      </w:r>
      <w:r>
        <w:t>提升耕地质量，是促进农田高产稳产最直接有效的措施。由于耕地流转率偏低，高标准农田</w:t>
      </w:r>
      <w:r>
        <w:rPr>
          <w:w w:val="95"/>
        </w:rPr>
        <w:t>建设实施中，多侧重于田灌溉与排水等渠系工程和田间道路建设，</w:t>
      </w:r>
      <w:r>
        <w:t>而土壤培肥和土地平整等提高耕地质量的建设措施相对较少，难以达到通过建设高标准农田有效提升耕地地力，从而促进粮食增产增收的直接效果。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leftChars="0" w:right="0" w:rightChars="0" w:firstLine="640" w:firstLineChars="200"/>
        <w:jc w:val="left"/>
        <w:textAlignment w:val="auto"/>
        <w:outlineLvl w:val="9"/>
      </w:pPr>
      <w:r>
        <w:rPr>
          <w:rFonts w:hint="eastAsia" w:ascii="楷体" w:hAnsi="楷体" w:eastAsia="楷体" w:cs="楷体"/>
          <w:b w:val="0"/>
          <w:bCs/>
          <w:sz w:val="32"/>
        </w:rPr>
        <w:t>（四）农田水利设施薄弱。</w:t>
      </w:r>
      <w:r>
        <w:rPr>
          <w:sz w:val="32"/>
          <w:szCs w:val="32"/>
        </w:rPr>
        <w:t>我市还有相当部分</w:t>
      </w:r>
      <w:r>
        <w:rPr>
          <w:rFonts w:hint="eastAsia"/>
          <w:sz w:val="32"/>
          <w:szCs w:val="32"/>
          <w:lang w:eastAsia="zh-CN"/>
        </w:rPr>
        <w:t>农田水利设施建设</w:t>
      </w:r>
      <w:r>
        <w:rPr>
          <w:sz w:val="32"/>
          <w:szCs w:val="32"/>
        </w:rPr>
        <w:t>改造尚未完成，局部灌溉设施建设标准、衬砌率、配套率低，与现代农业发展对节水灌溉的要求存在一定差距。且受自然灾害影响，部分灌溉设施受损严重，渠道坍塌渗漏、设施老化失修。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黑体" w:eastAsia="黑体"/>
        </w:rPr>
      </w:pPr>
      <w:r>
        <w:rPr>
          <w:rFonts w:hint="eastAsia" w:ascii="黑体" w:eastAsia="黑体"/>
        </w:rPr>
        <w:t>四、高标准农田建设的重要意义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leftChars="0" w:right="0" w:rightChars="0" w:firstLine="640" w:firstLineChars="200"/>
        <w:textAlignment w:val="auto"/>
      </w:pPr>
      <w:r>
        <w:rPr>
          <w:rFonts w:hint="eastAsia" w:ascii="楷体" w:hAnsi="楷体" w:eastAsia="楷体" w:cs="楷体"/>
          <w:b w:val="0"/>
          <w:bCs/>
        </w:rPr>
        <w:t>（一）有利于促进现代农业发展。</w:t>
      </w:r>
      <w:r>
        <w:t>建设高标准农田，提升农田</w:t>
      </w:r>
      <w:r>
        <w:rPr>
          <w:w w:val="95"/>
        </w:rPr>
        <w:t>基础设施水平，加强农业科技推广应用，改善农业生产基本条件，</w:t>
      </w:r>
      <w:r>
        <w:t>推动农业生产机械化、经营规模化，可促进现代农业发展。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leftChars="0" w:right="0" w:rightChars="0" w:firstLine="608" w:firstLineChars="200"/>
        <w:textAlignment w:val="auto"/>
      </w:pPr>
      <w:r>
        <w:rPr>
          <w:rFonts w:hint="eastAsia" w:ascii="楷体" w:hAnsi="楷体" w:eastAsia="楷体" w:cs="楷体"/>
          <w:b w:val="0"/>
          <w:bCs/>
          <w:w w:val="95"/>
        </w:rPr>
        <w:t>（二</w:t>
      </w:r>
      <w:r>
        <w:rPr>
          <w:rFonts w:hint="eastAsia" w:ascii="楷体" w:hAnsi="楷体" w:eastAsia="楷体" w:cs="楷体"/>
          <w:b w:val="0"/>
          <w:bCs/>
          <w:spacing w:val="-17"/>
          <w:w w:val="95"/>
        </w:rPr>
        <w:t>）</w:t>
      </w:r>
      <w:r>
        <w:rPr>
          <w:rFonts w:hint="eastAsia" w:ascii="楷体" w:hAnsi="楷体" w:eastAsia="楷体" w:cs="楷体"/>
          <w:b w:val="0"/>
          <w:bCs/>
          <w:spacing w:val="-4"/>
          <w:w w:val="95"/>
        </w:rPr>
        <w:t>有利于促进农业可持续发展和“美丽乡村”建设。</w:t>
      </w:r>
      <w:r>
        <w:rPr>
          <w:w w:val="95"/>
        </w:rPr>
        <w:t>建设</w:t>
      </w:r>
      <w:r>
        <w:t>高标准农田，加强土壤改良和农田整治，推广节水增效技术，可促进农业生态环境良性循环和可持续发展；通过平田整地、沟塘治理、配套路桥涵闸灌排设施、建设农田林网和护岸护坡，实现田、水、路、林、村、生态景观的统一规划、综合整治，改善农村面貌，可为建设“美丽乡村”提供生态屏障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leftChars="0" w:right="0" w:rightChars="0" w:firstLine="608" w:firstLineChars="200"/>
        <w:jc w:val="left"/>
        <w:textAlignment w:val="auto"/>
        <w:outlineLvl w:val="9"/>
        <w:rPr>
          <w:spacing w:val="-3"/>
        </w:rPr>
      </w:pPr>
      <w:r>
        <w:rPr>
          <w:rFonts w:hint="eastAsia" w:ascii="楷体" w:hAnsi="楷体" w:eastAsia="楷体" w:cs="楷体"/>
          <w:b w:val="0"/>
          <w:bCs/>
          <w:w w:val="95"/>
        </w:rPr>
        <w:t>（三</w:t>
      </w:r>
      <w:r>
        <w:rPr>
          <w:rFonts w:hint="eastAsia" w:ascii="楷体" w:hAnsi="楷体" w:eastAsia="楷体" w:cs="楷体"/>
          <w:b w:val="0"/>
          <w:bCs/>
          <w:spacing w:val="-19"/>
          <w:w w:val="95"/>
        </w:rPr>
        <w:t>）</w:t>
      </w:r>
      <w:r>
        <w:rPr>
          <w:rFonts w:hint="eastAsia" w:ascii="楷体" w:hAnsi="楷体" w:eastAsia="楷体" w:cs="楷体"/>
          <w:b w:val="0"/>
          <w:bCs/>
          <w:spacing w:val="-2"/>
          <w:w w:val="95"/>
        </w:rPr>
        <w:t>有利于促进农民增收。</w:t>
      </w:r>
      <w:r>
        <w:rPr>
          <w:spacing w:val="-3"/>
          <w:w w:val="95"/>
        </w:rPr>
        <w:t xml:space="preserve">建设高标准农田，可为农业生产 </w:t>
      </w:r>
      <w:r>
        <w:rPr>
          <w:spacing w:val="-3"/>
        </w:rPr>
        <w:t>节约成本、增产增收创造条件，提高农业比较效益；可为建设优质农产品生产基地创造条件，提高农业产业化经营水平和农产品附加值，增加农民收入；可有效拉动机械、建材、建筑和运输等相关行业发展，增加农民就业机会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right="0" w:rightChars="0"/>
        <w:jc w:val="center"/>
        <w:textAlignment w:val="auto"/>
        <w:outlineLvl w:val="9"/>
        <w:rPr>
          <w:spacing w:val="-3"/>
        </w:rPr>
      </w:pPr>
      <w:r>
        <w:rPr>
          <w:rFonts w:hint="eastAsia" w:ascii="黑体" w:eastAsia="黑体"/>
        </w:rPr>
        <w:t>第二章 指导思想、总体目标与基本原则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leftChars="0" w:right="0" w:rightChars="0" w:firstLine="640" w:firstLineChars="200"/>
        <w:jc w:val="left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一、指导思想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leftChars="0" w:right="0" w:rightChars="0" w:firstLine="596" w:firstLineChars="200"/>
        <w:jc w:val="left"/>
        <w:textAlignment w:val="auto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spacing w:val="-3"/>
          <w:w w:val="95"/>
        </w:rPr>
        <w:t xml:space="preserve">深入贯彻习近平新时代中国特色社会主义思想，紧紧围绕实施 </w:t>
      </w:r>
      <w:r>
        <w:rPr>
          <w:rFonts w:hint="eastAsia" w:ascii="仿宋" w:hAnsi="仿宋" w:eastAsia="仿宋" w:cs="仿宋"/>
          <w:spacing w:val="-3"/>
        </w:rPr>
        <w:t>乡村振兴战略，按照农业高质量发展要求，推动藏粮于地、藏粮</w:t>
      </w:r>
      <w:r>
        <w:rPr>
          <w:rFonts w:hint="eastAsia" w:ascii="仿宋" w:hAnsi="仿宋" w:eastAsia="仿宋" w:cs="仿宋"/>
        </w:rPr>
        <w:t xml:space="preserve">于技，以提升粮食产能为首要目标，加强统筹规划，强化政策支持，加大资金投入，完善建设内容，加强建设管理，突出抓好耕地保护、地力提升和高效节水灌溉，大力推进高标准农田建设， </w:t>
      </w:r>
      <w:r>
        <w:rPr>
          <w:rFonts w:hint="eastAsia" w:ascii="仿宋" w:hAnsi="仿宋" w:eastAsia="仿宋" w:cs="仿宋"/>
          <w:spacing w:val="-3"/>
          <w:w w:val="95"/>
        </w:rPr>
        <w:t xml:space="preserve">加快补齐农业基础设施短板，着力改善农田基础设施、培肥地力， </w:t>
      </w:r>
      <w:r>
        <w:rPr>
          <w:rFonts w:hint="eastAsia" w:ascii="仿宋" w:hAnsi="仿宋" w:eastAsia="仿宋" w:cs="仿宋"/>
          <w:spacing w:val="-3"/>
        </w:rPr>
        <w:t>实现田、土、水、路、林、电综合配套，稳步提高水土资源利用率和耕地产出率，着力明确管护责任，落实管护主体，建立健全建管结合、用养并重的耕地质量建设管理长效机制，切实增强农田防灾抗灾减灾能力，为提高粮食生产能力、实现农业可持续发展、保障国家粮食安全提供坚实基础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leftChars="0" w:right="0" w:rightChars="0" w:firstLine="640" w:firstLineChars="200"/>
        <w:jc w:val="left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二、总体目标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highlight w:val="none"/>
          <w:lang w:eastAsia="zh-CN"/>
        </w:rPr>
      </w:pPr>
      <w:r>
        <w:rPr>
          <w:rFonts w:hint="eastAsia" w:ascii="仿宋" w:hAnsi="仿宋" w:eastAsia="仿宋" w:cs="仿宋"/>
        </w:rPr>
        <w:t>2021-2025</w:t>
      </w:r>
      <w:r>
        <w:rPr>
          <w:rFonts w:hint="eastAsia" w:ascii="仿宋" w:hAnsi="仿宋" w:eastAsia="仿宋" w:cs="仿宋"/>
          <w:spacing w:val="-16"/>
        </w:rPr>
        <w:t xml:space="preserve"> 年，计划新建土地平整、集中连片、土壤肥沃、设施完善、农电配套、生态良好、抗灾性强，与现代农业生产和经</w:t>
      </w:r>
      <w:r>
        <w:rPr>
          <w:rFonts w:hint="eastAsia" w:ascii="仿宋" w:hAnsi="仿宋" w:eastAsia="仿宋" w:cs="仿宋"/>
          <w:spacing w:val="-20"/>
        </w:rPr>
        <w:t xml:space="preserve">营方式相适应的旱涝保收、高产稳产的高标准农田 </w:t>
      </w:r>
      <w:r>
        <w:rPr>
          <w:rFonts w:hint="eastAsia" w:ascii="仿宋" w:hAnsi="仿宋" w:eastAsia="仿宋" w:cs="仿宋"/>
          <w:lang w:val="en-US" w:eastAsia="zh-CN"/>
        </w:rPr>
        <w:t>164</w:t>
      </w:r>
      <w:r>
        <w:rPr>
          <w:rFonts w:hint="eastAsia" w:ascii="仿宋" w:hAnsi="仿宋" w:eastAsia="仿宋" w:cs="仿宋"/>
        </w:rPr>
        <w:t>.5</w:t>
      </w:r>
      <w:r>
        <w:rPr>
          <w:rFonts w:hint="eastAsia" w:ascii="仿宋" w:hAnsi="仿宋" w:eastAsia="仿宋" w:cs="仿宋"/>
          <w:spacing w:val="-21"/>
        </w:rPr>
        <w:t xml:space="preserve"> 万亩，</w:t>
      </w:r>
      <w:r>
        <w:rPr>
          <w:rFonts w:hint="eastAsia" w:ascii="仿宋" w:hAnsi="仿宋" w:eastAsia="仿宋" w:cs="仿宋"/>
          <w:spacing w:val="-6"/>
        </w:rPr>
        <w:t xml:space="preserve">全市高标准农田保有量累计达到 </w:t>
      </w:r>
      <w:r>
        <w:rPr>
          <w:rFonts w:hint="eastAsia" w:ascii="仿宋" w:hAnsi="仿宋" w:eastAsia="仿宋" w:cs="仿宋"/>
        </w:rPr>
        <w:t>51</w:t>
      </w:r>
      <w:r>
        <w:rPr>
          <w:rFonts w:hint="eastAsia" w:ascii="仿宋" w:hAnsi="仿宋" w:eastAsia="仿宋" w:cs="仿宋"/>
          <w:lang w:val="en-US" w:eastAsia="zh-CN"/>
        </w:rPr>
        <w:t>0.5</w:t>
      </w:r>
      <w:r>
        <w:rPr>
          <w:rFonts w:hint="eastAsia" w:ascii="仿宋" w:hAnsi="仿宋" w:eastAsia="仿宋" w:cs="仿宋"/>
          <w:spacing w:val="-20"/>
        </w:rPr>
        <w:t xml:space="preserve">万亩，改造提升 </w:t>
      </w:r>
      <w:r>
        <w:rPr>
          <w:rFonts w:hint="eastAsia" w:ascii="仿宋" w:hAnsi="仿宋" w:eastAsia="仿宋" w:cs="仿宋"/>
        </w:rPr>
        <w:t>34.4</w:t>
      </w:r>
      <w:r>
        <w:rPr>
          <w:rFonts w:hint="eastAsia" w:ascii="仿宋" w:hAnsi="仿宋" w:eastAsia="仿宋" w:cs="仿宋"/>
          <w:spacing w:val="-21"/>
        </w:rPr>
        <w:t xml:space="preserve"> 万亩。</w:t>
      </w:r>
      <w:r>
        <w:rPr>
          <w:rFonts w:hint="eastAsia" w:ascii="仿宋" w:hAnsi="仿宋" w:eastAsia="仿宋" w:cs="仿宋"/>
        </w:rPr>
        <w:t>2026-2030</w:t>
      </w:r>
      <w:r>
        <w:rPr>
          <w:rFonts w:hint="eastAsia" w:ascii="仿宋" w:hAnsi="仿宋" w:eastAsia="仿宋" w:cs="仿宋"/>
          <w:spacing w:val="-27"/>
        </w:rPr>
        <w:t xml:space="preserve"> 年，计划新建高标准农田 </w:t>
      </w:r>
      <w:r>
        <w:rPr>
          <w:rFonts w:hint="eastAsia" w:ascii="仿宋" w:hAnsi="仿宋" w:eastAsia="仿宋" w:cs="仿宋"/>
        </w:rPr>
        <w:t>120</w:t>
      </w:r>
      <w:r>
        <w:rPr>
          <w:rFonts w:hint="eastAsia" w:ascii="仿宋" w:hAnsi="仿宋" w:eastAsia="仿宋" w:cs="仿宋"/>
          <w:spacing w:val="-36"/>
        </w:rPr>
        <w:t xml:space="preserve"> 万亩，累计达到 </w:t>
      </w:r>
      <w:r>
        <w:rPr>
          <w:rFonts w:hint="eastAsia" w:ascii="仿宋" w:hAnsi="仿宋" w:eastAsia="仿宋" w:cs="仿宋"/>
        </w:rPr>
        <w:t>63</w:t>
      </w:r>
      <w:r>
        <w:rPr>
          <w:rFonts w:hint="eastAsia" w:ascii="仿宋" w:hAnsi="仿宋" w:eastAsia="仿宋" w:cs="仿宋"/>
          <w:lang w:val="en-US" w:eastAsia="zh-CN"/>
        </w:rPr>
        <w:t>0.5</w:t>
      </w:r>
      <w:r>
        <w:rPr>
          <w:rFonts w:hint="eastAsia" w:ascii="仿宋" w:hAnsi="仿宋" w:eastAsia="仿宋" w:cs="仿宋"/>
          <w:spacing w:val="-21"/>
        </w:rPr>
        <w:t xml:space="preserve"> 万亩；</w:t>
      </w:r>
      <w:r>
        <w:rPr>
          <w:rFonts w:hint="eastAsia" w:ascii="仿宋" w:hAnsi="仿宋" w:eastAsia="仿宋" w:cs="仿宋"/>
        </w:rPr>
        <w:t>计划改造提升72万亩，累计改造提升106.4万亩。</w:t>
      </w:r>
      <w:r>
        <w:rPr>
          <w:rFonts w:hint="eastAsia" w:ascii="仿宋" w:hAnsi="仿宋" w:eastAsia="仿宋" w:cs="仿宋"/>
          <w:highlight w:val="none"/>
          <w:lang w:eastAsia="zh-CN"/>
        </w:rPr>
        <w:t>全市耕地质量等级达到</w:t>
      </w:r>
      <w:r>
        <w:rPr>
          <w:rFonts w:hint="eastAsia" w:ascii="仿宋" w:hAnsi="仿宋" w:eastAsia="仿宋" w:cs="仿宋"/>
          <w:highlight w:val="none"/>
          <w:lang w:val="en-US" w:eastAsia="zh-CN"/>
        </w:rPr>
        <w:t>4.</w:t>
      </w:r>
      <w:r>
        <w:rPr>
          <w:rFonts w:hint="eastAsia" w:cs="仿宋"/>
          <w:highlight w:val="none"/>
          <w:lang w:val="en-US" w:eastAsia="zh-CN"/>
        </w:rPr>
        <w:t>1</w:t>
      </w:r>
      <w:r>
        <w:rPr>
          <w:rFonts w:hint="eastAsia" w:ascii="仿宋" w:hAnsi="仿宋" w:eastAsia="仿宋" w:cs="仿宋"/>
          <w:highlight w:val="none"/>
          <w:lang w:val="en-US" w:eastAsia="zh-CN"/>
        </w:rPr>
        <w:t>以上</w:t>
      </w:r>
      <w:r>
        <w:rPr>
          <w:rFonts w:hint="eastAsia" w:ascii="仿宋" w:hAnsi="仿宋" w:eastAsia="仿宋" w:cs="仿宋"/>
          <w:highlight w:val="none"/>
          <w:lang w:eastAsia="zh-CN"/>
        </w:rPr>
        <w:t>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leftChars="0" w:right="0" w:rightChars="0" w:firstLine="640" w:firstLineChars="200"/>
        <w:jc w:val="left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三、基本原则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leftChars="0" w:right="0" w:rightChars="0" w:firstLine="643" w:firstLineChars="200"/>
        <w:jc w:val="left"/>
        <w:textAlignment w:val="auto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b/>
        </w:rPr>
        <w:t>（一）合理规划、突出重点。</w:t>
      </w:r>
      <w:r>
        <w:rPr>
          <w:rFonts w:hint="eastAsia" w:ascii="仿宋" w:hAnsi="仿宋" w:eastAsia="仿宋" w:cs="仿宋"/>
        </w:rPr>
        <w:t>综合考虑区域自然资源、经济社会发展水平和粮食生产能力等条件，优化高标准农田建设布局。在项目安排和资金投入上优先考虑永久基本农田保护区、粮食生</w:t>
      </w:r>
      <w:r>
        <w:rPr>
          <w:rFonts w:hint="eastAsia" w:ascii="仿宋" w:hAnsi="仿宋" w:eastAsia="仿宋" w:cs="仿宋"/>
          <w:w w:val="95"/>
        </w:rPr>
        <w:t>产功能区、重要农产品生产保护区，同时兼顾其他农产品优势区。</w:t>
      </w:r>
      <w:r>
        <w:rPr>
          <w:rFonts w:hint="eastAsia" w:ascii="仿宋" w:hAnsi="仿宋" w:eastAsia="仿宋" w:cs="仿宋"/>
          <w:w w:val="95"/>
          <w:lang w:eastAsia="zh-CN"/>
        </w:rPr>
        <w:t>优先安排在大中型灌区范围内实施。</w:t>
      </w:r>
      <w:r>
        <w:rPr>
          <w:rFonts w:hint="eastAsia" w:ascii="仿宋" w:hAnsi="仿宋" w:eastAsia="仿宋" w:cs="仿宋"/>
        </w:rPr>
        <w:t>优先支持贫困地区和贫困村建设高标准农田。已规划的项目采取集中投入、连片治理、整体推进的建设方式，确保建设一片、建成一片。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leftChars="0" w:right="0" w:rightChars="0" w:firstLine="611" w:firstLineChars="200"/>
        <w:jc w:val="left"/>
        <w:textAlignment w:val="auto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b/>
          <w:w w:val="95"/>
        </w:rPr>
        <w:t>（二</w:t>
      </w:r>
      <w:r>
        <w:rPr>
          <w:rFonts w:hint="eastAsia" w:ascii="仿宋" w:hAnsi="仿宋" w:eastAsia="仿宋" w:cs="仿宋"/>
          <w:b/>
          <w:spacing w:val="-15"/>
          <w:w w:val="95"/>
        </w:rPr>
        <w:t>）</w:t>
      </w:r>
      <w:r>
        <w:rPr>
          <w:rFonts w:hint="eastAsia" w:ascii="仿宋" w:hAnsi="仿宋" w:eastAsia="仿宋" w:cs="仿宋"/>
          <w:b/>
          <w:spacing w:val="-6"/>
          <w:w w:val="95"/>
        </w:rPr>
        <w:t>因地制宜、多措并举。</w:t>
      </w:r>
      <w:r>
        <w:rPr>
          <w:rFonts w:hint="eastAsia" w:ascii="仿宋" w:hAnsi="仿宋" w:eastAsia="仿宋" w:cs="仿宋"/>
          <w:spacing w:val="-2"/>
          <w:w w:val="95"/>
        </w:rPr>
        <w:t xml:space="preserve">根据不同区域自然资源特点、经 </w:t>
      </w:r>
      <w:r>
        <w:rPr>
          <w:rFonts w:hint="eastAsia" w:ascii="仿宋" w:hAnsi="仿宋" w:eastAsia="仿宋" w:cs="仿宋"/>
          <w:spacing w:val="-2"/>
        </w:rPr>
        <w:t>济社会发展水平、土地利用状况和农田生产主要障碍因素，有针对性地实施农田改造工程，把田间灌排工程建设和地力培肥摆在优先位置，鼓励采用先进适用的农业科学技术建设高标准农田，多措并举，综合治理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leftChars="0" w:right="0" w:rightChars="0" w:firstLine="611" w:firstLineChars="200"/>
        <w:jc w:val="left"/>
        <w:textAlignment w:val="auto"/>
        <w:rPr>
          <w:rFonts w:hint="eastAsia" w:ascii="仿宋" w:hAnsi="仿宋" w:eastAsia="仿宋" w:cs="仿宋"/>
          <w:lang w:eastAsia="zh-CN"/>
        </w:rPr>
      </w:pPr>
      <w:r>
        <w:rPr>
          <w:rFonts w:hint="eastAsia" w:ascii="仿宋" w:hAnsi="仿宋" w:eastAsia="仿宋" w:cs="仿宋"/>
          <w:b/>
          <w:w w:val="95"/>
        </w:rPr>
        <w:t>（三</w:t>
      </w:r>
      <w:r>
        <w:rPr>
          <w:rFonts w:hint="eastAsia" w:ascii="仿宋" w:hAnsi="仿宋" w:eastAsia="仿宋" w:cs="仿宋"/>
          <w:b/>
          <w:spacing w:val="-15"/>
          <w:w w:val="95"/>
        </w:rPr>
        <w:t>）</w:t>
      </w:r>
      <w:r>
        <w:rPr>
          <w:rFonts w:hint="eastAsia" w:ascii="仿宋" w:hAnsi="仿宋" w:eastAsia="仿宋" w:cs="仿宋"/>
          <w:b/>
          <w:spacing w:val="-6"/>
          <w:w w:val="95"/>
        </w:rPr>
        <w:t>节约资源、保护生态。</w:t>
      </w:r>
      <w:r>
        <w:rPr>
          <w:rFonts w:hint="eastAsia" w:ascii="仿宋" w:hAnsi="仿宋" w:eastAsia="仿宋" w:cs="仿宋"/>
          <w:spacing w:val="-3"/>
          <w:w w:val="95"/>
        </w:rPr>
        <w:t>坚持耕地数量、质量与生态建设</w:t>
      </w:r>
      <w:r>
        <w:rPr>
          <w:rFonts w:hint="eastAsia" w:ascii="仿宋" w:hAnsi="仿宋" w:eastAsia="仿宋" w:cs="仿宋"/>
          <w:spacing w:val="-3"/>
        </w:rPr>
        <w:t>相结合、相统一。在建设和利用高标准农田过程中，从减少水土流失、控制农业面源污染、促进耕地节约集约利用等多方面统筹考虑，充分发挥高标准农田在生产、生态、景观等方面的综合功能，实现农业生产和生态保护相协调。</w:t>
      </w:r>
      <w:r>
        <w:rPr>
          <w:rFonts w:hint="eastAsia" w:ascii="仿宋" w:hAnsi="仿宋" w:eastAsia="仿宋" w:cs="仿宋"/>
          <w:spacing w:val="-3"/>
          <w:lang w:eastAsia="zh-CN"/>
        </w:rPr>
        <w:t>优先利用建设占用建设耕地耕作层剥离土壤。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leftChars="0" w:right="0" w:rightChars="0" w:firstLine="643" w:firstLineChars="200"/>
        <w:jc w:val="left"/>
        <w:textAlignment w:val="auto"/>
        <w:rPr>
          <w:rFonts w:hint="eastAsia" w:ascii="仿宋" w:hAnsi="仿宋" w:eastAsia="仿宋" w:cs="仿宋"/>
          <w:spacing w:val="-16"/>
        </w:rPr>
      </w:pPr>
      <w:r>
        <w:rPr>
          <w:rFonts w:hint="eastAsia" w:ascii="仿宋" w:hAnsi="仿宋" w:eastAsia="仿宋" w:cs="仿宋"/>
          <w:b/>
        </w:rPr>
        <w:t>（四</w:t>
      </w:r>
      <w:r>
        <w:rPr>
          <w:rFonts w:hint="eastAsia" w:ascii="仿宋" w:hAnsi="仿宋" w:eastAsia="仿宋" w:cs="仿宋"/>
          <w:b/>
          <w:spacing w:val="-15"/>
        </w:rPr>
        <w:t>）</w:t>
      </w:r>
      <w:r>
        <w:rPr>
          <w:rFonts w:hint="eastAsia" w:ascii="仿宋" w:hAnsi="仿宋" w:eastAsia="仿宋" w:cs="仿宋"/>
          <w:b/>
          <w:spacing w:val="-4"/>
        </w:rPr>
        <w:t>政府为主导、多渠道筹资。</w:t>
      </w:r>
      <w:r>
        <w:rPr>
          <w:rFonts w:hint="eastAsia" w:ascii="仿宋" w:hAnsi="仿宋" w:eastAsia="仿宋" w:cs="仿宋"/>
          <w:spacing w:val="-4"/>
        </w:rPr>
        <w:t>以“争取中央和省级财政资</w:t>
      </w:r>
      <w:r>
        <w:rPr>
          <w:rFonts w:hint="eastAsia" w:ascii="仿宋" w:hAnsi="仿宋" w:eastAsia="仿宋" w:cs="仿宋"/>
          <w:spacing w:val="-18"/>
          <w:w w:val="99"/>
        </w:rPr>
        <w:t>金为主，县</w:t>
      </w:r>
      <w:r>
        <w:rPr>
          <w:rFonts w:hint="eastAsia" w:ascii="仿宋" w:hAnsi="仿宋" w:eastAsia="仿宋" w:cs="仿宋"/>
          <w:spacing w:val="2"/>
          <w:w w:val="99"/>
        </w:rPr>
        <w:t>（</w:t>
      </w:r>
      <w:r>
        <w:rPr>
          <w:rFonts w:hint="eastAsia" w:ascii="仿宋" w:hAnsi="仿宋" w:eastAsia="仿宋" w:cs="仿宋"/>
          <w:spacing w:val="-14"/>
          <w:w w:val="99"/>
        </w:rPr>
        <w:t>市、区</w:t>
      </w:r>
      <w:r>
        <w:rPr>
          <w:rFonts w:hint="eastAsia" w:ascii="仿宋" w:hAnsi="仿宋" w:eastAsia="仿宋" w:cs="仿宋"/>
          <w:spacing w:val="-41"/>
          <w:w w:val="99"/>
        </w:rPr>
        <w:t>）</w:t>
      </w:r>
      <w:r>
        <w:rPr>
          <w:rFonts w:hint="eastAsia" w:ascii="仿宋" w:hAnsi="仿宋" w:eastAsia="仿宋" w:cs="仿宋"/>
          <w:spacing w:val="-16"/>
          <w:w w:val="99"/>
        </w:rPr>
        <w:t>投资为辅，新型农业经营主体投资为补充”，</w:t>
      </w:r>
      <w:r>
        <w:rPr>
          <w:rFonts w:hint="eastAsia" w:ascii="仿宋" w:hAnsi="仿宋" w:eastAsia="仿宋" w:cs="仿宋"/>
          <w:spacing w:val="-16"/>
        </w:rPr>
        <w:t>努力拓展新的资金渠道，积极鼓励专业大户、家庭农场、农民专业合作组织、农业产业化龙头企业等新型农业经营主体投资建设高标准农田。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leftChars="0" w:right="0" w:rightChars="0" w:firstLine="640" w:firstLineChars="200"/>
        <w:jc w:val="center"/>
        <w:textAlignment w:val="auto"/>
        <w:rPr>
          <w:rFonts w:hint="eastAsia" w:ascii="仿宋" w:hAnsi="仿宋" w:eastAsia="仿宋" w:cs="仿宋"/>
          <w:spacing w:val="-16"/>
        </w:rPr>
      </w:pPr>
      <w:r>
        <w:rPr>
          <w:rFonts w:hint="eastAsia" w:ascii="黑体" w:eastAsia="黑体"/>
        </w:rPr>
        <w:t>第三章 区域布局与建设任务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leftChars="0" w:right="0" w:rightChars="0" w:firstLine="640" w:firstLineChars="200"/>
        <w:textAlignment w:val="auto"/>
        <w:rPr>
          <w:rFonts w:hint="eastAsia" w:ascii="黑体" w:eastAsia="黑体"/>
          <w:sz w:val="25"/>
          <w:lang w:eastAsia="zh-CN"/>
        </w:rPr>
      </w:pPr>
      <w:r>
        <w:rPr>
          <w:rFonts w:hint="eastAsia" w:ascii="黑体" w:eastAsia="黑体"/>
        </w:rPr>
        <w:t>一、建设任务指标分</w:t>
      </w:r>
      <w:r>
        <w:rPr>
          <w:rFonts w:hint="eastAsia" w:ascii="黑体" w:eastAsia="黑体"/>
          <w:lang w:eastAsia="zh-CN"/>
        </w:rPr>
        <w:t>解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leftChars="0" w:right="0" w:rightChars="0" w:firstLine="596" w:firstLineChars="200"/>
        <w:textAlignment w:val="auto"/>
        <w:rPr>
          <w:spacing w:val="-3"/>
        </w:rPr>
      </w:pPr>
      <w:r>
        <w:rPr>
          <w:spacing w:val="-3"/>
          <w:w w:val="95"/>
        </w:rPr>
        <w:t>根据规划期内各地的耕地保有量、基本农田保护面积，统筹考</w:t>
      </w:r>
      <w:r>
        <w:rPr>
          <w:spacing w:val="-3"/>
        </w:rPr>
        <w:t>虑耕地利用现状及“十三五”期间高标准农田建设情况，按照突出重点、发挥优势、相对平衡、注重实效的原则，科学规划各县市区高标准农田建设任务。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/>
          <w:lang w:eastAsia="zh-CN"/>
        </w:rPr>
      </w:pPr>
      <w:r>
        <w:rPr>
          <w:rFonts w:hint="eastAsia" w:ascii="黑体" w:hAnsi="黑体" w:eastAsia="黑体" w:cs="黑体"/>
          <w:lang w:eastAsia="zh-CN"/>
        </w:rPr>
        <w:t>各县（市）区高标准农田建设任务表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leftChars="0" w:right="0" w:rightChars="0" w:firstLine="6720" w:firstLineChars="2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单位：万亩</w:t>
      </w:r>
    </w:p>
    <w:tbl>
      <w:tblPr>
        <w:tblStyle w:val="8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3"/>
        <w:gridCol w:w="1708"/>
        <w:gridCol w:w="1901"/>
        <w:gridCol w:w="1503"/>
        <w:gridCol w:w="19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7" w:hRule="atLeast"/>
        </w:trPr>
        <w:tc>
          <w:tcPr>
            <w:tcW w:w="1503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/>
              <w:ind w:left="0" w:right="0" w:rightChars="0"/>
              <w:jc w:val="center"/>
              <w:textAlignment w:val="auto"/>
              <w:rPr>
                <w:sz w:val="29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/>
              <w:ind w:left="165" w:leftChars="0" w:right="0" w:rightChars="0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黑体" w:eastAsia="黑体"/>
                <w:sz w:val="24"/>
              </w:rPr>
              <w:t>县市区</w:t>
            </w:r>
          </w:p>
        </w:tc>
        <w:tc>
          <w:tcPr>
            <w:tcW w:w="1708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2" w:lineRule="auto"/>
              <w:ind w:left="110" w:right="0" w:rightChars="0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黑体" w:eastAsia="黑体"/>
                <w:spacing w:val="-31"/>
                <w:sz w:val="24"/>
              </w:rPr>
              <w:t xml:space="preserve">到 </w:t>
            </w:r>
            <w:r>
              <w:rPr>
                <w:rFonts w:hint="eastAsia" w:ascii="黑体" w:eastAsia="黑体"/>
                <w:sz w:val="24"/>
              </w:rPr>
              <w:t>2025</w:t>
            </w:r>
            <w:r>
              <w:rPr>
                <w:rFonts w:hint="eastAsia" w:ascii="黑体" w:eastAsia="黑体"/>
                <w:spacing w:val="-19"/>
                <w:sz w:val="24"/>
              </w:rPr>
              <w:t xml:space="preserve"> 年累计</w:t>
            </w:r>
            <w:r>
              <w:rPr>
                <w:rFonts w:hint="eastAsia" w:ascii="黑体" w:eastAsia="黑体"/>
                <w:sz w:val="24"/>
              </w:rPr>
              <w:t>建成面积</w:t>
            </w:r>
          </w:p>
        </w:tc>
        <w:tc>
          <w:tcPr>
            <w:tcW w:w="1901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2" w:lineRule="auto"/>
              <w:ind w:left="120" w:right="0" w:rightChars="0"/>
              <w:jc w:val="center"/>
              <w:textAlignment w:val="auto"/>
              <w:rPr>
                <w:rFonts w:hint="eastAsia" w:ascii="黑体" w:eastAsia="黑体"/>
                <w:spacing w:val="-19"/>
                <w:sz w:val="24"/>
              </w:rPr>
            </w:pPr>
            <w:r>
              <w:rPr>
                <w:rFonts w:hint="eastAsia" w:ascii="黑体" w:eastAsia="黑体"/>
                <w:spacing w:val="-31"/>
                <w:sz w:val="24"/>
              </w:rPr>
              <w:t xml:space="preserve">到 </w:t>
            </w:r>
            <w:r>
              <w:rPr>
                <w:rFonts w:hint="eastAsia" w:ascii="黑体" w:eastAsia="黑体"/>
                <w:sz w:val="24"/>
              </w:rPr>
              <w:t>2025</w:t>
            </w:r>
            <w:r>
              <w:rPr>
                <w:rFonts w:hint="eastAsia" w:ascii="黑体" w:eastAsia="黑体"/>
                <w:spacing w:val="-19"/>
                <w:sz w:val="24"/>
              </w:rPr>
              <w:t xml:space="preserve"> 年</w:t>
            </w: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2" w:lineRule="auto"/>
              <w:ind w:left="120" w:right="0" w:rightChars="0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黑体" w:eastAsia="黑体"/>
                <w:spacing w:val="-19"/>
                <w:sz w:val="24"/>
              </w:rPr>
              <w:t>累计</w:t>
            </w:r>
            <w:r>
              <w:rPr>
                <w:rFonts w:hint="eastAsia" w:ascii="黑体" w:eastAsia="黑体"/>
                <w:sz w:val="24"/>
              </w:rPr>
              <w:t>改造提升面积</w:t>
            </w:r>
          </w:p>
        </w:tc>
        <w:tc>
          <w:tcPr>
            <w:tcW w:w="1503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2" w:lineRule="auto"/>
              <w:ind w:left="108" w:right="0" w:rightChars="0"/>
              <w:jc w:val="center"/>
              <w:textAlignment w:val="auto"/>
              <w:rPr>
                <w:rFonts w:hint="eastAsia" w:ascii="黑体" w:eastAsia="黑体"/>
                <w:spacing w:val="-22"/>
                <w:sz w:val="24"/>
              </w:rPr>
            </w:pPr>
            <w:r>
              <w:rPr>
                <w:rFonts w:hint="eastAsia" w:ascii="黑体" w:eastAsia="黑体"/>
                <w:spacing w:val="-37"/>
                <w:sz w:val="24"/>
              </w:rPr>
              <w:t xml:space="preserve">到 </w:t>
            </w:r>
            <w:r>
              <w:rPr>
                <w:rFonts w:hint="eastAsia" w:ascii="黑体" w:eastAsia="黑体"/>
                <w:sz w:val="24"/>
              </w:rPr>
              <w:t>2030</w:t>
            </w:r>
            <w:r>
              <w:rPr>
                <w:rFonts w:hint="eastAsia" w:ascii="黑体" w:eastAsia="黑体"/>
                <w:spacing w:val="-22"/>
                <w:sz w:val="24"/>
              </w:rPr>
              <w:t xml:space="preserve"> 年</w:t>
            </w: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2" w:lineRule="auto"/>
              <w:ind w:left="108" w:right="0" w:rightChars="0"/>
              <w:jc w:val="center"/>
              <w:textAlignment w:val="auto"/>
              <w:rPr>
                <w:rFonts w:hint="eastAsia" w:eastAsia="黑体"/>
                <w:vertAlign w:val="baseline"/>
                <w:lang w:eastAsia="zh-CN"/>
              </w:rPr>
            </w:pPr>
            <w:r>
              <w:rPr>
                <w:rFonts w:hint="eastAsia" w:ascii="黑体" w:eastAsia="黑体"/>
                <w:spacing w:val="-22"/>
                <w:sz w:val="24"/>
              </w:rPr>
              <w:t>累计</w:t>
            </w:r>
            <w:r>
              <w:rPr>
                <w:rFonts w:hint="eastAsia" w:ascii="黑体" w:eastAsia="黑体"/>
                <w:sz w:val="24"/>
              </w:rPr>
              <w:t>建成面</w:t>
            </w:r>
            <w:r>
              <w:rPr>
                <w:rFonts w:hint="eastAsia" w:ascii="黑体" w:eastAsia="黑体"/>
                <w:sz w:val="24"/>
                <w:lang w:eastAsia="zh-CN"/>
              </w:rPr>
              <w:t>积</w:t>
            </w:r>
          </w:p>
        </w:tc>
        <w:tc>
          <w:tcPr>
            <w:tcW w:w="1907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2" w:lineRule="auto"/>
              <w:ind w:left="148" w:right="0" w:rightChars="0"/>
              <w:jc w:val="center"/>
              <w:textAlignment w:val="auto"/>
              <w:rPr>
                <w:rFonts w:hint="eastAsia" w:ascii="黑体" w:eastAsia="黑体"/>
                <w:spacing w:val="-19"/>
                <w:sz w:val="24"/>
              </w:rPr>
            </w:pPr>
            <w:r>
              <w:rPr>
                <w:rFonts w:hint="eastAsia" w:ascii="黑体" w:eastAsia="黑体"/>
                <w:spacing w:val="-31"/>
                <w:sz w:val="24"/>
              </w:rPr>
              <w:t xml:space="preserve">到 </w:t>
            </w:r>
            <w:r>
              <w:rPr>
                <w:rFonts w:hint="eastAsia" w:ascii="黑体" w:eastAsia="黑体"/>
                <w:sz w:val="24"/>
              </w:rPr>
              <w:t>2030</w:t>
            </w:r>
            <w:r>
              <w:rPr>
                <w:rFonts w:hint="eastAsia" w:ascii="黑体" w:eastAsia="黑体"/>
                <w:spacing w:val="-19"/>
                <w:sz w:val="24"/>
              </w:rPr>
              <w:t xml:space="preserve"> 年</w:t>
            </w: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2" w:lineRule="auto"/>
              <w:ind w:left="148" w:right="0" w:rightChars="0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黑体" w:eastAsia="黑体"/>
                <w:spacing w:val="-19"/>
                <w:sz w:val="24"/>
              </w:rPr>
              <w:t>累计</w:t>
            </w:r>
            <w:r>
              <w:rPr>
                <w:rFonts w:hint="eastAsia" w:ascii="黑体" w:eastAsia="黑体"/>
                <w:sz w:val="24"/>
              </w:rPr>
              <w:t>改造提升面积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3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/>
              <w:ind w:left="165" w:leftChars="0" w:right="0" w:rightChars="0"/>
              <w:jc w:val="center"/>
              <w:textAlignment w:val="auto"/>
              <w:rPr>
                <w:vertAlign w:val="baseline"/>
              </w:rPr>
            </w:pPr>
            <w:r>
              <w:rPr>
                <w:b/>
                <w:sz w:val="32"/>
              </w:rPr>
              <w:t>合计</w:t>
            </w:r>
          </w:p>
        </w:tc>
        <w:tc>
          <w:tcPr>
            <w:tcW w:w="1708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/>
              <w:ind w:left="109" w:leftChars="0" w:right="0" w:rightChars="0"/>
              <w:jc w:val="center"/>
              <w:textAlignment w:val="auto"/>
              <w:rPr>
                <w:vertAlign w:val="baseline"/>
              </w:rPr>
            </w:pPr>
            <w:r>
              <w:rPr>
                <w:b/>
                <w:sz w:val="32"/>
              </w:rPr>
              <w:t>51</w:t>
            </w:r>
            <w:r>
              <w:rPr>
                <w:rFonts w:hint="eastAsia"/>
                <w:b/>
                <w:sz w:val="32"/>
                <w:lang w:val="en-US" w:eastAsia="zh-CN"/>
              </w:rPr>
              <w:t>0.5</w:t>
            </w:r>
          </w:p>
        </w:tc>
        <w:tc>
          <w:tcPr>
            <w:tcW w:w="1901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/>
              <w:ind w:left="112" w:leftChars="0" w:right="0" w:rightChars="0"/>
              <w:jc w:val="center"/>
              <w:textAlignment w:val="auto"/>
              <w:rPr>
                <w:vertAlign w:val="baseline"/>
              </w:rPr>
            </w:pPr>
            <w:r>
              <w:rPr>
                <w:b/>
                <w:sz w:val="32"/>
              </w:rPr>
              <w:t>34.4</w:t>
            </w:r>
          </w:p>
        </w:tc>
        <w:tc>
          <w:tcPr>
            <w:tcW w:w="1503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/>
              <w:ind w:left="104" w:leftChars="0" w:right="0" w:rightChars="0"/>
              <w:jc w:val="center"/>
              <w:textAlignment w:val="auto"/>
              <w:rPr>
                <w:vertAlign w:val="baseline"/>
              </w:rPr>
            </w:pPr>
            <w:r>
              <w:rPr>
                <w:b/>
                <w:sz w:val="32"/>
              </w:rPr>
              <w:t>63</w:t>
            </w:r>
            <w:r>
              <w:rPr>
                <w:rFonts w:hint="eastAsia"/>
                <w:b/>
                <w:sz w:val="32"/>
                <w:lang w:val="en-US" w:eastAsia="zh-CN"/>
              </w:rPr>
              <w:t>0.5</w:t>
            </w:r>
          </w:p>
        </w:tc>
        <w:tc>
          <w:tcPr>
            <w:tcW w:w="1907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/>
              <w:ind w:left="143" w:leftChars="0" w:right="0" w:rightChars="0"/>
              <w:jc w:val="center"/>
              <w:textAlignment w:val="auto"/>
              <w:rPr>
                <w:vertAlign w:val="baseline"/>
              </w:rPr>
            </w:pPr>
            <w:r>
              <w:rPr>
                <w:b/>
                <w:sz w:val="32"/>
              </w:rPr>
              <w:t>106.4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3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/>
              <w:ind w:left="165" w:leftChars="0" w:right="0" w:rightChars="0"/>
              <w:jc w:val="center"/>
              <w:textAlignment w:val="auto"/>
              <w:rPr>
                <w:vertAlign w:val="baseline"/>
              </w:rPr>
            </w:pPr>
            <w:r>
              <w:rPr>
                <w:sz w:val="32"/>
              </w:rPr>
              <w:t>永吉县</w:t>
            </w:r>
          </w:p>
        </w:tc>
        <w:tc>
          <w:tcPr>
            <w:tcW w:w="1708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/>
              <w:ind w:left="109" w:leftChars="0" w:right="0" w:rightChars="0"/>
              <w:jc w:val="center"/>
              <w:textAlignment w:val="auto"/>
              <w:rPr>
                <w:vertAlign w:val="baseline"/>
              </w:rPr>
            </w:pPr>
            <w:r>
              <w:rPr>
                <w:sz w:val="32"/>
              </w:rPr>
              <w:t>8</w:t>
            </w:r>
            <w:r>
              <w:rPr>
                <w:rFonts w:hint="eastAsia"/>
                <w:sz w:val="32"/>
                <w:lang w:val="en-US" w:eastAsia="zh-CN"/>
              </w:rPr>
              <w:t>.3</w:t>
            </w:r>
          </w:p>
        </w:tc>
        <w:tc>
          <w:tcPr>
            <w:tcW w:w="1901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/>
              <w:ind w:left="114" w:leftChars="0" w:right="0" w:rightChars="0"/>
              <w:jc w:val="center"/>
              <w:textAlignment w:val="auto"/>
              <w:rPr>
                <w:vertAlign w:val="baseline"/>
              </w:rPr>
            </w:pPr>
            <w:r>
              <w:rPr>
                <w:sz w:val="32"/>
              </w:rPr>
              <w:t>6.5</w:t>
            </w:r>
          </w:p>
        </w:tc>
        <w:tc>
          <w:tcPr>
            <w:tcW w:w="1503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/>
              <w:ind w:left="102" w:leftChars="0" w:right="0" w:rightChars="0"/>
              <w:jc w:val="center"/>
              <w:textAlignment w:val="auto"/>
              <w:rPr>
                <w:vertAlign w:val="baseline"/>
              </w:rPr>
            </w:pPr>
            <w:r>
              <w:rPr>
                <w:sz w:val="32"/>
              </w:rPr>
              <w:t>106</w:t>
            </w:r>
            <w:r>
              <w:rPr>
                <w:rFonts w:hint="eastAsia"/>
                <w:sz w:val="32"/>
                <w:lang w:val="en-US" w:eastAsia="zh-CN"/>
              </w:rPr>
              <w:t>.3</w:t>
            </w:r>
          </w:p>
        </w:tc>
        <w:tc>
          <w:tcPr>
            <w:tcW w:w="1907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/>
              <w:ind w:left="145" w:leftChars="0" w:right="0" w:rightChars="0"/>
              <w:jc w:val="center"/>
              <w:textAlignment w:val="auto"/>
              <w:rPr>
                <w:vertAlign w:val="baseline"/>
              </w:rPr>
            </w:pPr>
            <w:r>
              <w:rPr>
                <w:sz w:val="32"/>
              </w:rPr>
              <w:t>16.5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3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/>
              <w:ind w:left="165" w:leftChars="0" w:right="0" w:rightChars="0"/>
              <w:jc w:val="center"/>
              <w:textAlignment w:val="auto"/>
              <w:rPr>
                <w:vertAlign w:val="baseline"/>
              </w:rPr>
            </w:pPr>
            <w:r>
              <w:rPr>
                <w:sz w:val="32"/>
              </w:rPr>
              <w:t>舒兰市</w:t>
            </w:r>
          </w:p>
        </w:tc>
        <w:tc>
          <w:tcPr>
            <w:tcW w:w="1708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/>
              <w:ind w:left="109" w:leftChars="0" w:right="0" w:rightChars="0"/>
              <w:jc w:val="center"/>
              <w:textAlignment w:val="auto"/>
              <w:rPr>
                <w:vertAlign w:val="baseline"/>
              </w:rPr>
            </w:pPr>
            <w:r>
              <w:rPr>
                <w:sz w:val="32"/>
              </w:rPr>
              <w:t>9</w:t>
            </w:r>
            <w:r>
              <w:rPr>
                <w:rFonts w:hint="eastAsia"/>
                <w:sz w:val="32"/>
                <w:lang w:val="en-US" w:eastAsia="zh-CN"/>
              </w:rPr>
              <w:t>7.2</w:t>
            </w:r>
          </w:p>
        </w:tc>
        <w:tc>
          <w:tcPr>
            <w:tcW w:w="1901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/>
              <w:ind w:left="114" w:leftChars="0" w:right="0" w:rightChars="0"/>
              <w:jc w:val="center"/>
              <w:textAlignment w:val="auto"/>
              <w:rPr>
                <w:vertAlign w:val="baseline"/>
              </w:rPr>
            </w:pPr>
            <w:r>
              <w:rPr>
                <w:sz w:val="32"/>
              </w:rPr>
              <w:t>5.5</w:t>
            </w:r>
          </w:p>
        </w:tc>
        <w:tc>
          <w:tcPr>
            <w:tcW w:w="1503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/>
              <w:ind w:left="102" w:leftChars="0" w:right="0" w:rightChars="0"/>
              <w:jc w:val="center"/>
              <w:textAlignment w:val="auto"/>
              <w:rPr>
                <w:vertAlign w:val="baseline"/>
              </w:rPr>
            </w:pPr>
            <w:r>
              <w:rPr>
                <w:sz w:val="32"/>
              </w:rPr>
              <w:t>119</w:t>
            </w:r>
            <w:r>
              <w:rPr>
                <w:rFonts w:hint="eastAsia"/>
                <w:sz w:val="32"/>
                <w:lang w:val="en-US" w:eastAsia="zh-CN"/>
              </w:rPr>
              <w:t>.2</w:t>
            </w:r>
          </w:p>
        </w:tc>
        <w:tc>
          <w:tcPr>
            <w:tcW w:w="1907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/>
              <w:ind w:left="145" w:leftChars="0" w:right="0" w:rightChars="0"/>
              <w:jc w:val="center"/>
              <w:textAlignment w:val="auto"/>
              <w:rPr>
                <w:vertAlign w:val="baseline"/>
              </w:rPr>
            </w:pPr>
            <w:r>
              <w:rPr>
                <w:sz w:val="32"/>
              </w:rPr>
              <w:t>19.5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3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/>
              <w:ind w:left="165" w:leftChars="0" w:right="0" w:rightChars="0"/>
              <w:jc w:val="center"/>
              <w:textAlignment w:val="auto"/>
              <w:rPr>
                <w:vertAlign w:val="baseline"/>
              </w:rPr>
            </w:pPr>
            <w:r>
              <w:rPr>
                <w:sz w:val="32"/>
              </w:rPr>
              <w:t>磐石市</w:t>
            </w:r>
          </w:p>
        </w:tc>
        <w:tc>
          <w:tcPr>
            <w:tcW w:w="1708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/>
              <w:ind w:left="109" w:leftChars="0" w:right="0" w:rightChars="0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/>
                <w:sz w:val="32"/>
                <w:lang w:val="en-US" w:eastAsia="zh-CN"/>
              </w:rPr>
              <w:t>79.3</w:t>
            </w:r>
          </w:p>
        </w:tc>
        <w:tc>
          <w:tcPr>
            <w:tcW w:w="1901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/>
              <w:ind w:left="114" w:leftChars="0" w:right="0" w:rightChars="0"/>
              <w:jc w:val="center"/>
              <w:textAlignment w:val="auto"/>
              <w:rPr>
                <w:vertAlign w:val="baseline"/>
              </w:rPr>
            </w:pPr>
            <w:r>
              <w:rPr>
                <w:sz w:val="32"/>
              </w:rPr>
              <w:t>5.4</w:t>
            </w:r>
          </w:p>
        </w:tc>
        <w:tc>
          <w:tcPr>
            <w:tcW w:w="1503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/>
              <w:ind w:left="102" w:leftChars="0" w:right="0" w:rightChars="0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/>
                <w:sz w:val="32"/>
                <w:lang w:val="en-US" w:eastAsia="zh-CN"/>
              </w:rPr>
              <w:t>99.3</w:t>
            </w:r>
          </w:p>
        </w:tc>
        <w:tc>
          <w:tcPr>
            <w:tcW w:w="1907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/>
              <w:ind w:left="145" w:leftChars="0" w:right="0" w:rightChars="0"/>
              <w:jc w:val="center"/>
              <w:textAlignment w:val="auto"/>
              <w:rPr>
                <w:vertAlign w:val="baseline"/>
              </w:rPr>
            </w:pPr>
            <w:r>
              <w:rPr>
                <w:sz w:val="32"/>
              </w:rPr>
              <w:t>16.4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3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/>
              <w:ind w:left="165" w:leftChars="0" w:right="0" w:rightChars="0"/>
              <w:jc w:val="center"/>
              <w:textAlignment w:val="auto"/>
              <w:rPr>
                <w:vertAlign w:val="baseline"/>
              </w:rPr>
            </w:pPr>
            <w:r>
              <w:rPr>
                <w:sz w:val="32"/>
              </w:rPr>
              <w:t>蛟河市</w:t>
            </w:r>
          </w:p>
        </w:tc>
        <w:tc>
          <w:tcPr>
            <w:tcW w:w="1708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/>
              <w:ind w:left="109" w:leftChars="0" w:right="0" w:rightChars="0"/>
              <w:jc w:val="center"/>
              <w:textAlignment w:val="auto"/>
              <w:rPr>
                <w:vertAlign w:val="baseline"/>
              </w:rPr>
            </w:pPr>
            <w:r>
              <w:rPr>
                <w:sz w:val="32"/>
              </w:rPr>
              <w:t>9</w:t>
            </w:r>
            <w:r>
              <w:rPr>
                <w:rFonts w:hint="eastAsia"/>
                <w:sz w:val="32"/>
                <w:lang w:val="en-US" w:eastAsia="zh-CN"/>
              </w:rPr>
              <w:t>2.5</w:t>
            </w:r>
          </w:p>
        </w:tc>
        <w:tc>
          <w:tcPr>
            <w:tcW w:w="1901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/>
              <w:ind w:left="7" w:leftChars="0" w:right="0" w:rightChars="0"/>
              <w:jc w:val="center"/>
              <w:textAlignment w:val="auto"/>
              <w:rPr>
                <w:vertAlign w:val="baseline"/>
              </w:rPr>
            </w:pPr>
            <w:r>
              <w:rPr>
                <w:w w:val="99"/>
                <w:sz w:val="32"/>
              </w:rPr>
              <w:t>5</w:t>
            </w:r>
          </w:p>
        </w:tc>
        <w:tc>
          <w:tcPr>
            <w:tcW w:w="1503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/>
              <w:ind w:left="102" w:leftChars="0" w:right="0" w:rightChars="0"/>
              <w:jc w:val="center"/>
              <w:textAlignment w:val="auto"/>
              <w:rPr>
                <w:vertAlign w:val="baseline"/>
              </w:rPr>
            </w:pPr>
            <w:r>
              <w:rPr>
                <w:sz w:val="32"/>
              </w:rPr>
              <w:t>109</w:t>
            </w:r>
            <w:r>
              <w:rPr>
                <w:rFonts w:hint="eastAsia"/>
                <w:sz w:val="32"/>
                <w:lang w:val="en-US" w:eastAsia="zh-CN"/>
              </w:rPr>
              <w:t>.5</w:t>
            </w:r>
          </w:p>
        </w:tc>
        <w:tc>
          <w:tcPr>
            <w:tcW w:w="1907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/>
              <w:ind w:left="148" w:leftChars="0" w:right="0" w:rightChars="0"/>
              <w:jc w:val="center"/>
              <w:textAlignment w:val="auto"/>
              <w:rPr>
                <w:vertAlign w:val="baseline"/>
              </w:rPr>
            </w:pPr>
            <w:r>
              <w:rPr>
                <w:sz w:val="32"/>
              </w:rPr>
              <w:t>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3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/>
              <w:ind w:left="165" w:leftChars="0" w:right="0" w:rightChars="0"/>
              <w:jc w:val="center"/>
              <w:textAlignment w:val="auto"/>
              <w:rPr>
                <w:vertAlign w:val="baseline"/>
              </w:rPr>
            </w:pPr>
            <w:r>
              <w:rPr>
                <w:sz w:val="32"/>
              </w:rPr>
              <w:t>桦甸市</w:t>
            </w:r>
          </w:p>
        </w:tc>
        <w:tc>
          <w:tcPr>
            <w:tcW w:w="1708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/>
              <w:ind w:left="109" w:leftChars="0" w:right="0" w:rightChars="0"/>
              <w:jc w:val="center"/>
              <w:textAlignment w:val="auto"/>
              <w:rPr>
                <w:vertAlign w:val="baseline"/>
              </w:rPr>
            </w:pPr>
            <w:r>
              <w:rPr>
                <w:sz w:val="32"/>
              </w:rPr>
              <w:t>9</w:t>
            </w:r>
            <w:r>
              <w:rPr>
                <w:rFonts w:hint="eastAsia"/>
                <w:sz w:val="32"/>
                <w:lang w:val="en-US" w:eastAsia="zh-CN"/>
              </w:rPr>
              <w:t>7.3</w:t>
            </w:r>
          </w:p>
        </w:tc>
        <w:tc>
          <w:tcPr>
            <w:tcW w:w="1901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/>
              <w:ind w:left="7" w:leftChars="0" w:right="0" w:rightChars="0"/>
              <w:jc w:val="center"/>
              <w:textAlignment w:val="auto"/>
              <w:rPr>
                <w:vertAlign w:val="baseline"/>
              </w:rPr>
            </w:pPr>
            <w:r>
              <w:rPr>
                <w:w w:val="99"/>
                <w:sz w:val="32"/>
              </w:rPr>
              <w:t>5</w:t>
            </w:r>
          </w:p>
        </w:tc>
        <w:tc>
          <w:tcPr>
            <w:tcW w:w="1503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/>
              <w:ind w:left="102" w:leftChars="0" w:right="0" w:rightChars="0"/>
              <w:jc w:val="center"/>
              <w:textAlignment w:val="auto"/>
              <w:rPr>
                <w:vertAlign w:val="baseline"/>
              </w:rPr>
            </w:pPr>
            <w:r>
              <w:rPr>
                <w:sz w:val="32"/>
              </w:rPr>
              <w:t>117</w:t>
            </w:r>
            <w:r>
              <w:rPr>
                <w:rFonts w:hint="eastAsia"/>
                <w:sz w:val="32"/>
                <w:lang w:val="en-US" w:eastAsia="zh-CN"/>
              </w:rPr>
              <w:t>.3</w:t>
            </w:r>
          </w:p>
        </w:tc>
        <w:tc>
          <w:tcPr>
            <w:tcW w:w="1907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/>
              <w:ind w:left="148" w:leftChars="0" w:right="0" w:rightChars="0"/>
              <w:jc w:val="center"/>
              <w:textAlignment w:val="auto"/>
              <w:rPr>
                <w:vertAlign w:val="baseline"/>
              </w:rPr>
            </w:pPr>
            <w:r>
              <w:rPr>
                <w:sz w:val="32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3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/>
              <w:ind w:left="165" w:leftChars="0" w:right="0" w:rightChars="0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/>
                <w:sz w:val="32"/>
                <w:lang w:eastAsia="zh-CN"/>
              </w:rPr>
              <w:t>城区</w:t>
            </w:r>
          </w:p>
        </w:tc>
        <w:tc>
          <w:tcPr>
            <w:tcW w:w="1708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/>
              <w:ind w:left="109" w:leftChars="0" w:right="0" w:rightChars="0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/>
                <w:sz w:val="32"/>
                <w:lang w:val="en-US" w:eastAsia="zh-CN"/>
              </w:rPr>
              <w:t>60.9</w:t>
            </w:r>
          </w:p>
        </w:tc>
        <w:tc>
          <w:tcPr>
            <w:tcW w:w="1901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/>
              <w:ind w:left="7" w:leftChars="0" w:right="0" w:rightChars="0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/>
                <w:w w:val="99"/>
                <w:sz w:val="32"/>
                <w:lang w:val="en-US" w:eastAsia="zh-CN"/>
              </w:rPr>
              <w:t>7</w:t>
            </w:r>
          </w:p>
        </w:tc>
        <w:tc>
          <w:tcPr>
            <w:tcW w:w="1503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/>
              <w:ind w:left="99" w:leftChars="0" w:right="0" w:rightChars="0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/>
                <w:sz w:val="32"/>
                <w:lang w:val="en-US" w:eastAsia="zh-CN"/>
              </w:rPr>
              <w:t>78.9</w:t>
            </w:r>
          </w:p>
        </w:tc>
        <w:tc>
          <w:tcPr>
            <w:tcW w:w="1907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/>
              <w:ind w:left="9" w:leftChars="0" w:right="0" w:rightChars="0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/>
                <w:w w:val="99"/>
                <w:sz w:val="32"/>
                <w:lang w:val="en-US" w:eastAsia="zh-CN"/>
              </w:rPr>
              <w:t>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3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/>
              <w:ind w:left="165" w:leftChars="0" w:right="0" w:rightChars="0"/>
              <w:jc w:val="center"/>
              <w:textAlignment w:val="auto"/>
              <w:rPr>
                <w:vertAlign w:val="baseline"/>
              </w:rPr>
            </w:pPr>
            <w:r>
              <w:rPr>
                <w:sz w:val="32"/>
              </w:rPr>
              <w:t>船营区</w:t>
            </w:r>
          </w:p>
        </w:tc>
        <w:tc>
          <w:tcPr>
            <w:tcW w:w="1708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/>
              <w:ind w:left="109" w:leftChars="0" w:right="0" w:rightChars="0"/>
              <w:jc w:val="center"/>
              <w:textAlignment w:val="auto"/>
              <w:rPr>
                <w:vertAlign w:val="baseline"/>
              </w:rPr>
            </w:pPr>
            <w:r>
              <w:rPr>
                <w:sz w:val="32"/>
              </w:rPr>
              <w:t>1</w:t>
            </w:r>
            <w:r>
              <w:rPr>
                <w:rFonts w:hint="eastAsia"/>
                <w:sz w:val="32"/>
                <w:lang w:val="en-US" w:eastAsia="zh-CN"/>
              </w:rPr>
              <w:t>0</w:t>
            </w:r>
          </w:p>
        </w:tc>
        <w:tc>
          <w:tcPr>
            <w:tcW w:w="1901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/>
              <w:ind w:left="7" w:leftChars="0" w:right="0" w:rightChars="0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/>
                <w:w w:val="99"/>
                <w:sz w:val="32"/>
                <w:lang w:val="en-US" w:eastAsia="zh-CN"/>
              </w:rPr>
              <w:t>1</w:t>
            </w:r>
          </w:p>
        </w:tc>
        <w:tc>
          <w:tcPr>
            <w:tcW w:w="1503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/>
              <w:ind w:left="99" w:leftChars="0" w:right="0" w:rightChars="0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/>
                <w:sz w:val="32"/>
                <w:lang w:val="en-US" w:eastAsia="zh-CN"/>
              </w:rPr>
              <w:t>14</w:t>
            </w:r>
          </w:p>
        </w:tc>
        <w:tc>
          <w:tcPr>
            <w:tcW w:w="1907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/>
              <w:ind w:left="9" w:leftChars="0" w:right="0" w:rightChars="0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/>
                <w:w w:val="99"/>
                <w:sz w:val="32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3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/>
              <w:ind w:left="165" w:leftChars="0" w:right="0" w:rightChars="0"/>
              <w:jc w:val="center"/>
              <w:textAlignment w:val="auto"/>
              <w:rPr>
                <w:vertAlign w:val="baseline"/>
              </w:rPr>
            </w:pPr>
            <w:r>
              <w:rPr>
                <w:sz w:val="32"/>
              </w:rPr>
              <w:t>昌邑区</w:t>
            </w:r>
          </w:p>
        </w:tc>
        <w:tc>
          <w:tcPr>
            <w:tcW w:w="1708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/>
              <w:ind w:left="109" w:leftChars="0" w:right="0" w:rightChars="0"/>
              <w:jc w:val="center"/>
              <w:textAlignment w:val="auto"/>
              <w:rPr>
                <w:vertAlign w:val="baseline"/>
              </w:rPr>
            </w:pPr>
            <w:r>
              <w:rPr>
                <w:sz w:val="32"/>
              </w:rPr>
              <w:t>2</w:t>
            </w:r>
            <w:r>
              <w:rPr>
                <w:rFonts w:hint="eastAsia"/>
                <w:sz w:val="32"/>
                <w:lang w:val="en-US" w:eastAsia="zh-CN"/>
              </w:rPr>
              <w:t>0</w:t>
            </w:r>
          </w:p>
        </w:tc>
        <w:tc>
          <w:tcPr>
            <w:tcW w:w="1901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/>
              <w:ind w:left="7" w:leftChars="0" w:right="0" w:rightChars="0"/>
              <w:jc w:val="center"/>
              <w:textAlignment w:val="auto"/>
              <w:rPr>
                <w:vertAlign w:val="baseline"/>
              </w:rPr>
            </w:pPr>
            <w:r>
              <w:rPr>
                <w:w w:val="99"/>
                <w:sz w:val="32"/>
              </w:rPr>
              <w:t>2</w:t>
            </w:r>
          </w:p>
        </w:tc>
        <w:tc>
          <w:tcPr>
            <w:tcW w:w="1503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/>
              <w:ind w:left="99" w:leftChars="0" w:right="0" w:rightChars="0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/>
                <w:sz w:val="32"/>
                <w:lang w:val="en-US" w:eastAsia="zh-CN"/>
              </w:rPr>
              <w:t>25.4</w:t>
            </w:r>
          </w:p>
        </w:tc>
        <w:tc>
          <w:tcPr>
            <w:tcW w:w="1907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/>
              <w:ind w:left="9" w:leftChars="0" w:right="0" w:rightChars="0"/>
              <w:jc w:val="center"/>
              <w:textAlignment w:val="auto"/>
              <w:rPr>
                <w:vertAlign w:val="baseline"/>
              </w:rPr>
            </w:pPr>
            <w:r>
              <w:rPr>
                <w:w w:val="99"/>
                <w:sz w:val="32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3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/>
              <w:ind w:left="165" w:leftChars="0" w:right="0" w:rightChars="0"/>
              <w:jc w:val="center"/>
              <w:textAlignment w:val="auto"/>
              <w:rPr>
                <w:vertAlign w:val="baseline"/>
              </w:rPr>
            </w:pPr>
            <w:r>
              <w:rPr>
                <w:sz w:val="32"/>
              </w:rPr>
              <w:t>龙潭区</w:t>
            </w:r>
          </w:p>
        </w:tc>
        <w:tc>
          <w:tcPr>
            <w:tcW w:w="1708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/>
              <w:ind w:left="109" w:leftChars="0" w:right="0" w:rightChars="0"/>
              <w:jc w:val="center"/>
              <w:textAlignment w:val="auto"/>
              <w:rPr>
                <w:vertAlign w:val="baseline"/>
              </w:rPr>
            </w:pPr>
            <w:r>
              <w:rPr>
                <w:sz w:val="32"/>
              </w:rPr>
              <w:t>2</w:t>
            </w:r>
            <w:r>
              <w:rPr>
                <w:rFonts w:hint="eastAsia"/>
                <w:sz w:val="32"/>
                <w:lang w:val="en-US" w:eastAsia="zh-CN"/>
              </w:rPr>
              <w:t>1</w:t>
            </w:r>
          </w:p>
        </w:tc>
        <w:tc>
          <w:tcPr>
            <w:tcW w:w="1901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/>
              <w:ind w:left="7" w:leftChars="0" w:right="0" w:rightChars="0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/>
                <w:w w:val="99"/>
                <w:sz w:val="32"/>
                <w:lang w:val="en-US" w:eastAsia="zh-CN"/>
              </w:rPr>
              <w:t>2</w:t>
            </w:r>
          </w:p>
        </w:tc>
        <w:tc>
          <w:tcPr>
            <w:tcW w:w="1503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/>
              <w:ind w:left="99" w:leftChars="0" w:right="0" w:rightChars="0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/>
                <w:sz w:val="32"/>
                <w:lang w:val="en-US" w:eastAsia="zh-CN"/>
              </w:rPr>
              <w:t>26.5</w:t>
            </w:r>
          </w:p>
        </w:tc>
        <w:tc>
          <w:tcPr>
            <w:tcW w:w="1907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/>
              <w:ind w:left="9" w:leftChars="0" w:right="0" w:rightChars="0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/>
                <w:w w:val="99"/>
                <w:sz w:val="32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3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/>
              <w:ind w:left="165" w:leftChars="0" w:right="0" w:rightChars="0"/>
              <w:jc w:val="center"/>
              <w:textAlignment w:val="auto"/>
              <w:rPr>
                <w:vertAlign w:val="baseline"/>
              </w:rPr>
            </w:pPr>
            <w:r>
              <w:rPr>
                <w:sz w:val="32"/>
              </w:rPr>
              <w:t>丰满区</w:t>
            </w:r>
          </w:p>
        </w:tc>
        <w:tc>
          <w:tcPr>
            <w:tcW w:w="1708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/>
              <w:ind w:left="7" w:leftChars="0" w:right="0" w:rightChars="0"/>
              <w:jc w:val="center"/>
              <w:textAlignment w:val="auto"/>
              <w:rPr>
                <w:vertAlign w:val="baseline"/>
              </w:rPr>
            </w:pPr>
            <w:r>
              <w:rPr>
                <w:w w:val="99"/>
                <w:sz w:val="32"/>
              </w:rPr>
              <w:t>6</w:t>
            </w:r>
            <w:r>
              <w:rPr>
                <w:rFonts w:hint="eastAsia"/>
                <w:w w:val="99"/>
                <w:sz w:val="32"/>
                <w:lang w:val="en-US" w:eastAsia="zh-CN"/>
              </w:rPr>
              <w:t>.9</w:t>
            </w:r>
          </w:p>
        </w:tc>
        <w:tc>
          <w:tcPr>
            <w:tcW w:w="1901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/>
              <w:ind w:left="7" w:leftChars="0" w:right="0" w:rightChars="0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/>
                <w:w w:val="99"/>
                <w:sz w:val="32"/>
                <w:lang w:val="en-US" w:eastAsia="zh-CN"/>
              </w:rPr>
              <w:t>1</w:t>
            </w:r>
          </w:p>
        </w:tc>
        <w:tc>
          <w:tcPr>
            <w:tcW w:w="1503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/>
              <w:ind w:left="9" w:leftChars="0" w:right="0" w:rightChars="0"/>
              <w:jc w:val="center"/>
              <w:textAlignment w:val="auto"/>
              <w:rPr>
                <w:vertAlign w:val="baseline"/>
              </w:rPr>
            </w:pPr>
            <w:r>
              <w:rPr>
                <w:w w:val="99"/>
                <w:sz w:val="32"/>
              </w:rPr>
              <w:t>8</w:t>
            </w:r>
          </w:p>
        </w:tc>
        <w:tc>
          <w:tcPr>
            <w:tcW w:w="1907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/>
              <w:ind w:left="9" w:leftChars="0" w:right="0" w:rightChars="0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/>
                <w:w w:val="99"/>
                <w:sz w:val="32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1503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/>
              <w:ind w:left="165" w:leftChars="0" w:right="0" w:rightChars="0"/>
              <w:jc w:val="center"/>
              <w:textAlignment w:val="auto"/>
              <w:rPr>
                <w:rFonts w:hint="eastAsia"/>
                <w:color w:val="auto"/>
                <w:sz w:val="32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 w:val="32"/>
                <w:highlight w:val="none"/>
                <w:lang w:eastAsia="zh-CN"/>
              </w:rPr>
              <w:t>中新</w:t>
            </w: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/>
              <w:ind w:left="165" w:leftChars="0" w:right="0" w:rightChars="0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/>
                <w:color w:val="auto"/>
                <w:sz w:val="32"/>
                <w:highlight w:val="none"/>
                <w:lang w:eastAsia="zh-CN"/>
              </w:rPr>
              <w:t>食品区</w:t>
            </w:r>
          </w:p>
        </w:tc>
        <w:tc>
          <w:tcPr>
            <w:tcW w:w="1708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/>
              <w:ind w:left="7" w:leftChars="0" w:right="0" w:rightChars="0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/>
                <w:color w:val="auto"/>
                <w:w w:val="99"/>
                <w:sz w:val="32"/>
                <w:highlight w:val="none"/>
                <w:lang w:val="en-US" w:eastAsia="zh-CN"/>
              </w:rPr>
              <w:t>3</w:t>
            </w:r>
          </w:p>
        </w:tc>
        <w:tc>
          <w:tcPr>
            <w:tcW w:w="1901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/>
              <w:ind w:left="7" w:leftChars="0" w:right="0" w:rightChars="0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/>
                <w:color w:val="auto"/>
                <w:w w:val="99"/>
                <w:sz w:val="32"/>
                <w:highlight w:val="none"/>
                <w:lang w:val="en-US" w:eastAsia="zh-CN"/>
              </w:rPr>
              <w:t>1</w:t>
            </w:r>
          </w:p>
        </w:tc>
        <w:tc>
          <w:tcPr>
            <w:tcW w:w="1503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/>
              <w:ind w:left="9" w:leftChars="0" w:right="0" w:rightChars="0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/>
                <w:w w:val="99"/>
                <w:sz w:val="32"/>
                <w:lang w:val="en-US" w:eastAsia="zh-CN"/>
              </w:rPr>
              <w:t>5</w:t>
            </w:r>
          </w:p>
        </w:tc>
        <w:tc>
          <w:tcPr>
            <w:tcW w:w="1907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/>
              <w:ind w:left="9" w:leftChars="0" w:right="0" w:rightChars="0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/>
                <w:w w:val="99"/>
                <w:sz w:val="32"/>
                <w:lang w:val="en-US" w:eastAsia="zh-CN"/>
              </w:rPr>
              <w:t>2</w:t>
            </w:r>
          </w:p>
        </w:tc>
      </w:tr>
    </w:tbl>
    <w:p>
      <w:pPr>
        <w:pStyle w:val="5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leftChars="0" w:right="0" w:rightChars="0" w:firstLine="640" w:firstLineChars="200"/>
        <w:textAlignment w:val="auto"/>
        <w:rPr>
          <w:rFonts w:hint="eastAsia" w:ascii="黑体" w:eastAsia="黑体"/>
          <w:lang w:eastAsia="zh-CN"/>
        </w:rPr>
      </w:pPr>
      <w:r>
        <w:rPr>
          <w:rFonts w:hint="eastAsia" w:ascii="黑体" w:eastAsia="黑体"/>
          <w:lang w:eastAsia="zh-CN"/>
        </w:rPr>
        <w:t>建设内容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cs="仿宋"/>
          <w:lang w:eastAsia="zh-CN"/>
        </w:rPr>
        <w:t>遵循吉林市乡村振兴战略部署要求，统筹考虑高标准农业田建设的农业、水利、土地、林业、电力、气象等多方面因素，紧扣高标准农田建设的“田、土、水、路、林、电、技、管”等</w:t>
      </w:r>
      <w:r>
        <w:rPr>
          <w:rFonts w:hint="eastAsia" w:cs="仿宋"/>
          <w:lang w:val="en-US" w:eastAsia="zh-CN"/>
        </w:rPr>
        <w:t>8个方面要求，开展田地整治、土壤改良、灌溉和排水、田间道路、农田防护和生态环境保护、农田输配电、科技服务、管护利用等8个方面建设。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leftChars="0" w:right="0" w:rightChars="0" w:firstLine="640" w:firstLineChars="200"/>
        <w:textAlignment w:val="auto"/>
        <w:rPr>
          <w:rFonts w:hint="eastAsia" w:ascii="黑体" w:eastAsia="黑体"/>
        </w:rPr>
      </w:pPr>
      <w:r>
        <w:rPr>
          <w:rFonts w:hint="eastAsia" w:ascii="黑体" w:eastAsia="黑体"/>
          <w:lang w:eastAsia="zh-CN"/>
        </w:rPr>
        <w:t>三</w:t>
      </w:r>
      <w:r>
        <w:rPr>
          <w:rFonts w:hint="eastAsia" w:ascii="黑体" w:eastAsia="黑体"/>
        </w:rPr>
        <w:t>、示范区与示范乡（镇）建设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选取“主导产业清晰、基础设施良好、建设规模合理、管理机制顺畅、辐射带动能力强、建设积极性高”的区域，高起点、高标准、高水平地谋划创建一批高标准农田示范区，充分发挥典型示范和辐射带动作用，引领我市高标准农田建设转型升级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leftChars="0"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“十四五”期间，以“长吉接合片区国家城乡融合发展试验</w:t>
      </w:r>
      <w:r>
        <w:rPr>
          <w:rFonts w:hint="eastAsia" w:ascii="仿宋" w:hAnsi="仿宋" w:eastAsia="仿宋" w:cs="仿宋"/>
          <w:spacing w:val="-11"/>
          <w:w w:val="95"/>
          <w:sz w:val="32"/>
          <w:szCs w:val="32"/>
        </w:rPr>
        <w:t>区”为重点建设区域，</w:t>
      </w:r>
      <w:r>
        <w:rPr>
          <w:rFonts w:hint="eastAsia" w:ascii="仿宋" w:hAnsi="仿宋" w:eastAsia="仿宋" w:cs="仿宋"/>
          <w:spacing w:val="-10"/>
          <w:w w:val="95"/>
          <w:sz w:val="32"/>
          <w:szCs w:val="32"/>
        </w:rPr>
        <w:t>沿长吉南、北两线公路两侧，持续</w:t>
      </w:r>
      <w:r>
        <w:rPr>
          <w:rFonts w:hint="eastAsia" w:ascii="仿宋" w:hAnsi="仿宋" w:eastAsia="仿宋" w:cs="仿宋"/>
          <w:spacing w:val="-14"/>
          <w:w w:val="95"/>
          <w:sz w:val="32"/>
          <w:szCs w:val="32"/>
        </w:rPr>
        <w:t>打造“</w:t>
      </w:r>
      <w:r>
        <w:rPr>
          <w:rFonts w:hint="eastAsia" w:ascii="仿宋" w:hAnsi="仿宋" w:eastAsia="仿宋" w:cs="仿宋"/>
          <w:w w:val="95"/>
          <w:sz w:val="32"/>
          <w:szCs w:val="32"/>
        </w:rPr>
        <w:t>百</w:t>
      </w:r>
      <w:r>
        <w:rPr>
          <w:rFonts w:hint="eastAsia" w:ascii="仿宋" w:hAnsi="仿宋" w:eastAsia="仿宋" w:cs="仿宋"/>
          <w:sz w:val="32"/>
          <w:szCs w:val="32"/>
        </w:rPr>
        <w:t>万亩高标准农田示范带”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，实现试验区全域建成高标准农田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leftChars="0" w:right="0" w:rightChars="0" w:firstLine="624" w:firstLineChars="20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-2"/>
          <w:w w:val="99"/>
          <w:sz w:val="32"/>
          <w:szCs w:val="32"/>
        </w:rPr>
        <w:t>2</w:t>
      </w:r>
      <w:r>
        <w:rPr>
          <w:rFonts w:hint="eastAsia" w:ascii="仿宋" w:hAnsi="仿宋" w:eastAsia="仿宋" w:cs="仿宋"/>
          <w:spacing w:val="1"/>
          <w:w w:val="99"/>
          <w:sz w:val="32"/>
          <w:szCs w:val="32"/>
        </w:rPr>
        <w:t>0</w:t>
      </w:r>
      <w:r>
        <w:rPr>
          <w:rFonts w:hint="eastAsia" w:ascii="仿宋" w:hAnsi="仿宋" w:eastAsia="仿宋" w:cs="仿宋"/>
          <w:spacing w:val="-2"/>
          <w:w w:val="99"/>
          <w:sz w:val="32"/>
          <w:szCs w:val="32"/>
        </w:rPr>
        <w:t>2</w:t>
      </w:r>
      <w:r>
        <w:rPr>
          <w:rFonts w:hint="eastAsia" w:ascii="仿宋" w:hAnsi="仿宋" w:eastAsia="仿宋" w:cs="仿宋"/>
          <w:spacing w:val="1"/>
          <w:w w:val="99"/>
          <w:sz w:val="32"/>
          <w:szCs w:val="32"/>
        </w:rPr>
        <w:t>1-</w:t>
      </w:r>
      <w:r>
        <w:rPr>
          <w:rFonts w:hint="eastAsia" w:ascii="仿宋" w:hAnsi="仿宋" w:eastAsia="仿宋" w:cs="仿宋"/>
          <w:spacing w:val="-2"/>
          <w:w w:val="99"/>
          <w:sz w:val="32"/>
          <w:szCs w:val="32"/>
        </w:rPr>
        <w:t>2</w:t>
      </w:r>
      <w:r>
        <w:rPr>
          <w:rFonts w:hint="eastAsia" w:ascii="仿宋" w:hAnsi="仿宋" w:eastAsia="仿宋" w:cs="仿宋"/>
          <w:spacing w:val="1"/>
          <w:w w:val="99"/>
          <w:sz w:val="32"/>
          <w:szCs w:val="32"/>
        </w:rPr>
        <w:t>02</w:t>
      </w:r>
      <w:r>
        <w:rPr>
          <w:rFonts w:hint="eastAsia" w:ascii="仿宋" w:hAnsi="仿宋" w:eastAsia="仿宋" w:cs="仿宋"/>
          <w:w w:val="99"/>
          <w:sz w:val="32"/>
          <w:szCs w:val="32"/>
        </w:rPr>
        <w:t>2</w:t>
      </w:r>
      <w:r>
        <w:rPr>
          <w:rFonts w:hint="eastAsia" w:ascii="仿宋" w:hAnsi="仿宋" w:eastAsia="仿宋" w:cs="仿宋"/>
          <w:spacing w:val="-78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pacing w:val="-14"/>
          <w:w w:val="99"/>
          <w:sz w:val="32"/>
          <w:szCs w:val="32"/>
        </w:rPr>
        <w:t>年，先期打造</w:t>
      </w:r>
      <w:r>
        <w:rPr>
          <w:rFonts w:hint="eastAsia" w:ascii="仿宋" w:hAnsi="仿宋" w:eastAsia="仿宋" w:cs="仿宋"/>
          <w:spacing w:val="-79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w w:val="99"/>
          <w:sz w:val="32"/>
          <w:szCs w:val="32"/>
        </w:rPr>
        <w:t>2</w:t>
      </w:r>
      <w:r>
        <w:rPr>
          <w:rFonts w:hint="eastAsia" w:ascii="仿宋" w:hAnsi="仿宋" w:eastAsia="仿宋" w:cs="仿宋"/>
          <w:spacing w:val="-80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pacing w:val="-27"/>
          <w:w w:val="99"/>
          <w:sz w:val="32"/>
          <w:szCs w:val="32"/>
        </w:rPr>
        <w:t>个“高标准农田示范区”，即：“昌</w:t>
      </w:r>
      <w:r>
        <w:rPr>
          <w:rFonts w:hint="eastAsia" w:ascii="仿宋" w:hAnsi="仿宋" w:eastAsia="仿宋" w:cs="仿宋"/>
          <w:spacing w:val="-27"/>
          <w:sz w:val="32"/>
          <w:szCs w:val="32"/>
        </w:rPr>
        <w:t>邑区桦皮厂镇高标准农田示范区”和“永吉县万昌镇高标准农田示范区”。未来几年，以“示范区”为辐射点，沿吉长南、北两线公路两侧，双线推进，同标准扩展建设，持续完成“百万亩高标准农田示范带”建设工程。各县（市）同步实施</w:t>
      </w:r>
      <w:r>
        <w:rPr>
          <w:rFonts w:hint="eastAsia" w:cs="仿宋"/>
          <w:spacing w:val="-27"/>
          <w:sz w:val="32"/>
          <w:szCs w:val="32"/>
          <w:lang w:eastAsia="zh-CN"/>
        </w:rPr>
        <w:t>整</w:t>
      </w:r>
      <w:r>
        <w:rPr>
          <w:rFonts w:hint="eastAsia" w:ascii="仿宋" w:hAnsi="仿宋" w:eastAsia="仿宋" w:cs="仿宋"/>
          <w:spacing w:val="-27"/>
          <w:sz w:val="32"/>
          <w:szCs w:val="32"/>
        </w:rPr>
        <w:t>乡（镇）打</w:t>
      </w:r>
      <w:r>
        <w:rPr>
          <w:rFonts w:hint="eastAsia" w:ascii="仿宋" w:hAnsi="仿宋" w:eastAsia="仿宋" w:cs="仿宋"/>
          <w:spacing w:val="-19"/>
          <w:sz w:val="32"/>
          <w:szCs w:val="32"/>
        </w:rPr>
        <w:t xml:space="preserve">造工程，每年集中建设 </w:t>
      </w:r>
      <w:r>
        <w:rPr>
          <w:rFonts w:hint="eastAsia" w:ascii="仿宋" w:hAnsi="仿宋" w:eastAsia="仿宋" w:cs="仿宋"/>
          <w:sz w:val="32"/>
          <w:szCs w:val="32"/>
        </w:rPr>
        <w:t xml:space="preserve">1-2 </w:t>
      </w:r>
      <w:r>
        <w:rPr>
          <w:rFonts w:hint="eastAsia" w:ascii="仿宋" w:hAnsi="仿宋" w:eastAsia="仿宋" w:cs="仿宋"/>
          <w:spacing w:val="-8"/>
          <w:sz w:val="32"/>
          <w:szCs w:val="32"/>
        </w:rPr>
        <w:t>个乡</w:t>
      </w:r>
      <w:r>
        <w:rPr>
          <w:rFonts w:hint="eastAsia" w:ascii="仿宋" w:hAnsi="仿宋" w:eastAsia="仿宋" w:cs="仿宋"/>
          <w:sz w:val="32"/>
          <w:szCs w:val="32"/>
        </w:rPr>
        <w:t>（镇</w:t>
      </w:r>
      <w:r>
        <w:rPr>
          <w:rFonts w:hint="eastAsia" w:ascii="仿宋" w:hAnsi="仿宋" w:eastAsia="仿宋" w:cs="仿宋"/>
          <w:spacing w:val="-15"/>
          <w:sz w:val="32"/>
          <w:szCs w:val="32"/>
        </w:rPr>
        <w:t>），</w:t>
      </w:r>
      <w:r>
        <w:rPr>
          <w:rFonts w:hint="eastAsia" w:ascii="仿宋" w:hAnsi="仿宋" w:eastAsia="仿宋" w:cs="仿宋"/>
          <w:spacing w:val="-42"/>
          <w:sz w:val="32"/>
          <w:szCs w:val="32"/>
        </w:rPr>
        <w:t xml:space="preserve">到 </w:t>
      </w:r>
      <w:r>
        <w:rPr>
          <w:rFonts w:hint="eastAsia" w:ascii="仿宋" w:hAnsi="仿宋" w:eastAsia="仿宋" w:cs="仿宋"/>
          <w:sz w:val="32"/>
          <w:szCs w:val="32"/>
        </w:rPr>
        <w:t>2025</w:t>
      </w:r>
      <w:r>
        <w:rPr>
          <w:rFonts w:hint="eastAsia" w:ascii="仿宋" w:hAnsi="仿宋" w:eastAsia="仿宋" w:cs="仿宋"/>
          <w:spacing w:val="-24"/>
          <w:sz w:val="32"/>
          <w:szCs w:val="32"/>
        </w:rPr>
        <w:t xml:space="preserve"> 年，全市完成 </w:t>
      </w:r>
      <w:r>
        <w:rPr>
          <w:rFonts w:hint="eastAsia" w:ascii="仿宋" w:hAnsi="仿宋" w:eastAsia="仿宋" w:cs="仿宋"/>
          <w:sz w:val="32"/>
          <w:szCs w:val="32"/>
        </w:rPr>
        <w:t>30 个重点乡（镇）建设任务。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/>
        <w:ind w:left="699" w:right="0" w:rightChars="0"/>
        <w:jc w:val="center"/>
        <w:textAlignment w:val="auto"/>
        <w:rPr>
          <w:rFonts w:hint="eastAsia" w:ascii="黑体" w:eastAsia="黑体"/>
        </w:rPr>
      </w:pPr>
      <w:r>
        <w:rPr>
          <w:rFonts w:hint="eastAsia" w:ascii="黑体" w:eastAsia="黑体"/>
        </w:rPr>
        <w:t>第四章 项目监管和建后管护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/>
        <w:ind w:left="744" w:right="0" w:rightChars="0"/>
        <w:textAlignment w:val="auto"/>
        <w:rPr>
          <w:rFonts w:hint="eastAsia" w:ascii="黑体" w:eastAsia="黑体"/>
        </w:rPr>
      </w:pPr>
      <w:r>
        <w:rPr>
          <w:rFonts w:hint="eastAsia" w:ascii="黑体" w:eastAsia="黑体"/>
        </w:rPr>
        <w:t>一、构建集中统一高效的管理新体制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4" w:lineRule="auto"/>
        <w:ind w:left="118" w:right="0" w:rightChars="0" w:firstLine="638"/>
        <w:jc w:val="both"/>
        <w:textAlignment w:val="auto"/>
      </w:pPr>
      <w:r>
        <w:rPr>
          <w:color w:val="444444"/>
          <w:spacing w:val="4"/>
          <w:w w:val="95"/>
        </w:rPr>
        <w:t>全面落实高标准农田建设统一规划布局、建设标准、组织实施、验收考核和上图入库的“五统一”要求，</w:t>
      </w:r>
      <w:r>
        <w:rPr>
          <w:spacing w:val="2"/>
          <w:w w:val="95"/>
        </w:rPr>
        <w:t>加快区域化整体推</w:t>
      </w:r>
      <w:r>
        <w:rPr>
          <w:spacing w:val="4"/>
          <w:w w:val="95"/>
        </w:rPr>
        <w:t>进高标准农田建设，优先支持贫困地区以及工作基础好的地区建设高标准农田。因地制宜完善高标准农田建设内容，统一规范工程建设、科技服务和建后管护等要求，结合实际，对已建项目区进行改造提升。及时分解落实高标准农田年度建设任务，统筹整合各渠道农田建设资金，提升资金使用效益。规范开展项目前期准备、申报审批、招标投标、工程施工和监理、竣工验收、监督</w:t>
      </w:r>
      <w:r>
        <w:t>检查、移交管护等工作，实现农田建设项目集中统一高效管理。严格执行建设标准，确保建设质量。充分发挥农民主体作用，调动农民参与高标准农田建设积极性，尊重农民意愿，维护好农民权益。积极支持新型农业经营主体建设高标准农田，规范有序推进农业适度规模经营。建立健全“定期调度、分析研判、通报约谈、奖优罚劣”的任务落实机制，确保年度建设任务如期保质保量完成。按照粮食安全省长责任制考核要求，进一步完善高标准农田建设评价制度。强化评价结果运用，对完成任务好的予以倾斜支持，对未完成任务的进行约谈处罚。严格按程序开展农田建设项目竣工验收和评价，向社会统一公示公告，接受社会和群众监督。依托农田管理大数据平台，把各级农田建设项目立项、实施、验收、使用等各阶段相关信息上图入库，建成高标准农田建</w:t>
      </w:r>
      <w:r>
        <w:rPr>
          <w:w w:val="95"/>
        </w:rPr>
        <w:t>设“一张图”和监管系统，实现有据可查、全程监控、精准管理、</w:t>
      </w:r>
      <w:r>
        <w:t>资源共享。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/>
        <w:ind w:left="598" w:right="0" w:rightChars="0"/>
        <w:textAlignment w:val="auto"/>
        <w:rPr>
          <w:rFonts w:hint="eastAsia" w:ascii="黑体" w:eastAsia="黑体"/>
        </w:rPr>
      </w:pPr>
      <w:r>
        <w:rPr>
          <w:rFonts w:hint="eastAsia" w:ascii="黑体" w:eastAsia="黑体"/>
        </w:rPr>
        <w:t>二、明确管护责任，强化资产管护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4" w:lineRule="auto"/>
        <w:ind w:left="118" w:right="0" w:rightChars="0" w:firstLine="480"/>
        <w:textAlignment w:val="auto"/>
      </w:pPr>
      <w:r>
        <w:t>（一</w:t>
      </w:r>
      <w:r>
        <w:rPr>
          <w:spacing w:val="-15"/>
        </w:rPr>
        <w:t>）</w:t>
      </w:r>
      <w:r>
        <w:rPr>
          <w:spacing w:val="-4"/>
        </w:rPr>
        <w:t>合理调整权属。高标准农田项目建设前，要认真查清建设区域内的土地利用现状和权属状况，做到地类和面积准确、界址和权属清楚。要在充分尊重农民意愿的基础上，合理编制土地权属调整方案，组织签订土地权属调整协议。建设过程中，要合</w:t>
      </w:r>
      <w:r>
        <w:rPr>
          <w:spacing w:val="-8"/>
          <w:w w:val="95"/>
        </w:rPr>
        <w:t xml:space="preserve">理推进土地归并，解决耕地地块细碎化的问题。工程竣工验收后， </w:t>
      </w:r>
      <w:r>
        <w:rPr>
          <w:spacing w:val="-8"/>
        </w:rPr>
        <w:t>要及时进行地类变更和土地确权，确保建成后的高标准农田位置</w:t>
      </w:r>
      <w:r>
        <w:t>明确、权属清晰、地类准确、面积无误，依法保障土地所有者和经营者的合法权益。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4" w:lineRule="auto"/>
        <w:ind w:left="118" w:right="0" w:rightChars="0" w:firstLine="480"/>
        <w:textAlignment w:val="auto"/>
        <w:rPr>
          <w:spacing w:val="-12"/>
        </w:rPr>
      </w:pPr>
      <w:r>
        <w:rPr>
          <w:w w:val="95"/>
        </w:rPr>
        <w:t>（二</w:t>
      </w:r>
      <w:r>
        <w:rPr>
          <w:spacing w:val="-67"/>
          <w:w w:val="95"/>
        </w:rPr>
        <w:t>）</w:t>
      </w:r>
      <w:r>
        <w:rPr>
          <w:spacing w:val="-12"/>
          <w:w w:val="95"/>
        </w:rPr>
        <w:t>明确管护责任。对已建成的高标准农田，明确管护主体、</w:t>
      </w:r>
      <w:r>
        <w:rPr>
          <w:spacing w:val="-12"/>
        </w:rPr>
        <w:t>管护责任、管护义务，确保长久发挥效益。积极鼓励和引导专业大户、家庭农场、农民专业合作组织、农业企业和农村集体等参与高标准农田设施日常管护。业务主管部门加强对管护主体的技术指导、服务和监督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leftChars="0" w:right="0" w:rightChars="0" w:firstLine="640" w:firstLineChars="200"/>
        <w:jc w:val="left"/>
        <w:textAlignment w:val="auto"/>
        <w:outlineLvl w:val="9"/>
        <w:rPr>
          <w:spacing w:val="-5"/>
        </w:rPr>
      </w:pPr>
      <w:r>
        <w:t>（三</w:t>
      </w:r>
      <w:r>
        <w:rPr>
          <w:spacing w:val="-24"/>
        </w:rPr>
        <w:t>）</w:t>
      </w:r>
      <w:r>
        <w:rPr>
          <w:spacing w:val="-4"/>
        </w:rPr>
        <w:t>推进产权改革。探索推进高标准农田建设所形成的农田设施（设备）产权制度改革，明晰固定资产所有权和使用权。农</w:t>
      </w:r>
      <w:r>
        <w:rPr>
          <w:spacing w:val="-21"/>
        </w:rPr>
        <w:t>田设施</w:t>
      </w:r>
      <w:r>
        <w:t>（设备</w:t>
      </w:r>
      <w:r>
        <w:rPr>
          <w:spacing w:val="-53"/>
        </w:rPr>
        <w:t>）</w:t>
      </w:r>
      <w:r>
        <w:rPr>
          <w:spacing w:val="-10"/>
        </w:rPr>
        <w:t>有偿使用的，可将使用费用用于维持农田设施</w:t>
      </w:r>
      <w:r>
        <w:t xml:space="preserve">（设备）正常运行；无偿使用的，要积极争取落实农田设施（设备） </w:t>
      </w:r>
      <w:r>
        <w:rPr>
          <w:spacing w:val="-5"/>
        </w:rPr>
        <w:t>运行管护经费；对公益性较强的灌溉渠系、喷滴灌设备、机耕路、生产桥和农田林网等，地方政府可根据实际情况建立农田基础设施管护基金，给予适当补助。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/>
        <w:ind w:left="699" w:right="0" w:rightChars="0"/>
        <w:jc w:val="center"/>
        <w:textAlignment w:val="auto"/>
        <w:rPr>
          <w:rFonts w:hint="eastAsia" w:ascii="黑体" w:eastAsia="黑体"/>
        </w:rPr>
      </w:pPr>
      <w:r>
        <w:rPr>
          <w:rFonts w:hint="eastAsia" w:ascii="黑体" w:eastAsia="黑体"/>
        </w:rPr>
        <w:t>第五章 资金筹措和效益分析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/>
        <w:ind w:left="598" w:right="0" w:rightChars="0"/>
        <w:textAlignment w:val="auto"/>
        <w:rPr>
          <w:rFonts w:hint="eastAsia" w:ascii="黑体" w:eastAsia="黑体"/>
        </w:rPr>
      </w:pPr>
      <w:r>
        <w:rPr>
          <w:rFonts w:hint="eastAsia" w:ascii="黑体" w:eastAsia="黑体"/>
        </w:rPr>
        <w:t>一、资金筹措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4" w:lineRule="auto"/>
        <w:ind w:left="118" w:right="0" w:rightChars="0" w:firstLine="480"/>
        <w:textAlignment w:val="auto"/>
        <w:rPr>
          <w:sz w:val="25"/>
        </w:rPr>
      </w:pPr>
      <w:r>
        <w:rPr>
          <w:w w:val="95"/>
        </w:rPr>
        <w:t>整合多方面的资金，加大投入力度，建立投入稳定增长机制，</w:t>
      </w:r>
      <w:r>
        <w:t>为规划期内完成高标准农田建设目标任务提供有力的资金保障。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4" w:lineRule="auto"/>
        <w:ind w:left="118" w:right="0" w:rightChars="0" w:firstLine="480"/>
        <w:jc w:val="left"/>
        <w:textAlignment w:val="auto"/>
        <w:rPr>
          <w:sz w:val="32"/>
        </w:rPr>
      </w:pPr>
      <w:r>
        <w:rPr>
          <w:b/>
          <w:w w:val="95"/>
          <w:sz w:val="32"/>
        </w:rPr>
        <w:t>（一</w:t>
      </w:r>
      <w:r>
        <w:rPr>
          <w:b/>
          <w:spacing w:val="-22"/>
          <w:w w:val="95"/>
          <w:sz w:val="32"/>
        </w:rPr>
        <w:t>）</w:t>
      </w:r>
      <w:r>
        <w:rPr>
          <w:b/>
          <w:spacing w:val="-2"/>
          <w:w w:val="95"/>
          <w:sz w:val="32"/>
        </w:rPr>
        <w:t>积极争取中央和省级财政支持。</w:t>
      </w:r>
      <w:r>
        <w:rPr>
          <w:spacing w:val="-3"/>
          <w:w w:val="95"/>
          <w:sz w:val="32"/>
        </w:rPr>
        <w:t>积极与省沟通协调，争</w:t>
      </w:r>
      <w:r>
        <w:rPr>
          <w:spacing w:val="-3"/>
          <w:sz w:val="32"/>
        </w:rPr>
        <w:t>取中央和省级财政对我市高标准农田建设的支持。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4" w:lineRule="auto"/>
        <w:ind w:left="118" w:right="0" w:rightChars="0" w:firstLine="480"/>
        <w:textAlignment w:val="auto"/>
      </w:pPr>
      <w:r>
        <w:rPr>
          <w:b/>
          <w:w w:val="95"/>
        </w:rPr>
        <w:t>（二</w:t>
      </w:r>
      <w:r>
        <w:rPr>
          <w:b/>
          <w:spacing w:val="-15"/>
          <w:w w:val="95"/>
        </w:rPr>
        <w:t>）</w:t>
      </w:r>
      <w:r>
        <w:rPr>
          <w:b/>
          <w:spacing w:val="-2"/>
          <w:w w:val="95"/>
        </w:rPr>
        <w:t>加大政府投入力度。</w:t>
      </w:r>
      <w:r>
        <w:rPr>
          <w:spacing w:val="-5"/>
          <w:w w:val="95"/>
        </w:rPr>
        <w:t>市、县两级政府结合实际，积极配</w:t>
      </w:r>
      <w:r>
        <w:rPr>
          <w:spacing w:val="-5"/>
        </w:rPr>
        <w:t>套资金，提高调整财政支出结构，按照“工业反哺农业，城市支持农村”和“总量持续增加，比例逐步提高”的要求，加大财政资金对高标准农田建设的投入力度，盘活新增建设用地土地有偿使用费及其他涉农结余转存资金，将高标准农田建设资金纳入各级财政预算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4" w:lineRule="auto"/>
        <w:ind w:left="118" w:right="0" w:rightChars="0" w:firstLine="480"/>
        <w:textAlignment w:val="auto"/>
      </w:pPr>
      <w:r>
        <w:rPr>
          <w:b/>
          <w:w w:val="95"/>
        </w:rPr>
        <w:t>（三</w:t>
      </w:r>
      <w:r>
        <w:rPr>
          <w:b/>
          <w:spacing w:val="-31"/>
          <w:w w:val="95"/>
        </w:rPr>
        <w:t>）</w:t>
      </w:r>
      <w:r>
        <w:rPr>
          <w:b/>
          <w:spacing w:val="-3"/>
          <w:w w:val="95"/>
        </w:rPr>
        <w:t>积极引导社会参与投资。</w:t>
      </w:r>
      <w:r>
        <w:rPr>
          <w:w w:val="95"/>
        </w:rPr>
        <w:t>制定积极的财政补贴等扶持政</w:t>
      </w:r>
      <w:r>
        <w:t>策，调动专业大户、家庭农场、农民专业合作组织、农业企业等投入高标准农田建设的积极性；运用市场机制，鼓励和吸引金融资本、民间资本投入高标准农田建设；尊重农民意愿，鼓励和引导项目区的农民筹资筹劳，积极参与高标准农田建设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4" w:lineRule="auto"/>
        <w:ind w:left="118" w:right="0" w:rightChars="0" w:firstLine="480"/>
        <w:textAlignment w:val="auto"/>
      </w:pPr>
      <w:r>
        <w:rPr>
          <w:b/>
          <w:w w:val="95"/>
        </w:rPr>
        <w:t>（四</w:t>
      </w:r>
      <w:r>
        <w:rPr>
          <w:b/>
          <w:spacing w:val="-111"/>
          <w:w w:val="95"/>
        </w:rPr>
        <w:t>）</w:t>
      </w:r>
      <w:r>
        <w:rPr>
          <w:b/>
          <w:spacing w:val="-11"/>
          <w:w w:val="95"/>
        </w:rPr>
        <w:t>大力推进资金统筹整合。</w:t>
      </w:r>
      <w:r>
        <w:rPr>
          <w:w w:val="95"/>
        </w:rPr>
        <w:t>县级政府要根据年度实施计划，</w:t>
      </w:r>
      <w:r>
        <w:t>研究制定资金统筹整合具体方案，有效整合各类农田建设项目资金，合力推进高标准农田建设，做到集中投入、连片治理、整体推进，提高资金使用效益。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/>
        <w:ind w:left="598" w:right="0" w:rightChars="0"/>
        <w:textAlignment w:val="auto"/>
        <w:rPr>
          <w:rFonts w:hint="eastAsia" w:ascii="黑体" w:eastAsia="黑体"/>
        </w:rPr>
      </w:pPr>
      <w:r>
        <w:rPr>
          <w:rFonts w:hint="eastAsia" w:ascii="黑体" w:eastAsia="黑体"/>
        </w:rPr>
        <w:t>二、效益分析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leftChars="0" w:right="0" w:rightChars="0" w:firstLine="643" w:firstLineChars="200"/>
        <w:jc w:val="left"/>
        <w:textAlignment w:val="auto"/>
        <w:rPr>
          <w:rFonts w:hint="eastAsia" w:ascii="仿宋" w:eastAsia="仿宋"/>
        </w:rPr>
      </w:pPr>
      <w:r>
        <w:rPr>
          <w:rFonts w:hint="eastAsia" w:ascii="仿宋" w:eastAsia="仿宋"/>
        </w:rPr>
        <w:t>（一）经济效益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leftChars="0" w:right="0" w:rightChars="0" w:firstLine="640" w:firstLineChars="200"/>
        <w:jc w:val="left"/>
        <w:textAlignment w:val="auto"/>
      </w:pPr>
      <w:r>
        <w:t xml:space="preserve">通过《规划》实施，建成 </w:t>
      </w:r>
      <w:r>
        <w:rPr>
          <w:rFonts w:hint="eastAsia"/>
          <w:lang w:val="en-US" w:eastAsia="zh-CN"/>
        </w:rPr>
        <w:t>631</w:t>
      </w:r>
      <w:r>
        <w:t xml:space="preserve"> 万亩高标准农田后，预计项目区</w:t>
      </w:r>
      <w:r>
        <w:rPr>
          <w:spacing w:val="-10"/>
        </w:rPr>
        <w:t>耕地质量</w:t>
      </w:r>
      <w:r>
        <w:rPr>
          <w:rFonts w:hint="eastAsia"/>
          <w:spacing w:val="-10"/>
          <w:lang w:eastAsia="zh-CN"/>
        </w:rPr>
        <w:t>等级平均达到</w:t>
      </w:r>
      <w:r>
        <w:rPr>
          <w:rFonts w:hint="eastAsia"/>
          <w:spacing w:val="-10"/>
          <w:lang w:val="en-US" w:eastAsia="zh-CN"/>
        </w:rPr>
        <w:t>3.5以上，新增高标准农田亩均提高粮食综合产能</w:t>
      </w:r>
      <w:r>
        <w:rPr>
          <w:spacing w:val="-17"/>
        </w:rPr>
        <w:t xml:space="preserve"> </w:t>
      </w:r>
      <w:r>
        <w:t>100</w:t>
      </w:r>
      <w:r>
        <w:rPr>
          <w:spacing w:val="-21"/>
        </w:rPr>
        <w:t xml:space="preserve"> 公斤。</w:t>
      </w:r>
      <w:r>
        <w:t>同时，农业机械化率有所提高，水资源和肥料利用率得到提升，有效降低了农业生产成本。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leftChars="0" w:right="0" w:rightChars="0" w:firstLine="643" w:firstLineChars="200"/>
        <w:jc w:val="left"/>
        <w:textAlignment w:val="auto"/>
        <w:rPr>
          <w:rFonts w:hint="eastAsia" w:ascii="仿宋" w:eastAsia="仿宋"/>
        </w:rPr>
      </w:pPr>
      <w:r>
        <w:rPr>
          <w:rFonts w:hint="eastAsia" w:ascii="仿宋" w:eastAsia="仿宋"/>
        </w:rPr>
        <w:t>（二）社会效益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leftChars="0" w:right="0" w:rightChars="0" w:firstLine="596" w:firstLineChars="200"/>
        <w:jc w:val="left"/>
        <w:textAlignment w:val="auto"/>
      </w:pPr>
      <w:r>
        <w:rPr>
          <w:spacing w:val="-3"/>
          <w:w w:val="95"/>
        </w:rPr>
        <w:t>一是有效改善农业生产条件，提高全市粮食综合生产能力，为</w:t>
      </w:r>
      <w:r>
        <w:rPr>
          <w:spacing w:val="-3"/>
        </w:rPr>
        <w:t>保障国家粮食安全和重要农产品供给提供物质基础。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leftChars="0" w:right="0" w:rightChars="0" w:firstLine="608" w:firstLineChars="200"/>
        <w:jc w:val="left"/>
        <w:textAlignment w:val="auto"/>
      </w:pPr>
      <w:r>
        <w:rPr>
          <w:w w:val="95"/>
        </w:rPr>
        <w:t>二是为农业规模经营创造了良好条件，推动土地向种植大户、</w:t>
      </w:r>
      <w:r>
        <w:t>家庭农场、农民专业合作组织、农业产业化龙头企业等集中，发展多种形式适度规模经营，推进农业生产集约化、专业化、组织化和社会化。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leftChars="0" w:right="0" w:rightChars="0" w:firstLine="592" w:firstLineChars="200"/>
        <w:jc w:val="left"/>
        <w:textAlignment w:val="auto"/>
      </w:pPr>
      <w:r>
        <w:rPr>
          <w:spacing w:val="-4"/>
          <w:w w:val="95"/>
        </w:rPr>
        <w:t>三是通过节本增收，以及增加项目区农民投工投劳的机会，增</w:t>
      </w:r>
      <w:r>
        <w:rPr>
          <w:spacing w:val="-4"/>
        </w:rPr>
        <w:t>加农民收入。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leftChars="0" w:right="0" w:rightChars="0" w:firstLine="643" w:firstLineChars="200"/>
        <w:jc w:val="left"/>
        <w:textAlignment w:val="auto"/>
        <w:rPr>
          <w:rFonts w:hint="eastAsia" w:ascii="仿宋" w:eastAsia="仿宋"/>
        </w:rPr>
      </w:pPr>
      <w:r>
        <w:rPr>
          <w:rFonts w:hint="eastAsia" w:ascii="仿宋" w:eastAsia="仿宋"/>
        </w:rPr>
        <w:t>（三）生态效益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leftChars="0" w:right="0" w:rightChars="0" w:firstLine="580" w:firstLineChars="200"/>
        <w:jc w:val="left"/>
        <w:textAlignment w:val="auto"/>
      </w:pPr>
      <w:r>
        <w:rPr>
          <w:spacing w:val="-7"/>
          <w:w w:val="95"/>
        </w:rPr>
        <w:t xml:space="preserve">一是通过《规划》实施，一定程度上缓解农业发展与耕地、水 </w:t>
      </w:r>
      <w:r>
        <w:rPr>
          <w:spacing w:val="-7"/>
        </w:rPr>
        <w:t>资源紧张的矛盾，促进资源节约型和环境保护型农业的发展。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leftChars="0" w:right="0" w:rightChars="0" w:firstLine="596" w:firstLineChars="200"/>
        <w:jc w:val="left"/>
        <w:textAlignment w:val="auto"/>
      </w:pPr>
      <w:r>
        <w:rPr>
          <w:spacing w:val="-3"/>
          <w:w w:val="95"/>
        </w:rPr>
        <w:t xml:space="preserve">二是通过改善农田水利及农田防护基础设施，提高农田生态防 </w:t>
      </w:r>
      <w:r>
        <w:rPr>
          <w:spacing w:val="-3"/>
        </w:rPr>
        <w:t>护功能，减少农田水土流失，保护我市的耕地资源。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leftChars="0" w:right="0" w:rightChars="0" w:firstLine="588" w:firstLineChars="200"/>
        <w:jc w:val="left"/>
        <w:textAlignment w:val="auto"/>
      </w:pPr>
      <w:r>
        <w:rPr>
          <w:spacing w:val="-5"/>
          <w:w w:val="95"/>
        </w:rPr>
        <w:t xml:space="preserve">三是通过合理耕作、平衡施肥、秸秆还田等农业技术措施，进 </w:t>
      </w:r>
      <w:r>
        <w:rPr>
          <w:spacing w:val="-5"/>
        </w:rPr>
        <w:t>一步增加土壤有机质含量，增强土壤保水、保肥和通气能力。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leftChars="0" w:right="0" w:rightChars="0" w:firstLine="596" w:firstLineChars="200"/>
        <w:jc w:val="left"/>
        <w:textAlignment w:val="auto"/>
        <w:rPr>
          <w:spacing w:val="-3"/>
        </w:rPr>
      </w:pPr>
      <w:r>
        <w:rPr>
          <w:spacing w:val="-3"/>
          <w:w w:val="95"/>
        </w:rPr>
        <w:t xml:space="preserve">四是通过不断完善农业节水机制，大力推广渠道防渗、管道输 </w:t>
      </w:r>
      <w:r>
        <w:rPr>
          <w:spacing w:val="-3"/>
        </w:rPr>
        <w:t>水、适水种植等综合节水措施，有效提高项目区灌溉用水效率。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/>
        <w:ind w:left="699" w:right="0" w:rightChars="0"/>
        <w:jc w:val="center"/>
        <w:textAlignment w:val="auto"/>
        <w:rPr>
          <w:rFonts w:hint="eastAsia" w:ascii="黑体" w:eastAsia="黑体"/>
        </w:rPr>
      </w:pPr>
      <w:r>
        <w:rPr>
          <w:rFonts w:hint="eastAsia" w:ascii="黑体" w:eastAsia="黑体"/>
        </w:rPr>
        <w:t>第</w:t>
      </w:r>
      <w:r>
        <w:rPr>
          <w:rFonts w:hint="eastAsia" w:ascii="黑体" w:eastAsia="黑体"/>
          <w:lang w:eastAsia="zh-CN"/>
        </w:rPr>
        <w:t>六</w:t>
      </w:r>
      <w:r>
        <w:rPr>
          <w:rFonts w:hint="eastAsia" w:ascii="黑体" w:eastAsia="黑体"/>
        </w:rPr>
        <w:t>章 保障措施</w:t>
      </w:r>
      <w:bookmarkStart w:id="0" w:name="_GoBack"/>
      <w:bookmarkEnd w:id="0"/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/>
        <w:ind w:left="756" w:right="0" w:rightChars="0"/>
        <w:textAlignment w:val="auto"/>
        <w:rPr>
          <w:rFonts w:hint="eastAsia" w:ascii="黑体" w:eastAsia="黑体"/>
        </w:rPr>
      </w:pPr>
      <w:r>
        <w:rPr>
          <w:rFonts w:hint="eastAsia" w:ascii="黑体" w:eastAsia="黑体"/>
        </w:rPr>
        <w:t>一、加强组织领导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119" w:leftChars="0" w:right="0" w:rightChars="0" w:firstLine="641" w:firstLineChars="0"/>
        <w:jc w:val="left"/>
        <w:textAlignment w:val="auto"/>
        <w:outlineLvl w:val="9"/>
      </w:pPr>
      <w:r>
        <w:rPr>
          <w:spacing w:val="3"/>
        </w:rPr>
        <w:t>按照“市级统筹指导、县级建设落实、群众积极参与”的总</w:t>
      </w:r>
      <w:r>
        <w:rPr>
          <w:spacing w:val="4"/>
        </w:rPr>
        <w:t>体要求，建立健全“政府主导、农业农村部门牵头、各有关部门协作、上下联动”的工作机制。强化市、县、乡政府一把手负总</w:t>
      </w:r>
      <w:r>
        <w:rPr>
          <w:spacing w:val="3"/>
        </w:rPr>
        <w:t>责、分管领导直接负责的责任制。市、县两级成立高标准农田建</w:t>
      </w:r>
      <w:r>
        <w:rPr>
          <w:spacing w:val="4"/>
        </w:rPr>
        <w:t>设工作领导小组，由政府分管领导任组长，农业农村、发改、财</w:t>
      </w:r>
      <w:r>
        <w:rPr>
          <w:spacing w:val="-7"/>
          <w:w w:val="95"/>
        </w:rPr>
        <w:t>政、自然资源、水利、生态环境、审计等部门和项目实施县</w:t>
      </w:r>
      <w:r>
        <w:rPr>
          <w:w w:val="95"/>
        </w:rPr>
        <w:t xml:space="preserve">（市、 </w:t>
      </w:r>
      <w:r>
        <w:rPr>
          <w:spacing w:val="5"/>
        </w:rPr>
        <w:t>区）</w:t>
      </w:r>
      <w:r>
        <w:rPr>
          <w:spacing w:val="4"/>
        </w:rPr>
        <w:t>分管领导为成员，全面负责高标准农田建设规划实施、任务落实、资金保障、监督评价和运营管护等工作，领导小组办公室设在农业农村部门。各级农业农村部门在同级政府的领导下，全</w:t>
      </w:r>
      <w:r>
        <w:rPr>
          <w:spacing w:val="-2"/>
          <w:w w:val="95"/>
        </w:rPr>
        <w:t xml:space="preserve">面履行好高标准农田建设牵头抓总、统筹协调、组织实施等职责， </w:t>
      </w:r>
      <w:r>
        <w:rPr>
          <w:spacing w:val="4"/>
        </w:rPr>
        <w:t>各相关部门按照职责分工，密切配合，统筹做好高标准农田建设工作。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/>
        <w:ind w:left="756" w:right="0" w:rightChars="0"/>
        <w:textAlignment w:val="auto"/>
        <w:rPr>
          <w:rFonts w:hint="eastAsia" w:ascii="黑体" w:eastAsia="黑体"/>
        </w:rPr>
      </w:pPr>
      <w:r>
        <w:rPr>
          <w:rFonts w:hint="eastAsia" w:ascii="黑体" w:eastAsia="黑体"/>
        </w:rPr>
        <w:t>二、加大基础支撑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4" w:lineRule="auto"/>
        <w:ind w:left="118" w:right="0" w:rightChars="0" w:firstLine="638"/>
        <w:textAlignment w:val="auto"/>
      </w:pPr>
      <w:r>
        <w:t>推进高标准农田建设法规制度建设，依据国家和省相关法律法规和政策文件，结合我市实际，制定完善项目管理、资金管理、监督评估和监测评价等实施办法和工作细则；加强高标准农田建设队伍建设，配强县、乡两级工作力量，打造一支懂管理、懂技术，爱岗敬业、担当尽责的高标准农田建设队伍；大力引进和推</w:t>
      </w:r>
      <w:r>
        <w:rPr>
          <w:spacing w:val="4"/>
          <w:w w:val="95"/>
        </w:rPr>
        <w:t xml:space="preserve">广高标准农田建设先进模式和实用技术，加强工程建设与农机农  </w:t>
      </w:r>
      <w:r>
        <w:rPr>
          <w:spacing w:val="3"/>
          <w:w w:val="95"/>
        </w:rPr>
        <w:t xml:space="preserve">艺技术的集成和应用，推动科技创新与成果转化，不断提升高标 </w:t>
      </w:r>
      <w:r>
        <w:t>准农田建设水平。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/>
        <w:ind w:left="756" w:right="0" w:rightChars="0"/>
        <w:textAlignment w:val="auto"/>
        <w:rPr>
          <w:rFonts w:hint="eastAsia" w:ascii="黑体" w:eastAsia="黑体"/>
        </w:rPr>
      </w:pPr>
      <w:r>
        <w:rPr>
          <w:rFonts w:hint="eastAsia" w:ascii="黑体" w:eastAsia="黑体"/>
        </w:rPr>
        <w:t>三、强化资金保障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4" w:lineRule="auto"/>
        <w:ind w:left="118" w:right="0" w:rightChars="0" w:firstLine="638"/>
        <w:textAlignment w:val="auto"/>
      </w:pPr>
      <w:r>
        <w:t>建立分级负担、合理保障的高标准农田建设财政投入机制。县（市）区要优化财政支出结构，落实支出责任，确保国家和省配套资金足额用于高标准农田建设。调整完善土地出让收入使用范围，进一步加大对高标准农田建设支持力度，力争按国家确定的投资标准足额落实配套资金。以财政资金为引导，鼓励支持政</w:t>
      </w:r>
      <w:r>
        <w:rPr>
          <w:w w:val="95"/>
        </w:rPr>
        <w:t xml:space="preserve">策性、开发性金融机构创新适合高标准农田建设的金融贷款产品， </w:t>
      </w:r>
      <w:r>
        <w:t>采取政银担合作模式，撬动金融资本和社会资本投入。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/>
        <w:ind w:left="756" w:right="0" w:rightChars="0"/>
        <w:textAlignment w:val="auto"/>
        <w:rPr>
          <w:rFonts w:hint="eastAsia" w:ascii="黑体" w:eastAsia="黑体"/>
        </w:rPr>
      </w:pPr>
      <w:r>
        <w:rPr>
          <w:rFonts w:hint="eastAsia" w:ascii="黑体" w:eastAsia="黑体"/>
        </w:rPr>
        <w:t>四、注重风险防控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leftChars="0" w:right="0" w:rightChars="0" w:firstLine="624" w:firstLineChars="200"/>
        <w:jc w:val="left"/>
        <w:textAlignment w:val="auto"/>
        <w:outlineLvl w:val="9"/>
        <w:rPr>
          <w:spacing w:val="-3"/>
        </w:rPr>
      </w:pPr>
      <w:r>
        <w:rPr>
          <w:spacing w:val="4"/>
          <w:w w:val="95"/>
        </w:rPr>
        <w:t>要坚守底线思维，不断强化廉洁意识，严肃财经纪律、廉政纪律，持续改进工作作风，打造忠诚担当、清正廉洁、高效精干的高标准农田建设干部队伍。要切实防范高标准农田建设项目管理风险，依法依规行使项目管理权，把好选项关，保质保量完成好高标准农田建设任务。要建立高标准农田建设监督机制，加强项目选项、资金拨付、建设管理、运行维护全过程的监督检查，</w:t>
      </w:r>
      <w:r>
        <w:t>确保项目安全、资金安全、队伍安全。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leftChars="0" w:right="0" w:rightChars="0" w:firstLine="620" w:firstLineChars="200"/>
        <w:jc w:val="left"/>
        <w:textAlignment w:val="auto"/>
        <w:outlineLvl w:val="9"/>
        <w:rPr>
          <w:rFonts w:hint="eastAsia"/>
          <w:spacing w:val="-5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leftChars="0" w:right="0" w:rightChars="0"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6576060</wp:posOffset>
              </wp:positionH>
              <wp:positionV relativeFrom="page">
                <wp:posOffset>9772650</wp:posOffset>
              </wp:positionV>
              <wp:extent cx="107950" cy="163195"/>
              <wp:effectExtent l="0" t="0" r="0" b="0"/>
              <wp:wrapNone/>
              <wp:docPr id="1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7950" cy="1631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13"/>
                            <w:ind w:left="40" w:right="0" w:firstLine="0"/>
                            <w:jc w:val="left"/>
                            <w:rPr>
                              <w:rFonts w:ascii="Book Antiqua"/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Book Antiqua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left:517.8pt;margin-top:769.5pt;height:12.85pt;width:8.5pt;mso-position-horizontal-relative:page;mso-position-vertical-relative:page;z-index:-251657216;mso-width-relative:page;mso-height-relative:page;" filled="f" stroked="f" coordsize="21600,21600" o:gfxdata="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3"/>
                      <w:ind w:left="40" w:right="0" w:firstLine="0"/>
                      <w:jc w:val="left"/>
                      <w:rPr>
                        <w:rFonts w:ascii="Book Antiqua"/>
                        <w:sz w:val="18"/>
                      </w:rPr>
                    </w:pPr>
                    <w:r>
                      <w:fldChar w:fldCharType="begin"/>
                    </w:r>
                    <w:r>
                      <w:rPr>
                        <w:rFonts w:ascii="Book Antiqua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00BB6E"/>
    <w:multiLevelType w:val="singleLevel"/>
    <w:tmpl w:val="6300BB6E"/>
    <w:lvl w:ilvl="0" w:tentative="0">
      <w:start w:val="2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C37AFB"/>
    <w:rsid w:val="256C2E1D"/>
    <w:rsid w:val="27147D53"/>
    <w:rsid w:val="2FAE6FD3"/>
    <w:rsid w:val="48166E3E"/>
    <w:rsid w:val="588D65B2"/>
    <w:rsid w:val="58C37AFB"/>
    <w:rsid w:val="68B25CE2"/>
    <w:rsid w:val="712720E7"/>
    <w:rsid w:val="7BBF1A26"/>
    <w:rsid w:val="7D501F9D"/>
    <w:rsid w:val="7E573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0"/>
    <w:pPr>
      <w:spacing w:line="670" w:lineRule="exact"/>
      <w:ind w:left="699" w:right="377"/>
      <w:jc w:val="center"/>
      <w:outlineLvl w:val="1"/>
    </w:pPr>
    <w:rPr>
      <w:rFonts w:ascii="方正小标宋简体" w:hAnsi="方正小标宋简体" w:eastAsia="方正小标宋简体" w:cs="方正小标宋简体"/>
      <w:sz w:val="48"/>
      <w:szCs w:val="48"/>
      <w:lang w:val="zh-CN" w:eastAsia="zh-CN" w:bidi="zh-CN"/>
    </w:rPr>
  </w:style>
  <w:style w:type="paragraph" w:styleId="3">
    <w:name w:val="heading 3"/>
    <w:basedOn w:val="1"/>
    <w:next w:val="1"/>
    <w:unhideWhenUsed/>
    <w:qFormat/>
    <w:uiPriority w:val="0"/>
    <w:pPr>
      <w:spacing w:before="1"/>
      <w:ind w:left="598"/>
      <w:outlineLvl w:val="3"/>
    </w:pPr>
    <w:rPr>
      <w:rFonts w:ascii="楷体" w:hAnsi="楷体" w:eastAsia="楷体" w:cs="楷体"/>
      <w:b/>
      <w:bCs/>
      <w:sz w:val="32"/>
      <w:szCs w:val="32"/>
      <w:lang w:val="zh-CN" w:eastAsia="zh-CN" w:bidi="zh-CN"/>
    </w:rPr>
  </w:style>
  <w:style w:type="character" w:default="1" w:styleId="6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Body Text"/>
    <w:basedOn w:val="1"/>
    <w:qFormat/>
    <w:uiPriority w:val="0"/>
    <w:rPr>
      <w:rFonts w:ascii="仿宋" w:hAnsi="仿宋" w:eastAsia="仿宋" w:cs="仿宋"/>
      <w:sz w:val="32"/>
      <w:szCs w:val="32"/>
      <w:lang w:val="zh-CN" w:eastAsia="zh-CN" w:bidi="zh-CN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9">
    <w:name w:val="Table Paragraph"/>
    <w:basedOn w:val="1"/>
    <w:qFormat/>
    <w:uiPriority w:val="1"/>
    <w:pPr>
      <w:spacing w:before="108"/>
      <w:ind w:left="165"/>
      <w:jc w:val="center"/>
    </w:pPr>
    <w:rPr>
      <w:rFonts w:ascii="仿宋" w:hAnsi="仿宋" w:eastAsia="仿宋" w:cs="仿宋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86</TotalTime>
  <ScaleCrop>false</ScaleCrop>
  <LinksUpToDate>false</LinksUpToDate>
  <CharactersWithSpaces>0</CharactersWithSpaces>
  <Application>WPS Office_10.8.0.6501_F1E327BC-269C-435d-A152-05C5408002CA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2022-09-04T00:35:00Z</dcterms:created>
  <dc:creator>Administrator</dc:creator>
  <cp:lastModifiedBy>Administrator</cp:lastModifiedBy>
  <dcterms:modified xsi:type="dcterms:W3CDTF">2022-09-26T02:08:21Z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2052-10.8.0.6501</vt:lpwstr>
  </property>
</Properties>
</file>