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522"/>
      </w:tblGrid>
      <w:tr w14:paraId="1DB1CED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9174" w:type="dxa"/>
            <w:tcBorders>
              <w:top w:val="nil"/>
              <w:left w:val="nil"/>
              <w:bottom w:val="nil"/>
              <w:right w:val="nil"/>
            </w:tcBorders>
            <w:shd w:val="clear"/>
            <w:tcMar>
              <w:left w:w="108" w:type="dxa"/>
              <w:right w:w="108" w:type="dxa"/>
            </w:tcMar>
            <w:vAlign w:val="center"/>
          </w:tcPr>
          <w:p w14:paraId="60D440EC">
            <w:pPr>
              <w:keepNext w:val="0"/>
              <w:keepLines w:val="0"/>
              <w:widowControl/>
              <w:suppressLineNumbers w:val="0"/>
              <w:spacing w:before="0" w:beforeAutospacing="0" w:after="0" w:afterAutospacing="0" w:line="480" w:lineRule="atLeast"/>
              <w:ind w:left="0" w:right="0"/>
              <w:jc w:val="center"/>
              <w:rPr>
                <w:rFonts w:hint="eastAsia" w:ascii="宋体" w:hAnsi="宋体" w:eastAsia="宋体" w:cs="宋体"/>
                <w:sz w:val="24"/>
                <w:szCs w:val="24"/>
              </w:rPr>
            </w:pPr>
            <w:bookmarkStart w:id="0" w:name="_GoBack"/>
            <w:bookmarkEnd w:id="0"/>
          </w:p>
        </w:tc>
      </w:tr>
      <w:tr w14:paraId="0D45596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9174" w:type="dxa"/>
            <w:tcBorders>
              <w:top w:val="nil"/>
              <w:left w:val="nil"/>
              <w:bottom w:val="nil"/>
              <w:right w:val="nil"/>
            </w:tcBorders>
            <w:shd w:val="clear"/>
            <w:tcMar>
              <w:left w:w="108" w:type="dxa"/>
              <w:right w:w="108" w:type="dxa"/>
            </w:tcMar>
            <w:vAlign w:val="center"/>
          </w:tcPr>
          <w:p w14:paraId="10D361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900" w:lineRule="atLeast"/>
              <w:ind w:left="0" w:right="0" w:firstLine="0"/>
              <w:jc w:val="center"/>
              <w:rPr>
                <w:rFonts w:hint="eastAsia" w:ascii="宋体" w:hAnsi="宋体" w:eastAsia="宋体" w:cs="宋体"/>
                <w:sz w:val="24"/>
                <w:szCs w:val="24"/>
              </w:rPr>
            </w:pPr>
            <w:r>
              <w:rPr>
                <w:rFonts w:ascii="方正小标宋简体" w:hAnsi="方正小标宋简体" w:eastAsia="方正小标宋简体" w:cs="方正小标宋简体"/>
                <w:color w:val="FF0C00"/>
                <w:sz w:val="74"/>
                <w:szCs w:val="74"/>
                <w:bdr w:val="none" w:color="auto" w:sz="0" w:space="0"/>
              </w:rPr>
              <w:t>国家市场监督管理总局</w:t>
            </w:r>
          </w:p>
          <w:p w14:paraId="515D3E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900" w:lineRule="atLeast"/>
              <w:ind w:left="0" w:right="0" w:firstLine="0"/>
              <w:jc w:val="center"/>
              <w:rPr>
                <w:rFonts w:hint="eastAsia" w:ascii="宋体" w:hAnsi="宋体" w:eastAsia="宋体" w:cs="宋体"/>
                <w:sz w:val="24"/>
                <w:szCs w:val="24"/>
              </w:rPr>
            </w:pPr>
            <w:r>
              <w:rPr>
                <w:rFonts w:hint="default" w:ascii="方正小标宋简体" w:hAnsi="方正小标宋简体" w:eastAsia="方正小标宋简体" w:cs="方正小标宋简体"/>
                <w:color w:val="FF0C00"/>
                <w:sz w:val="74"/>
                <w:szCs w:val="74"/>
                <w:bdr w:val="none" w:color="auto" w:sz="0" w:space="0"/>
              </w:rPr>
              <w:t>国家卫生健康委员会</w:t>
            </w:r>
          </w:p>
          <w:p w14:paraId="79B4D7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900" w:lineRule="atLeast"/>
              <w:ind w:left="0" w:right="0" w:firstLine="0"/>
              <w:jc w:val="center"/>
              <w:rPr>
                <w:rFonts w:hint="eastAsia" w:ascii="宋体" w:hAnsi="宋体" w:eastAsia="宋体" w:cs="宋体"/>
                <w:sz w:val="24"/>
                <w:szCs w:val="24"/>
              </w:rPr>
            </w:pPr>
            <w:r>
              <w:rPr>
                <w:rFonts w:hint="default" w:ascii="方正小标宋简体" w:hAnsi="方正小标宋简体" w:eastAsia="方正小标宋简体" w:cs="方正小标宋简体"/>
                <w:color w:val="FF0C00"/>
                <w:sz w:val="74"/>
                <w:szCs w:val="74"/>
                <w:bdr w:val="none" w:color="auto" w:sz="0" w:space="0"/>
              </w:rPr>
              <w:t>国家中医药管理局</w:t>
            </w:r>
          </w:p>
          <w:p w14:paraId="23F7A7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900" w:lineRule="atLeast"/>
              <w:ind w:left="0" w:right="0" w:firstLine="0"/>
              <w:rPr>
                <w:rFonts w:hint="eastAsia" w:ascii="宋体" w:hAnsi="宋体" w:eastAsia="宋体" w:cs="宋体"/>
                <w:sz w:val="24"/>
                <w:szCs w:val="24"/>
              </w:rPr>
            </w:pPr>
          </w:p>
          <w:p w14:paraId="3719F2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900" w:lineRule="atLeast"/>
              <w:ind w:left="96" w:right="0" w:firstLine="0"/>
              <w:jc w:val="center"/>
              <w:rPr>
                <w:rFonts w:hint="eastAsia" w:ascii="宋体" w:hAnsi="宋体" w:eastAsia="宋体" w:cs="宋体"/>
                <w:sz w:val="31"/>
                <w:szCs w:val="31"/>
              </w:rPr>
            </w:pPr>
            <w:r>
              <w:rPr>
                <w:rFonts w:hint="default" w:ascii="方正小标宋简体" w:hAnsi="方正小标宋简体" w:eastAsia="方正小标宋简体" w:cs="方正小标宋简体"/>
                <w:color w:val="FF0C00"/>
                <w:sz w:val="74"/>
                <w:szCs w:val="74"/>
                <w:bdr w:val="none" w:color="auto" w:sz="0" w:space="0"/>
              </w:rPr>
              <w:t>公    告</w:t>
            </w:r>
          </w:p>
        </w:tc>
      </w:tr>
      <w:tr w14:paraId="22640FD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9174" w:type="dxa"/>
            <w:tcBorders>
              <w:top w:val="nil"/>
              <w:left w:val="nil"/>
              <w:bottom w:val="nil"/>
              <w:right w:val="nil"/>
            </w:tcBorders>
            <w:shd w:val="clear"/>
            <w:tcMar>
              <w:left w:w="108" w:type="dxa"/>
              <w:right w:w="108" w:type="dxa"/>
            </w:tcMar>
            <w:vAlign w:val="center"/>
          </w:tcPr>
          <w:p w14:paraId="7A5A15BD">
            <w:pPr>
              <w:keepNext w:val="0"/>
              <w:keepLines w:val="0"/>
              <w:widowControl/>
              <w:suppressLineNumbers w:val="0"/>
              <w:spacing w:before="0" w:beforeAutospacing="0" w:after="0" w:afterAutospacing="0" w:line="480" w:lineRule="atLeast"/>
              <w:ind w:left="0" w:right="0"/>
              <w:jc w:val="left"/>
              <w:rPr>
                <w:rFonts w:hint="eastAsia" w:ascii="宋体" w:hAnsi="宋体" w:eastAsia="宋体" w:cs="宋体"/>
                <w:sz w:val="24"/>
                <w:szCs w:val="24"/>
              </w:rPr>
            </w:pPr>
          </w:p>
        </w:tc>
      </w:tr>
      <w:tr w14:paraId="02E74A0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9174" w:type="dxa"/>
            <w:tcBorders>
              <w:top w:val="nil"/>
              <w:left w:val="nil"/>
              <w:bottom w:val="nil"/>
              <w:right w:val="nil"/>
            </w:tcBorders>
            <w:shd w:val="clear"/>
            <w:tcMar>
              <w:left w:w="108" w:type="dxa"/>
              <w:right w:w="108" w:type="dxa"/>
            </w:tcMar>
            <w:vAlign w:val="center"/>
          </w:tcPr>
          <w:p w14:paraId="56E94E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center"/>
              <w:rPr>
                <w:rFonts w:hint="eastAsia" w:ascii="宋体" w:hAnsi="宋体" w:eastAsia="宋体" w:cs="宋体"/>
                <w:sz w:val="24"/>
                <w:szCs w:val="24"/>
              </w:rPr>
            </w:pPr>
            <w:r>
              <w:rPr>
                <w:rFonts w:ascii="仿宋_GB2312" w:hAnsi="Times New Roman" w:eastAsia="仿宋_GB2312" w:cs="仿宋_GB2312"/>
                <w:spacing w:val="10"/>
                <w:sz w:val="32"/>
                <w:szCs w:val="32"/>
                <w:bdr w:val="none" w:color="auto" w:sz="0" w:space="0"/>
              </w:rPr>
              <w:t>2025年第29号</w:t>
            </w:r>
          </w:p>
        </w:tc>
      </w:tr>
      <w:tr w14:paraId="1A8012A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858" w:hRule="atLeast"/>
          <w:jc w:val="center"/>
        </w:trPr>
        <w:tc>
          <w:tcPr>
            <w:tcW w:w="9174" w:type="dxa"/>
            <w:tcBorders>
              <w:top w:val="nil"/>
              <w:left w:val="nil"/>
              <w:bottom w:val="nil"/>
              <w:right w:val="nil"/>
            </w:tcBorders>
            <w:shd w:val="clear"/>
            <w:tcMar>
              <w:left w:w="108" w:type="dxa"/>
              <w:right w:w="108" w:type="dxa"/>
            </w:tcMar>
            <w:vAlign w:val="center"/>
          </w:tcPr>
          <w:p w14:paraId="4D3425A7">
            <w:pPr>
              <w:keepNext w:val="0"/>
              <w:keepLines w:val="0"/>
              <w:widowControl/>
              <w:suppressLineNumbers w:val="0"/>
              <w:spacing w:before="0" w:beforeAutospacing="0" w:after="0" w:afterAutospacing="0" w:line="480" w:lineRule="atLeast"/>
              <w:ind w:left="0" w:right="0"/>
              <w:jc w:val="left"/>
              <w:rPr>
                <w:rFonts w:hint="eastAsia" w:ascii="宋体" w:hAnsi="宋体" w:eastAsia="宋体" w:cs="宋体"/>
                <w:sz w:val="24"/>
                <w:szCs w:val="24"/>
              </w:rPr>
            </w:pPr>
          </w:p>
        </w:tc>
      </w:tr>
      <w:tr w14:paraId="64959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84" w:hRule="atLeast"/>
          <w:jc w:val="center"/>
        </w:trPr>
        <w:tc>
          <w:tcPr>
            <w:tcW w:w="9174" w:type="dxa"/>
            <w:tcBorders>
              <w:top w:val="nil"/>
              <w:left w:val="nil"/>
              <w:bottom w:val="nil"/>
              <w:right w:val="nil"/>
            </w:tcBorders>
            <w:shd w:val="clear"/>
            <w:tcMar>
              <w:left w:w="108" w:type="dxa"/>
              <w:right w:w="108" w:type="dxa"/>
            </w:tcMar>
            <w:vAlign w:val="center"/>
          </w:tcPr>
          <w:p w14:paraId="220E79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60" w:lineRule="atLeast"/>
              <w:ind w:left="0" w:right="0" w:firstLine="0"/>
              <w:jc w:val="center"/>
              <w:rPr>
                <w:rFonts w:hint="eastAsia" w:ascii="宋体" w:hAnsi="宋体" w:eastAsia="宋体" w:cs="宋体"/>
                <w:sz w:val="24"/>
                <w:szCs w:val="24"/>
              </w:rPr>
            </w:pPr>
            <w:r>
              <w:rPr>
                <w:rFonts w:hint="default" w:ascii="方正小标宋简体" w:hAnsi="方正小标宋简体" w:eastAsia="方正小标宋简体" w:cs="方正小标宋简体"/>
                <w:spacing w:val="0"/>
                <w:sz w:val="44"/>
                <w:szCs w:val="44"/>
                <w:bdr w:val="none" w:color="auto" w:sz="0" w:space="0"/>
              </w:rPr>
              <w:t>市场监管总局 国家卫生健康委 国家中医药局</w:t>
            </w:r>
          </w:p>
          <w:p w14:paraId="23F3C6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60" w:lineRule="atLeast"/>
              <w:ind w:left="0" w:right="0" w:firstLine="0"/>
              <w:jc w:val="center"/>
              <w:rPr>
                <w:rFonts w:hint="eastAsia" w:ascii="宋体" w:hAnsi="宋体" w:eastAsia="宋体" w:cs="宋体"/>
                <w:sz w:val="24"/>
                <w:szCs w:val="24"/>
              </w:rPr>
            </w:pPr>
            <w:r>
              <w:rPr>
                <w:rFonts w:hint="default" w:ascii="方正小标宋简体" w:hAnsi="方正小标宋简体" w:eastAsia="方正小标宋简体" w:cs="方正小标宋简体"/>
                <w:spacing w:val="0"/>
                <w:sz w:val="44"/>
                <w:szCs w:val="44"/>
                <w:bdr w:val="none" w:color="auto" w:sz="0" w:space="0"/>
              </w:rPr>
              <w:t>关于发布《医疗广告认定指南》的公告</w:t>
            </w:r>
          </w:p>
          <w:p w14:paraId="5D3C2B8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94" w:lineRule="atLeast"/>
              <w:ind w:left="0" w:right="0"/>
              <w:jc w:val="both"/>
              <w:rPr>
                <w:rFonts w:hint="eastAsia" w:ascii="宋体" w:hAnsi="宋体" w:eastAsia="宋体" w:cs="宋体"/>
                <w:sz w:val="24"/>
                <w:szCs w:val="24"/>
              </w:rPr>
            </w:pPr>
            <w:r>
              <w:rPr>
                <w:rFonts w:hint="default" w:ascii="仿宋_GB2312" w:hAnsi="宋体" w:eastAsia="仿宋_GB2312" w:cs="仿宋_GB2312"/>
                <w:sz w:val="32"/>
                <w:szCs w:val="32"/>
                <w:bdr w:val="none" w:color="auto" w:sz="0" w:space="0"/>
              </w:rPr>
              <w:t>  </w:t>
            </w:r>
          </w:p>
          <w:p w14:paraId="4FB862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94" w:lineRule="atLeast"/>
              <w:ind w:left="0" w:right="0" w:firstLine="640"/>
              <w:jc w:val="both"/>
              <w:rPr>
                <w:rFonts w:hint="eastAsia" w:ascii="宋体" w:hAnsi="宋体" w:eastAsia="宋体" w:cs="宋体"/>
                <w:sz w:val="24"/>
                <w:szCs w:val="24"/>
              </w:rPr>
            </w:pPr>
            <w:r>
              <w:rPr>
                <w:rFonts w:hint="default" w:ascii="仿宋_GB2312" w:hAnsi="宋体" w:eastAsia="仿宋_GB2312" w:cs="仿宋_GB2312"/>
                <w:sz w:val="32"/>
                <w:szCs w:val="32"/>
                <w:bdr w:val="none" w:color="auto" w:sz="0" w:space="0"/>
              </w:rPr>
              <w:t>市场监管总局会同国家卫生健康委、国家中医药局制定了《医疗广告认定指南》，现予公告。</w:t>
            </w:r>
          </w:p>
          <w:p w14:paraId="3AE861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94" w:lineRule="atLeast"/>
              <w:ind w:left="0" w:right="0" w:firstLine="640"/>
              <w:jc w:val="both"/>
              <w:rPr>
                <w:rFonts w:hint="eastAsia" w:ascii="宋体" w:hAnsi="宋体" w:eastAsia="宋体" w:cs="宋体"/>
                <w:sz w:val="24"/>
                <w:szCs w:val="24"/>
              </w:rPr>
            </w:pPr>
            <w:r>
              <w:rPr>
                <w:rFonts w:hint="default" w:ascii="仿宋_GB2312" w:hAnsi="宋体" w:eastAsia="仿宋_GB2312" w:cs="仿宋_GB2312"/>
                <w:sz w:val="32"/>
                <w:szCs w:val="32"/>
                <w:bdr w:val="none" w:color="auto" w:sz="0" w:space="0"/>
              </w:rPr>
              <w:t> </w:t>
            </w:r>
          </w:p>
          <w:p w14:paraId="2AABB3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94" w:lineRule="atLeast"/>
              <w:ind w:left="0" w:right="0" w:firstLine="0"/>
              <w:jc w:val="right"/>
              <w:rPr>
                <w:rFonts w:hint="eastAsia" w:ascii="宋体" w:hAnsi="宋体" w:eastAsia="宋体" w:cs="宋体"/>
                <w:sz w:val="24"/>
                <w:szCs w:val="24"/>
              </w:rPr>
            </w:pPr>
            <w:r>
              <w:rPr>
                <w:rFonts w:hint="default" w:ascii="仿宋_GB2312" w:hAnsi="宋体" w:eastAsia="仿宋_GB2312" w:cs="仿宋_GB2312"/>
                <w:sz w:val="32"/>
                <w:szCs w:val="32"/>
                <w:bdr w:val="none" w:color="auto" w:sz="0" w:space="0"/>
              </w:rPr>
              <w:t>市场监管总局   国家卫生健康委   国家中医药局 </w:t>
            </w:r>
          </w:p>
          <w:p w14:paraId="005F28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94" w:lineRule="atLeast"/>
              <w:ind w:left="0" w:right="0" w:firstLine="640"/>
              <w:jc w:val="right"/>
              <w:rPr>
                <w:rFonts w:hint="eastAsia" w:ascii="宋体" w:hAnsi="宋体" w:eastAsia="宋体" w:cs="宋体"/>
                <w:sz w:val="24"/>
                <w:szCs w:val="24"/>
              </w:rPr>
            </w:pPr>
            <w:r>
              <w:rPr>
                <w:rFonts w:hint="default" w:ascii="仿宋_GB2312" w:hAnsi="宋体" w:eastAsia="仿宋_GB2312" w:cs="仿宋_GB2312"/>
                <w:sz w:val="32"/>
                <w:szCs w:val="32"/>
                <w:bdr w:val="none" w:color="auto" w:sz="0" w:space="0"/>
              </w:rPr>
              <w:t>                       2025年7月17日 </w:t>
            </w:r>
          </w:p>
          <w:p w14:paraId="7253A4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640"/>
              <w:jc w:val="both"/>
              <w:rPr>
                <w:rFonts w:hint="eastAsia" w:ascii="宋体" w:hAnsi="宋体" w:eastAsia="宋体" w:cs="宋体"/>
                <w:sz w:val="24"/>
                <w:szCs w:val="24"/>
              </w:rPr>
            </w:pPr>
            <w:r>
              <w:rPr>
                <w:rFonts w:hint="default" w:ascii="仿宋_GB2312" w:hAnsi="宋体" w:eastAsia="仿宋_GB2312" w:cs="仿宋_GB2312"/>
                <w:sz w:val="32"/>
                <w:szCs w:val="32"/>
                <w:bdr w:val="none" w:color="auto" w:sz="0" w:space="0"/>
              </w:rPr>
              <w:t> </w:t>
            </w:r>
          </w:p>
          <w:p w14:paraId="7A65AB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 </w:t>
            </w:r>
          </w:p>
          <w:p w14:paraId="39D824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 </w:t>
            </w:r>
          </w:p>
          <w:p w14:paraId="6F1699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sz w:val="24"/>
                <w:szCs w:val="24"/>
              </w:rPr>
            </w:pPr>
          </w:p>
          <w:p w14:paraId="1A0E137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0"/>
              <w:jc w:val="center"/>
              <w:rPr>
                <w:rFonts w:hint="eastAsia" w:ascii="宋体" w:hAnsi="宋体" w:eastAsia="宋体" w:cs="宋体"/>
                <w:sz w:val="24"/>
                <w:szCs w:val="24"/>
              </w:rPr>
            </w:pPr>
            <w:r>
              <w:rPr>
                <w:rFonts w:hint="default" w:ascii="方正小标宋简体" w:hAnsi="方正小标宋简体" w:eastAsia="方正小标宋简体" w:cs="方正小标宋简体"/>
                <w:sz w:val="44"/>
                <w:szCs w:val="44"/>
                <w:bdr w:val="none" w:color="auto" w:sz="0" w:space="0"/>
              </w:rPr>
              <w:t>医疗广告认定指南</w:t>
            </w:r>
          </w:p>
          <w:p w14:paraId="38F264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jc w:val="center"/>
              <w:rPr>
                <w:rFonts w:hint="eastAsia" w:ascii="宋体" w:hAnsi="宋体" w:eastAsia="宋体" w:cs="宋体"/>
                <w:sz w:val="24"/>
                <w:szCs w:val="24"/>
              </w:rPr>
            </w:pPr>
            <w:r>
              <w:rPr>
                <w:rFonts w:ascii="方正楷体_GBK" w:hAnsi="方正楷体_GBK" w:eastAsia="方正楷体_GBK" w:cs="方正楷体_GBK"/>
                <w:sz w:val="32"/>
                <w:szCs w:val="32"/>
                <w:bdr w:val="none" w:color="auto" w:sz="0" w:space="0"/>
              </w:rPr>
              <w:t> </w:t>
            </w:r>
          </w:p>
          <w:p w14:paraId="5E404B6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jc w:val="both"/>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一、为有力维护医疗广告市场秩序，切实保障人民群众就医知情权以及广大消费者合法权益，依据《广告法》《互联网广告管理办法》《医疗广告管理办法》等法律法规，制定本指南。</w:t>
            </w:r>
          </w:p>
          <w:p w14:paraId="4B3888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jc w:val="both"/>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二、医疗广告是指利用一定的媒介和形式直接或者间接介绍医疗机构或者医疗服务的广告。</w:t>
            </w:r>
          </w:p>
          <w:p w14:paraId="22452D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jc w:val="both"/>
              <w:rPr>
                <w:rFonts w:hint="eastAsia" w:ascii="宋体" w:hAnsi="宋体" w:eastAsia="宋体" w:cs="宋体"/>
                <w:sz w:val="24"/>
                <w:szCs w:val="24"/>
              </w:rPr>
            </w:pPr>
            <w:r>
              <w:rPr>
                <w:rFonts w:hint="default" w:ascii="仿宋_GB2312" w:hAnsi="宋体" w:eastAsia="仿宋_GB2312" w:cs="仿宋_GB2312"/>
                <w:sz w:val="32"/>
                <w:szCs w:val="32"/>
                <w:bdr w:val="none" w:color="auto" w:sz="0" w:space="0"/>
              </w:rPr>
              <w:t>除依法设立的医疗机构外，任何单位和个人不得自行或者委托他人发布医疗广告。</w:t>
            </w:r>
          </w:p>
          <w:p w14:paraId="228558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jc w:val="both"/>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市场监管部门应当综合相关医疗信息的发布内容、发布渠道、发布方式等多种因素认定医疗广告。</w:t>
            </w:r>
          </w:p>
          <w:p w14:paraId="56BDCF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jc w:val="both"/>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三、医疗机构以医疗科研为目的，发布的招募受试者、临床研究患者等信息，不构成广告。</w:t>
            </w:r>
          </w:p>
          <w:p w14:paraId="683FA3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四、医疗机构对患者进行分诊或者就医引导，以及按照互联网医疗管理有关规定，在开展互联网诊疗过程中线上解答患者咨询、指导患者接受诊疗等行为，不构成广告。</w:t>
            </w:r>
          </w:p>
          <w:p w14:paraId="7A0890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五、医疗机构在本机构服务场所（含法定控制地带）或者通过本机构门户网站、移动客户端以及经网站平台认证资质的“自媒体”等互联网媒介，公开发布医疗机构概况、所承担的公共服务职能情况、重点学科、医务人员信息、医疗服务项目、诊疗服务流程以及医保、价格、收费、投诉方式等信息,且不存在本指南第六条规定情形的，不构成广告。</w:t>
            </w:r>
          </w:p>
          <w:p w14:paraId="6463CE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医疗机构通过第三方互联网电商平台，以表格化形式，介绍医疗机构名称、地址、接诊时间、医务人员简介、医疗服务项目、诊疗流程、医保政策、价格等患者就医必须了解的信息，且不存在本指南第六条规定情形的，不构成广告。</w:t>
            </w:r>
          </w:p>
          <w:p w14:paraId="70254A1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医疗机构公布本条前两款规定的信息，还应当符合医疗卫生机构信息公开和院务公开的有关规定。</w:t>
            </w:r>
          </w:p>
          <w:p w14:paraId="015C72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六、医疗机构在信息公开过程中，存在下列情形之一的，应当认定为发布医疗广告：</w:t>
            </w:r>
          </w:p>
          <w:p w14:paraId="76B232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（一）对本机构就医环境、医疗器材等硬件设备进行带有主观色彩的推介；</w:t>
            </w:r>
          </w:p>
          <w:p w14:paraId="6DD951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（二）通过对本机构或者其医务人员的诊疗技术、诊疗流程、诊疗效果进行主观性评价或者保证性承诺等方式，对本机构进行推介；</w:t>
            </w:r>
          </w:p>
          <w:p w14:paraId="504069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（三）与其他医疗机构进行比较；</w:t>
            </w:r>
          </w:p>
          <w:p w14:paraId="090CC11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（四）其他以推介本医疗机构为目的发布的信息。</w:t>
            </w:r>
          </w:p>
          <w:p w14:paraId="75895D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七、医疗机构及其医务人员按照医疗卫生健康科普有关要求，以文字、图片、视频、直播等形式开展科普宣传，且不存在本指南第八条规定情形的，不构成广告。</w:t>
            </w:r>
          </w:p>
          <w:p w14:paraId="34F65C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    为确保医疗卫生健康科普信息的客观真实性，可以在科普宣传中介绍作为科普宣传人员的医务人员姓名、职称、所供职的主执业机构、医疗机构名称及具体的科室名称。</w:t>
            </w:r>
          </w:p>
          <w:p w14:paraId="5D8BB7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八、任何单位、组织或者个人开展科普宣传时，存在下列情形之一的，应当认定为以介绍健康、养生知识等形式变相发布医疗广告：</w:t>
            </w:r>
          </w:p>
          <w:p w14:paraId="5CA822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（一）通过宣称其诊疗技术优势、硬件设备优势以及诊疗效果等，对具体医疗机构及其医疗服务进行推介；</w:t>
            </w:r>
          </w:p>
          <w:p w14:paraId="6783C4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（二）明示或者暗示在具体医疗机构就医将获得更好的安全性保障、疗效或者价格优惠等；</w:t>
            </w:r>
          </w:p>
          <w:p w14:paraId="1A3A48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（三）直接或者间接推介本机构或者其他医疗机构的具体医疗服务；</w:t>
            </w:r>
          </w:p>
          <w:p w14:paraId="2F7F84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z w:val="32"/>
                <w:szCs w:val="32"/>
                <w:bdr w:val="none" w:color="auto" w:sz="0" w:space="0"/>
              </w:rPr>
              <w:t>（四）以病例或者案例方式，对具体医疗机构或者其医疗服务进行推介；</w:t>
            </w:r>
          </w:p>
          <w:p w14:paraId="2E09FE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（五）在科普宣传的互联网页面内附加与科普宣传内容有关的医疗机构或者医疗服务项目的跳转入口，或者附加科普宣传对应的医疗服务所必需的药品、医疗器械等商品购买链接；</w:t>
            </w:r>
          </w:p>
          <w:p w14:paraId="2DBBE7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（六）存在推介具体医疗机构或者其医疗服务的其他情形。</w:t>
            </w:r>
          </w:p>
          <w:p w14:paraId="105744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九、除依据本指南应当认定为医疗广告的情形外，医疗机构信息公开、医疗科普宣传内容中出现错误或者引人误解的，不属于广告法调整范畴。</w:t>
            </w:r>
          </w:p>
          <w:p w14:paraId="33DC90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市场监管部门发现前款规定情形的，可以通报卫生健康行政部门（含中医药主管部门，下同），由其责令相关医疗机构及时整改。</w:t>
            </w:r>
          </w:p>
          <w:p w14:paraId="4B07C9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十、卫生健康行政部门在医疗机构信息公开、医疗科普宣传监管工作中，发现医疗机构变相发布医疗广告的，应当依职责进行处置，并将相关涉嫌违法广告线索及时通报市场监管部门。</w:t>
            </w:r>
          </w:p>
          <w:p w14:paraId="067DA9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十一、对于应当认定为医疗广告的，市场监管部门依照广告法律法规规定进行监管。</w:t>
            </w:r>
          </w:p>
          <w:p w14:paraId="7543C9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市场监管部门依法处置后，应当向卫生健康行政部门或者医疗广告审查机关通报医疗机构的广告违法情况。有关部门按照《医疗广告管理办法》等规定进行处置。</w:t>
            </w:r>
          </w:p>
          <w:p w14:paraId="3BB193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十二、医疗广告存在下列情形之一的，可以认定为《广告法》第五十八条第二款、第三款，《医疗广告管理办法》第二十条规定的“情节严重”：</w:t>
            </w:r>
          </w:p>
          <w:p w14:paraId="124869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（一）致人死亡、重伤、毁容或者其他严重危及生命健康安全的；</w:t>
            </w:r>
          </w:p>
          <w:p w14:paraId="0624FD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（二）涉嫌构成虚假广告罪，应当移送公安机关的；</w:t>
            </w:r>
          </w:p>
          <w:p w14:paraId="225445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（三）为未依法取得《医疗机构执业许可证》或者诊所备案凭证（含《中医诊所备案证》）的非医疗机构，以及未办理核准登记或者备案的诊疗科目进行引流、推介的；</w:t>
            </w:r>
          </w:p>
          <w:p w14:paraId="59118F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（四）一年内发布两次以上（含两次）违法医疗广告，造成严重不良社会影响的；</w:t>
            </w:r>
          </w:p>
          <w:p w14:paraId="42B3BB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40" w:lineRule="atLeast"/>
              <w:ind w:left="0" w:right="0" w:firstLine="640"/>
              <w:rPr>
                <w:rFonts w:hint="eastAsia" w:ascii="宋体" w:hAnsi="宋体" w:eastAsia="宋体" w:cs="宋体"/>
                <w:sz w:val="24"/>
                <w:szCs w:val="24"/>
              </w:rPr>
            </w:pPr>
            <w:r>
              <w:rPr>
                <w:rFonts w:hint="default" w:ascii="仿宋_GB2312" w:hAnsi="宋体" w:eastAsia="仿宋_GB2312" w:cs="仿宋_GB2312"/>
                <w:spacing w:val="0"/>
                <w:sz w:val="32"/>
                <w:szCs w:val="32"/>
                <w:bdr w:val="none" w:color="auto" w:sz="0" w:space="0"/>
              </w:rPr>
              <w:t>（五）其他应当认定为情节严重的。</w:t>
            </w:r>
          </w:p>
        </w:tc>
      </w:tr>
    </w:tbl>
    <w:p w14:paraId="1E45922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4A56E1"/>
    <w:rsid w:val="394A56E1"/>
    <w:rsid w:val="513966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2025-10-27T06:41:00Z</dcterms:created>
  <dc:creator>小美</dc:creator>
  <cp:lastModifiedBy>小美</cp:lastModifiedBy>
  <dcterms:modified xsi:type="dcterms:W3CDTF">2025-10-27T06:42:24Z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BEC3B8D8718B4FD88C8ED2ED31FAA9BA_11</vt:lpwstr>
  </property>
  <property fmtid="{D5CDD505-2E9C-101B-9397-08002B2CF9AE}" pid="4" name="KSOTemplateDocerSaveRecord">
    <vt:lpwstr>eyJoZGlkIjoiMDIwYWViYzgwNmFjMDEyMzMwMDYwOGQyYmQ5MWQxODciLCJ1c2VySWQiOiI0MDU1ODg2NDkifQ==</vt:lpwstr>
  </property>
</Properties>
</file>