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83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83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8305" w:type="dxa"/>
            <w:shd w:val="clear" w:color="auto" w:fill="auto"/>
            <w:vAlign w:val="top"/>
          </w:tcPr>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600" w:lineRule="exact"/>
              <w:ind w:left="0" w:leftChars="0" w:right="0" w:rightChars="0" w:hanging="360"/>
              <w:jc w:val="center"/>
              <w:textAlignment w:val="auto"/>
              <w:outlineLvl w:val="9"/>
              <w:rPr>
                <w:rFonts w:hint="eastAsia" w:ascii="仿宋_GB2312" w:hAnsi="仿宋_GB2312" w:eastAsia="仿宋_GB2312" w:cs="仿宋_GB2312"/>
                <w:color w:val="808080"/>
                <w:sz w:val="30"/>
                <w:szCs w:val="30"/>
              </w:rPr>
            </w:pPr>
            <w:r>
              <w:rPr>
                <w:rFonts w:hint="eastAsia" w:ascii="方正小标宋简体" w:hAnsi="方正小标宋简体" w:eastAsia="方正小标宋简体" w:cs="方正小标宋简体"/>
                <w:i w:val="0"/>
                <w:caps w:val="0"/>
                <w:color w:val="333333"/>
                <w:spacing w:val="0"/>
                <w:kern w:val="2"/>
                <w:sz w:val="36"/>
                <w:szCs w:val="36"/>
                <w:lang w:val="en-US" w:eastAsia="zh-CN" w:bidi="ar-SA"/>
              </w:rPr>
              <w:t>《</w:t>
            </w:r>
            <w:r>
              <w:rPr>
                <w:rFonts w:hint="eastAsia" w:ascii="方正小标宋简体" w:hAnsi="方正小标宋简体" w:eastAsia="方正小标宋简体" w:cs="方正小标宋简体"/>
                <w:i w:val="0"/>
                <w:caps w:val="0"/>
                <w:color w:val="333333"/>
                <w:spacing w:val="0"/>
                <w:kern w:val="2"/>
                <w:sz w:val="36"/>
                <w:szCs w:val="36"/>
                <w:lang w:val="en-US" w:eastAsia="zh-CN" w:bidi="ar-SA"/>
              </w:rPr>
              <w:t>市场监管总局关于发布〈特殊医学用途电解质   配方食品注册指南〉等文件的公告》解读</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600" w:lineRule="exact"/>
              <w:ind w:left="0" w:leftChars="0" w:right="0" w:rightChars="0" w:hanging="360"/>
              <w:jc w:val="center"/>
              <w:textAlignment w:val="auto"/>
              <w:outlineLvl w:val="9"/>
              <w:rPr>
                <w:rFonts w:hint="eastAsia" w:ascii="仿宋_GB2312" w:hAnsi="仿宋_GB2312" w:eastAsia="仿宋_GB2312" w:cs="仿宋_GB2312"/>
                <w:color w:val="808080"/>
                <w:sz w:val="30"/>
                <w:szCs w:val="30"/>
              </w:rPr>
            </w:pPr>
          </w:p>
        </w:tc>
      </w:tr>
    </w:tbl>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600" w:lineRule="exact"/>
        <w:ind w:left="0" w:leftChars="0" w:right="0" w:rightChars="0" w:firstLine="900" w:firstLineChars="3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333333"/>
          <w:spacing w:val="0"/>
          <w:sz w:val="30"/>
          <w:szCs w:val="30"/>
        </w:rPr>
        <w:t>近日，市场监管总局发布了《特殊医学用途电解质配方食品注册指南》《特殊医学用途碳水化合物组件配方食品注册指南》和《特殊医学用途蛋白质组件配方食品注册指南》（以下简称《指南》）。现就相关内容解读如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600" w:lineRule="exact"/>
        <w:ind w:left="0" w:leftChars="0" w:right="0" w:rightChars="0" w:firstLine="900" w:firstLineChars="300"/>
        <w:jc w:val="both"/>
        <w:textAlignment w:val="auto"/>
        <w:outlineLvl w:val="9"/>
        <w:rPr>
          <w:rFonts w:hint="eastAsia" w:ascii="黑体" w:hAnsi="黑体" w:eastAsia="黑体" w:cs="黑体"/>
          <w:i w:val="0"/>
          <w:caps w:val="0"/>
          <w:color w:val="333333"/>
          <w:spacing w:val="0"/>
          <w:sz w:val="30"/>
          <w:szCs w:val="30"/>
        </w:rPr>
      </w:pPr>
      <w:r>
        <w:rPr>
          <w:rFonts w:hint="eastAsia" w:ascii="黑体" w:hAnsi="黑体" w:eastAsia="黑体" w:cs="黑体"/>
          <w:i w:val="0"/>
          <w:caps w:val="0"/>
          <w:color w:val="333333"/>
          <w:spacing w:val="0"/>
          <w:sz w:val="30"/>
          <w:szCs w:val="30"/>
        </w:rPr>
        <w:t>一、《指南》的制定背景是什么？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600" w:lineRule="exact"/>
        <w:ind w:left="0" w:leftChars="0" w:right="0" w:rightChars="0" w:firstLine="900" w:firstLineChars="3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333333"/>
          <w:spacing w:val="0"/>
          <w:sz w:val="30"/>
          <w:szCs w:val="30"/>
        </w:rPr>
        <w:t>2023年11月，市场监管总局修订发布了《特殊医学用途配方食品注册管理办法》（以下简称《办法》）。为进一步落实《办法》关于优化注册流程、满足特殊人群临床营养使用的要求，基于对特殊医学用途电解质配方食品、特殊医学用途碳水化合物组件配方食品、特殊医学用途蛋白质组件配方食品（</w:t>
      </w:r>
      <w:bookmarkStart w:id="0" w:name="_GoBack"/>
      <w:bookmarkEnd w:id="0"/>
      <w:r>
        <w:rPr>
          <w:rFonts w:hint="eastAsia" w:ascii="仿宋_GB2312" w:hAnsi="仿宋_GB2312" w:eastAsia="仿宋_GB2312" w:cs="仿宋_GB2312"/>
          <w:i w:val="0"/>
          <w:caps w:val="0"/>
          <w:color w:val="333333"/>
          <w:spacing w:val="0"/>
          <w:sz w:val="30"/>
          <w:szCs w:val="30"/>
        </w:rPr>
        <w:t>以下简称“三类产品”）的科学认知、注册实践、产品研发及生产实际的情况，在充分落实企业食品安全主体责任、保障特医食品安全营养的基础上，市场监管总局对三类产品的注册管理要求进行了优化。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600" w:lineRule="exact"/>
        <w:ind w:left="0" w:leftChars="0" w:right="0" w:rightChars="0" w:firstLine="900" w:firstLineChars="300"/>
        <w:jc w:val="both"/>
        <w:textAlignment w:val="auto"/>
        <w:outlineLvl w:val="9"/>
        <w:rPr>
          <w:rFonts w:hint="eastAsia" w:ascii="黑体" w:hAnsi="黑体" w:eastAsia="黑体" w:cs="黑体"/>
          <w:i w:val="0"/>
          <w:caps w:val="0"/>
          <w:color w:val="333333"/>
          <w:spacing w:val="0"/>
          <w:sz w:val="30"/>
          <w:szCs w:val="30"/>
        </w:rPr>
      </w:pPr>
      <w:r>
        <w:rPr>
          <w:rFonts w:hint="eastAsia" w:ascii="黑体" w:hAnsi="黑体" w:eastAsia="黑体" w:cs="黑体"/>
          <w:i w:val="0"/>
          <w:caps w:val="0"/>
          <w:color w:val="333333"/>
          <w:spacing w:val="0"/>
          <w:sz w:val="30"/>
          <w:szCs w:val="30"/>
        </w:rPr>
        <w:t>二、《指南》的适用范围是什么？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600" w:lineRule="exact"/>
        <w:ind w:left="0" w:leftChars="0" w:right="0" w:rightChars="0" w:firstLine="900" w:firstLineChars="3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333333"/>
          <w:spacing w:val="0"/>
          <w:sz w:val="30"/>
          <w:szCs w:val="30"/>
        </w:rPr>
        <w:t>申请三类产品注册的，应严格根据《办法》及其有关规定开展相关研发工作，并按照《特殊医学用途配方食品注册申请材料项目与要求》等有关规定提交申请，对于符合《指南》中所列情形的，可优化提交相应的申请材料，一般不再进行注册现场核查和抽样检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600" w:lineRule="exact"/>
        <w:ind w:left="0" w:leftChars="0" w:right="0" w:rightChars="0" w:firstLine="900" w:firstLineChars="300"/>
        <w:jc w:val="both"/>
        <w:textAlignment w:val="auto"/>
        <w:outlineLvl w:val="9"/>
        <w:rPr>
          <w:rFonts w:hint="eastAsia" w:ascii="黑体" w:hAnsi="黑体" w:eastAsia="黑体" w:cs="黑体"/>
          <w:i w:val="0"/>
          <w:caps w:val="0"/>
          <w:color w:val="333333"/>
          <w:spacing w:val="0"/>
          <w:sz w:val="30"/>
          <w:szCs w:val="30"/>
        </w:rPr>
      </w:pPr>
      <w:r>
        <w:rPr>
          <w:rFonts w:hint="eastAsia" w:ascii="黑体" w:hAnsi="黑体" w:eastAsia="黑体" w:cs="黑体"/>
          <w:i w:val="0"/>
          <w:caps w:val="0"/>
          <w:color w:val="333333"/>
          <w:spacing w:val="0"/>
          <w:sz w:val="30"/>
          <w:szCs w:val="30"/>
        </w:rPr>
        <w:t>三、《指南》优化了哪些注册申请材料？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600" w:lineRule="exact"/>
        <w:ind w:left="0" w:leftChars="0" w:right="0" w:rightChars="0" w:firstLine="900" w:firstLineChars="3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333333"/>
          <w:spacing w:val="0"/>
          <w:sz w:val="30"/>
          <w:szCs w:val="30"/>
        </w:rPr>
        <w:t>一是优化了产品配方设计依据相关材料。《指南》明确了三类产品的使用目的、适用人群、配方设计参考依据、食品原料及食品添加剂的使用要求等内容，对于符合《指南》相应情形的产品，申请注册时仅需提交产品配方的符合性说明，可不提交产品配方设计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600" w:lineRule="exact"/>
        <w:ind w:left="0" w:leftChars="0" w:right="0" w:rightChars="0" w:firstLine="900" w:firstLineChars="3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333333"/>
          <w:spacing w:val="0"/>
          <w:sz w:val="30"/>
          <w:szCs w:val="30"/>
        </w:rPr>
        <w:t>二是优化了生产工艺设计材料。对于符合《指南》相应情形的，申请注册时仅需提交关于工艺设计、形态选择、工艺过程等情况的一致性说明，可不提交生产工艺设计依据、文献资料等，根据申请材料项目与要求相关规定提交工艺验证等材料即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600" w:lineRule="exact"/>
        <w:ind w:left="0" w:leftChars="0" w:right="0" w:rightChars="0" w:firstLine="900" w:firstLineChars="3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333333"/>
          <w:spacing w:val="0"/>
          <w:sz w:val="30"/>
          <w:szCs w:val="30"/>
        </w:rPr>
        <w:t>三是优化了稳定性研究材料。申请三类产品注册的，应按照《特殊医学用途配方食品稳定性研究要求》组织开展稳定性研究，并保留记录备查，申请注册时仅需提交稳定性研究的开展时间及相关情况说明，可不提交研究报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600" w:lineRule="exact"/>
        <w:ind w:left="0" w:leftChars="0" w:right="0" w:rightChars="0" w:firstLine="900" w:firstLineChars="3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333333"/>
          <w:spacing w:val="0"/>
          <w:sz w:val="30"/>
          <w:szCs w:val="30"/>
        </w:rPr>
        <w:t>四是优化了研发能力和生产能力材料。对于符合《指南》相应情形的，申请注册时仅需提交关于研发机构、生产场所主要设施设备、生产质量管理体系等情况的一致性说明，可不提交研发能力和生产能力材料的原始文件及证明材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600" w:lineRule="exact"/>
        <w:ind w:left="0" w:leftChars="0" w:right="0" w:rightChars="0" w:firstLine="900" w:firstLineChars="3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333333"/>
          <w:spacing w:val="0"/>
          <w:sz w:val="30"/>
          <w:szCs w:val="30"/>
        </w:rPr>
        <w:t>五是明确了产品标签、说明书样稿中产品名称、配方特点/营养学特征、警示说明和注意事项等内容的标示要求和规范表述。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600" w:lineRule="exact"/>
        <w:ind w:left="0" w:leftChars="0" w:right="0" w:rightChars="0" w:firstLine="900" w:firstLineChars="300"/>
        <w:jc w:val="both"/>
        <w:textAlignment w:val="auto"/>
        <w:outlineLvl w:val="9"/>
        <w:rPr>
          <w:rFonts w:hint="eastAsia" w:ascii="黑体" w:hAnsi="黑体" w:eastAsia="黑体" w:cs="黑体"/>
          <w:i w:val="0"/>
          <w:caps w:val="0"/>
          <w:color w:val="333333"/>
          <w:spacing w:val="0"/>
          <w:sz w:val="30"/>
          <w:szCs w:val="30"/>
        </w:rPr>
      </w:pPr>
      <w:r>
        <w:rPr>
          <w:rFonts w:hint="eastAsia" w:ascii="黑体" w:hAnsi="黑体" w:eastAsia="黑体" w:cs="黑体"/>
          <w:i w:val="0"/>
          <w:caps w:val="0"/>
          <w:color w:val="333333"/>
          <w:spacing w:val="0"/>
          <w:sz w:val="30"/>
          <w:szCs w:val="30"/>
        </w:rPr>
        <w:t>四、《指南》明确哪些情形需要进行生产现场核查和抽样检验？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600" w:lineRule="exact"/>
        <w:ind w:left="0" w:leftChars="0" w:right="0" w:rightChars="0" w:firstLine="900" w:firstLineChars="30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333333"/>
          <w:spacing w:val="0"/>
          <w:sz w:val="30"/>
          <w:szCs w:val="30"/>
        </w:rPr>
        <w:t>《办法》第十四条规定，“审评机构根据食品安全风险组织对申请人进行生产现场核查和抽样检验。”《指南》根据上述规定明确了需要进行生产现场核查和抽样检验的具体情形，包括：申请人首次申请注册特殊医学用途配方食品；生产线首次用于申请注册特殊医学用途配方食品；其他需要进行生产现场核查和抽样检验的情况，包括既往注册申请存在隐瞒真实情况或提供虚假材料的、相关举报问题或监督管理部门认为需进行核查的、技术审评过程中认为需要进行现场确认的等。除上述情形外，对三类产品的注册审评一般不再进行生产现场核查和抽样检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600" w:lineRule="exact"/>
        <w:ind w:left="0" w:leftChars="0" w:right="0" w:rightChars="0" w:firstLine="900" w:firstLineChars="300"/>
        <w:jc w:val="both"/>
        <w:textAlignment w:val="auto"/>
        <w:outlineLvl w:val="9"/>
        <w:rPr>
          <w:rFonts w:hint="eastAsia" w:ascii="黑体" w:hAnsi="黑体" w:eastAsia="黑体" w:cs="黑体"/>
          <w:i w:val="0"/>
          <w:caps w:val="0"/>
          <w:color w:val="333333"/>
          <w:spacing w:val="0"/>
          <w:sz w:val="30"/>
          <w:szCs w:val="30"/>
        </w:rPr>
      </w:pPr>
      <w:r>
        <w:rPr>
          <w:rFonts w:hint="eastAsia" w:ascii="黑体" w:hAnsi="黑体" w:eastAsia="黑体" w:cs="黑体"/>
          <w:i w:val="0"/>
          <w:caps w:val="0"/>
          <w:color w:val="333333"/>
          <w:spacing w:val="0"/>
          <w:sz w:val="30"/>
          <w:szCs w:val="30"/>
        </w:rPr>
        <w:t>五、《指南》与《办法》及其配套文件的关系是什么？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600" w:lineRule="exact"/>
        <w:ind w:left="0" w:leftChars="0" w:right="0" w:rightChars="0" w:firstLine="42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333333"/>
          <w:spacing w:val="0"/>
          <w:sz w:val="30"/>
          <w:szCs w:val="30"/>
        </w:rPr>
        <w:t>市场监管总局依据《办法》规定的程序和要求，对申请注册的特医食品进行审查，并决定是否准予注册。申请人应按照《特殊医学用途配方食品注册申请材料项目与要求》提交注册申请材料、按照《特殊医学用途配方食品稳定性研究要求》组织开展稳定性研究、按照《特殊医学用途配方食品临床试验质量管理规范》开展临床试验研究、按照《特殊医学用途配方食品标签、说明书样稿要求》规范标示内容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600" w:lineRule="exact"/>
        <w:ind w:left="0" w:leftChars="0" w:right="0" w:rightChars="0" w:firstLine="42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333333"/>
          <w:spacing w:val="0"/>
          <w:sz w:val="30"/>
          <w:szCs w:val="30"/>
        </w:rPr>
        <w:t>申请人应严格根据《特殊医学用途配方食品注册管理办法》及其有关规定开展研发注册相关工作，对于符合《指南》所列情形的，可优化提交相应的申请材料。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600" w:lineRule="exact"/>
        <w:ind w:left="0" w:leftChars="0" w:right="0" w:rightChars="0" w:firstLine="900" w:firstLineChars="300"/>
        <w:jc w:val="both"/>
        <w:textAlignment w:val="auto"/>
        <w:outlineLvl w:val="9"/>
        <w:rPr>
          <w:rFonts w:hint="eastAsia" w:ascii="黑体" w:hAnsi="黑体" w:eastAsia="黑体" w:cs="黑体"/>
          <w:sz w:val="30"/>
          <w:szCs w:val="30"/>
        </w:rPr>
      </w:pPr>
      <w:r>
        <w:rPr>
          <w:rFonts w:hint="eastAsia" w:ascii="黑体" w:hAnsi="黑体" w:eastAsia="黑体" w:cs="黑体"/>
          <w:i w:val="0"/>
          <w:caps w:val="0"/>
          <w:color w:val="333333"/>
          <w:spacing w:val="0"/>
          <w:sz w:val="30"/>
          <w:szCs w:val="30"/>
        </w:rPr>
        <w:t>六、其他类别特医食品将来是否会有注册指南？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600" w:lineRule="exact"/>
        <w:ind w:left="0" w:leftChars="0" w:right="0" w:rightChars="0" w:firstLine="42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333333"/>
          <w:spacing w:val="0"/>
          <w:sz w:val="30"/>
          <w:szCs w:val="30"/>
        </w:rPr>
        <w:t>特殊医学用途电解质配方食品、特殊医学用途碳水化合物组件配方食品和特殊医学用途蛋白质组件配方食品的配方组成共识度较高，临床应用比较成熟。基于对三类产品的科学认知、注册实践、配方研发及生产实际情况等，先行优化注册管理要求，有利于降低研发成本、缩短注册时间、提升审评审批效能，进一步激发特医食品市场活力、满足临床使用需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600" w:lineRule="exact"/>
        <w:ind w:left="0" w:leftChars="0" w:right="0" w:rightChars="0" w:firstLine="42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i w:val="0"/>
          <w:caps w:val="0"/>
          <w:color w:val="333333"/>
          <w:spacing w:val="0"/>
          <w:sz w:val="30"/>
          <w:szCs w:val="30"/>
        </w:rPr>
        <w:t>对于其他类别的特医食品，市场监管总局将结合产品特点、针对研发共性问题、参考业界需求等继续研究特医食品分类注册指南，成熟一个、发布一个，为特医食品的研发、生产及审评提供更加明确和规范的指导，保障产品的安全性、营养充足性和特殊医学用途临床效果。</w:t>
      </w:r>
    </w:p>
    <w:p>
      <w:pPr>
        <w:keepNext w:val="0"/>
        <w:keepLines w:val="0"/>
        <w:pageBreakBefore w:val="0"/>
        <w:kinsoku/>
        <w:overflowPunct/>
        <w:topLinePunct w:val="0"/>
        <w:autoSpaceDE/>
        <w:autoSpaceDN/>
        <w:bidi w:val="0"/>
        <w:adjustRightInd/>
        <w:snapToGrid/>
        <w:spacing w:line="600" w:lineRule="exact"/>
        <w:ind w:left="0" w:leftChars="0" w:right="0" w:rightChars="0"/>
        <w:jc w:val="both"/>
        <w:textAlignment w:val="auto"/>
        <w:outlineLvl w:val="9"/>
        <w:rPr>
          <w:rFonts w:hint="eastAsia" w:ascii="仿宋_GB2312" w:hAnsi="仿宋_GB2312" w:eastAsia="仿宋_GB2312" w:cs="仿宋_GB2312"/>
          <w:sz w:val="30"/>
          <w:szCs w:val="30"/>
        </w:rPr>
      </w:pPr>
    </w:p>
    <w:sectPr>
      <w:footerReference r:id="rId3" w:type="default"/>
      <w:pgSz w:w="11906" w:h="16838"/>
      <w:pgMar w:top="2098" w:right="1474" w:bottom="1984" w:left="1587" w:header="851" w:footer="992" w:gutter="0"/>
      <w:paperSrc/>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ymbol">
    <w:panose1 w:val="05050102010706020507"/>
    <w:charset w:val="00"/>
    <w:family w:val="auto"/>
    <w:pitch w:val="default"/>
    <w:sig w:usb0="00000000" w:usb1="00000000" w:usb2="00000000" w:usb3="00000000" w:csb0="80000000" w:csb1="00000000"/>
  </w:font>
  <w:font w:name="华文楷体">
    <w:panose1 w:val="02010600040101010101"/>
    <w:charset w:val="86"/>
    <w:family w:val="auto"/>
    <w:pitch w:val="default"/>
    <w:sig w:usb0="00000287" w:usb1="080F0000" w:usb2="00000000" w:usb3="00000000" w:csb0="0004009F" w:csb1="DFD70000"/>
  </w:font>
  <w:font w:name="方正舒体">
    <w:panose1 w:val="02010601030101010101"/>
    <w:charset w:val="86"/>
    <w:family w:val="auto"/>
    <w:pitch w:val="default"/>
    <w:sig w:usb0="00000003" w:usb1="080E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PMingLiU">
    <w:panose1 w:val="02020500000000000000"/>
    <w:charset w:val="88"/>
    <w:family w:val="auto"/>
    <w:pitch w:val="default"/>
    <w:sig w:usb0="A00002FF" w:usb1="28CFFCFA" w:usb2="00000016" w:usb3="00000000" w:csb0="00100001" w:csb1="00000000"/>
  </w:font>
  <w:font w:name="华文新魏">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思源黑体 Medium">
    <w:panose1 w:val="020B0600000000000000"/>
    <w:charset w:val="86"/>
    <w:family w:val="auto"/>
    <w:pitch w:val="default"/>
    <w:sig w:usb0="30000003" w:usb1="2BDF3C10" w:usb2="00000016" w:usb3="00000000" w:csb0="602E0107" w:csb1="00000000"/>
  </w:font>
  <w:font w:name="思源黑体 Regular">
    <w:panose1 w:val="020B0500000000000000"/>
    <w:charset w:val="86"/>
    <w:family w:val="auto"/>
    <w:pitch w:val="default"/>
    <w:sig w:usb0="30000003" w:usb1="2BDF3C10" w:usb2="00000016" w:usb3="00000000" w:csb0="602E0107" w:csb1="00000000"/>
  </w:font>
  <w:font w:name="新宋体">
    <w:panose1 w:val="02010609030101010101"/>
    <w:charset w:val="86"/>
    <w:family w:val="auto"/>
    <w:pitch w:val="default"/>
    <w:sig w:usb0="00000003" w:usb1="288F0000" w:usb2="0000000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汉仪中黑 197">
    <w:panose1 w:val="00020600040101010101"/>
    <w:charset w:val="86"/>
    <w:family w:val="auto"/>
    <w:pitch w:val="default"/>
    <w:sig w:usb0="A00002BF" w:usb1="18EF7CFA" w:usb2="00000016" w:usb3="00000000" w:csb0="0004009F" w:csb1="00000000"/>
  </w:font>
  <w:font w:name="Batang">
    <w:panose1 w:val="02030600000101010101"/>
    <w:charset w:val="81"/>
    <w:family w:val="auto"/>
    <w:pitch w:val="default"/>
    <w:sig w:usb0="B00002AF" w:usb1="69D77CFB" w:usb2="00000030" w:usb3="00000000" w:csb0="4008009F" w:csb1="DFD70000"/>
  </w:font>
  <w:font w:name="华文彩云">
    <w:panose1 w:val="02010800040101010101"/>
    <w:charset w:val="86"/>
    <w:family w:val="auto"/>
    <w:pitch w:val="default"/>
    <w:sig w:usb0="00000001" w:usb1="080F0000" w:usb2="00000000" w:usb3="00000000" w:csb0="00040000"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s0lY7tAAAAAFAQAADwAAAAAAAAAB&#10;ACAAAAAiAAAAZHJzL2Rvd25yZXYueG1sUEsBAhQAFAAAAAgAh07iQPW6G0PDAgAA1gUAAA4AAAAA&#10;AAAAAQAgAAAAHwEAAGRycy9lMm9Eb2MueG1sUEsFBgAAAAAGAAYAWQEAAFQG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AAE211"/>
    <w:multiLevelType w:val="multilevel"/>
    <w:tmpl w:val="66AAE211"/>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F0FA4"/>
    <w:rsid w:val="0A1851ED"/>
    <w:rsid w:val="29295DFA"/>
    <w:rsid w:val="60C871D4"/>
    <w:rsid w:val="785937F1"/>
    <w:rsid w:val="7A8B0868"/>
    <w:rsid w:val="7E3061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2024-08-01T01:20:57Z</dcterms:modified>
  <dc:title>标题：</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